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8A1C16" w:rsidRPr="008A1C16" w:rsidRDefault="008A1C16" w:rsidP="00667F10">
      <w:pPr>
        <w:spacing w:after="0"/>
        <w:jc w:val="center"/>
        <w:rPr>
          <w:rFonts w:ascii="Times New Roman" w:hAnsi="Times New Roman" w:cs="Times New Roman"/>
          <w:sz w:val="24"/>
          <w:szCs w:val="24"/>
        </w:rPr>
      </w:pPr>
      <w:r>
        <w:rPr>
          <w:rFonts w:ascii="Times New Roman" w:hAnsi="Times New Roman" w:cs="Times New Roman"/>
          <w:sz w:val="24"/>
          <w:szCs w:val="24"/>
        </w:rPr>
        <w:t xml:space="preserve">(El nombre de la comisión o sub-evento responde a las oficialmente declaradas en las comunicaciones de la Convención. Deberá escribirse en </w:t>
      </w:r>
      <w:r w:rsidR="005754D8">
        <w:rPr>
          <w:rFonts w:ascii="Times New Roman" w:hAnsi="Times New Roman" w:cs="Times New Roman"/>
          <w:sz w:val="24"/>
          <w:szCs w:val="24"/>
        </w:rPr>
        <w:t>mayúscula</w:t>
      </w:r>
      <w:r>
        <w:rPr>
          <w:rFonts w:ascii="Times New Roman" w:hAnsi="Times New Roman" w:cs="Times New Roman"/>
          <w:sz w:val="24"/>
          <w:szCs w:val="24"/>
        </w:rPr>
        <w:t>, Times New Roman, Negrita y 14 de tamaño</w:t>
      </w:r>
      <w:r w:rsidR="009061A5">
        <w:rPr>
          <w:rFonts w:ascii="Times New Roman" w:hAnsi="Times New Roman" w:cs="Times New Roman"/>
          <w:sz w:val="24"/>
          <w:szCs w:val="24"/>
        </w:rPr>
        <w:t xml:space="preserve"> tal y como aparece en el acápite</w:t>
      </w:r>
      <w:r w:rsidRPr="008A1C16">
        <w:rPr>
          <w:rFonts w:ascii="Times New Roman" w:hAnsi="Times New Roman" w:cs="Times New Roman"/>
          <w:sz w:val="24"/>
          <w:szCs w:val="24"/>
        </w:rPr>
        <w:t>)</w:t>
      </w:r>
    </w:p>
    <w:p w:rsidR="00E912D0" w:rsidRDefault="00E912D0" w:rsidP="00667F10">
      <w:pPr>
        <w:spacing w:after="0"/>
        <w:jc w:val="center"/>
        <w:rPr>
          <w:rFonts w:ascii="Times New Roman" w:hAnsi="Times New Roman" w:cs="Times New Roman"/>
          <w:b/>
          <w:sz w:val="24"/>
          <w:szCs w:val="24"/>
        </w:rPr>
      </w:pPr>
    </w:p>
    <w:p w:rsidR="005F7502" w:rsidRPr="005F7502" w:rsidRDefault="005F7502" w:rsidP="005F7502">
      <w:pPr>
        <w:jc w:val="center"/>
        <w:rPr>
          <w:rFonts w:ascii="Times New Roman" w:hAnsi="Times New Roman" w:cs="Times New Roman"/>
          <w:b/>
          <w:sz w:val="28"/>
          <w:szCs w:val="28"/>
          <w:lang w:val="es-ES_tradnl"/>
        </w:rPr>
      </w:pPr>
      <w:r w:rsidRPr="005F7502">
        <w:rPr>
          <w:rFonts w:ascii="Times New Roman" w:hAnsi="Times New Roman" w:cs="Times New Roman"/>
          <w:b/>
          <w:sz w:val="28"/>
          <w:szCs w:val="28"/>
          <w:lang w:val="es-ES_tradnl"/>
        </w:rPr>
        <w:t>Evaluación del desempeño de la cadena de suministro sostenible enfocada a procesos</w:t>
      </w:r>
    </w:p>
    <w:p w:rsidR="00E912D0" w:rsidRDefault="00E912D0" w:rsidP="00667F10">
      <w:pPr>
        <w:spacing w:after="0"/>
        <w:jc w:val="center"/>
        <w:rPr>
          <w:rFonts w:ascii="Times New Roman" w:hAnsi="Times New Roman" w:cs="Times New Roman"/>
          <w:b/>
          <w:i/>
          <w:sz w:val="24"/>
          <w:szCs w:val="24"/>
        </w:rPr>
      </w:pPr>
    </w:p>
    <w:p w:rsidR="009D5E02" w:rsidRPr="005F7502" w:rsidRDefault="005F7502" w:rsidP="005F7502">
      <w:pPr>
        <w:spacing w:after="0" w:line="360" w:lineRule="auto"/>
        <w:jc w:val="center"/>
        <w:rPr>
          <w:rFonts w:ascii="Times New Roman" w:hAnsi="Times New Roman" w:cs="Times New Roman"/>
          <w:b/>
          <w:sz w:val="24"/>
          <w:szCs w:val="24"/>
          <w:lang w:val="en-US"/>
        </w:rPr>
      </w:pPr>
      <w:r w:rsidRPr="005F7502">
        <w:rPr>
          <w:rFonts w:ascii="Times New Roman" w:hAnsi="Times New Roman" w:cs="Times New Roman"/>
          <w:b/>
          <w:sz w:val="24"/>
          <w:szCs w:val="24"/>
          <w:lang w:val="en-US"/>
        </w:rPr>
        <w:t>Assessment of sustainable supply chain performance with process approach</w:t>
      </w:r>
    </w:p>
    <w:p w:rsidR="002E0882" w:rsidRPr="00DA747D" w:rsidRDefault="002E0882" w:rsidP="00FF3346">
      <w:pPr>
        <w:spacing w:after="0" w:line="360" w:lineRule="auto"/>
        <w:rPr>
          <w:rFonts w:ascii="Times New Roman" w:hAnsi="Times New Roman" w:cs="Times New Roman"/>
          <w:sz w:val="24"/>
          <w:szCs w:val="24"/>
          <w:lang w:val="en-US"/>
        </w:rPr>
      </w:pPr>
    </w:p>
    <w:p w:rsidR="008A1C16" w:rsidRPr="009D5E02" w:rsidRDefault="005F75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Andrey Vinajera Zamora</w:t>
      </w:r>
      <w:r w:rsidRPr="005F75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Roberto Cespón Castro</w:t>
      </w:r>
      <w:r w:rsidRPr="005F75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Fernando Marrero Delgado</w:t>
      </w:r>
      <w:r w:rsidRPr="005F7502">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F07FC6" w:rsidRPr="00F07FC6" w:rsidRDefault="00E912D0" w:rsidP="00F07FC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F07FC6">
        <w:rPr>
          <w:rFonts w:ascii="Times New Roman" w:hAnsi="Times New Roman" w:cs="Times New Roman"/>
          <w:sz w:val="24"/>
          <w:szCs w:val="24"/>
        </w:rPr>
        <w:t>Universidad Central “Marta Abreu” de Las Villas</w:t>
      </w:r>
      <w:r w:rsidR="00F07FC6" w:rsidRPr="003D7AB7">
        <w:rPr>
          <w:rFonts w:ascii="Times New Roman" w:hAnsi="Times New Roman" w:cs="Times New Roman"/>
          <w:sz w:val="24"/>
          <w:szCs w:val="24"/>
        </w:rPr>
        <w:t xml:space="preserve">, </w:t>
      </w:r>
      <w:r w:rsidR="00F07FC6">
        <w:rPr>
          <w:rFonts w:ascii="Times New Roman" w:hAnsi="Times New Roman" w:cs="Times New Roman"/>
          <w:sz w:val="24"/>
          <w:szCs w:val="24"/>
        </w:rPr>
        <w:t xml:space="preserve">Cuba. </w:t>
      </w:r>
      <w:r w:rsidR="00F07FC6" w:rsidRPr="003D7AB7">
        <w:t xml:space="preserve"> </w:t>
      </w:r>
      <w:r w:rsidR="00F07FC6" w:rsidRPr="00E912D0">
        <w:rPr>
          <w:rFonts w:ascii="Times New Roman" w:hAnsi="Times New Roman" w:cs="Times New Roman"/>
          <w:sz w:val="24"/>
          <w:szCs w:val="24"/>
        </w:rPr>
        <w:t>E-mail:</w:t>
      </w:r>
      <w:r w:rsidR="00F07FC6">
        <w:rPr>
          <w:rFonts w:ascii="Times New Roman" w:hAnsi="Times New Roman" w:cs="Times New Roman"/>
          <w:sz w:val="24"/>
          <w:szCs w:val="24"/>
        </w:rPr>
        <w:t xml:space="preserve"> </w:t>
      </w:r>
      <w:hyperlink r:id="rId7" w:history="1">
        <w:r w:rsidR="00F07FC6" w:rsidRPr="00F07FC6">
          <w:rPr>
            <w:rStyle w:val="Hipervnculo"/>
            <w:rFonts w:ascii="Times New Roman" w:hAnsi="Times New Roman" w:cs="Times New Roman"/>
            <w:sz w:val="24"/>
            <w:szCs w:val="24"/>
          </w:rPr>
          <w:t>andreyvz@uclv.edu.cu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07FC6">
        <w:rPr>
          <w:rFonts w:ascii="Times New Roman" w:hAnsi="Times New Roman" w:cs="Times New Roman"/>
          <w:sz w:val="24"/>
          <w:szCs w:val="24"/>
        </w:rPr>
        <w:t>Universidad Central “Marta Abreu” de Las Villas</w:t>
      </w:r>
      <w:r w:rsidR="00F07FC6" w:rsidRPr="003D7AB7">
        <w:rPr>
          <w:rFonts w:ascii="Times New Roman" w:hAnsi="Times New Roman" w:cs="Times New Roman"/>
          <w:sz w:val="24"/>
          <w:szCs w:val="24"/>
        </w:rPr>
        <w:t xml:space="preserve">, </w:t>
      </w:r>
      <w:r w:rsidR="00F07FC6">
        <w:rPr>
          <w:rFonts w:ascii="Times New Roman" w:hAnsi="Times New Roman" w:cs="Times New Roman"/>
          <w:sz w:val="24"/>
          <w:szCs w:val="24"/>
        </w:rPr>
        <w:t xml:space="preserve">Cuba. </w:t>
      </w:r>
      <w:r w:rsidR="00F07FC6" w:rsidRPr="003D7AB7">
        <w:t xml:space="preserve"> </w:t>
      </w:r>
      <w:r w:rsidR="00F07FC6" w:rsidRPr="00E912D0">
        <w:rPr>
          <w:rFonts w:ascii="Times New Roman" w:hAnsi="Times New Roman" w:cs="Times New Roman"/>
          <w:sz w:val="24"/>
          <w:szCs w:val="24"/>
        </w:rPr>
        <w:t>E-mail:</w:t>
      </w:r>
      <w:r w:rsidR="00F07FC6">
        <w:rPr>
          <w:rFonts w:ascii="Times New Roman" w:hAnsi="Times New Roman" w:cs="Times New Roman"/>
          <w:sz w:val="24"/>
          <w:szCs w:val="24"/>
        </w:rPr>
        <w:t xml:space="preserve"> </w:t>
      </w:r>
      <w:hyperlink r:id="rId8" w:history="1">
        <w:r w:rsidR="00F07FC6" w:rsidRPr="006A5C34">
          <w:rPr>
            <w:rStyle w:val="Hipervnculo"/>
            <w:rFonts w:ascii="Times New Roman" w:hAnsi="Times New Roman" w:cs="Times New Roman"/>
            <w:sz w:val="24"/>
            <w:szCs w:val="24"/>
          </w:rPr>
          <w:t>rcespon@uclv.edu.cu</w:t>
        </w:r>
      </w:hyperlink>
      <w:r w:rsidR="00F07FC6">
        <w:rPr>
          <w:rFonts w:ascii="Times New Roman" w:hAnsi="Times New Roman" w:cs="Times New Roman"/>
          <w:sz w:val="24"/>
          <w:szCs w:val="24"/>
        </w:rPr>
        <w:t xml:space="preserve"> </w:t>
      </w:r>
    </w:p>
    <w:p w:rsidR="00F07FC6" w:rsidRDefault="00F07FC6"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 Universidad Central “Marta Abreu” de Las Villas</w:t>
      </w:r>
      <w:r w:rsidRPr="003D7AB7">
        <w:rPr>
          <w:rFonts w:ascii="Times New Roman" w:hAnsi="Times New Roman" w:cs="Times New Roman"/>
          <w:sz w:val="24"/>
          <w:szCs w:val="24"/>
        </w:rPr>
        <w:t xml:space="preserve">, </w:t>
      </w:r>
      <w:r>
        <w:rPr>
          <w:rFonts w:ascii="Times New Roman" w:hAnsi="Times New Roman" w:cs="Times New Roman"/>
          <w:sz w:val="24"/>
          <w:szCs w:val="24"/>
        </w:rPr>
        <w:t xml:space="preserve">Cuba. </w:t>
      </w:r>
      <w:r w:rsidRPr="003D7AB7">
        <w:t xml:space="preserve">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Pr="006A5C34">
          <w:rPr>
            <w:rStyle w:val="Hipervnculo"/>
            <w:rFonts w:ascii="Times New Roman" w:hAnsi="Times New Roman" w:cs="Times New Roman"/>
            <w:sz w:val="24"/>
            <w:szCs w:val="24"/>
          </w:rPr>
          <w:t>fmarrero@uclv.edu.cu</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061A5">
        <w:rPr>
          <w:rFonts w:ascii="Times New Roman" w:hAnsi="Times New Roman" w:cs="Times New Roman"/>
          <w:sz w:val="24"/>
          <w:szCs w:val="24"/>
        </w:rPr>
        <w:t xml:space="preserve">el resumen deberá ser estructurado y no exceder las 250 palabras de </w:t>
      </w:r>
      <w:r w:rsidR="005754D8">
        <w:rPr>
          <w:rFonts w:ascii="Times New Roman" w:hAnsi="Times New Roman" w:cs="Times New Roman"/>
          <w:sz w:val="24"/>
          <w:szCs w:val="24"/>
        </w:rPr>
        <w:t>extensión</w:t>
      </w:r>
      <w:r w:rsidR="009061A5" w:rsidRPr="009061A5">
        <w:rPr>
          <w:rFonts w:ascii="Times New Roman" w:hAnsi="Times New Roman" w:cs="Times New Roman"/>
          <w:sz w:val="24"/>
          <w:szCs w:val="24"/>
        </w:rPr>
        <w:t>)</w:t>
      </w:r>
      <w:r w:rsidR="009061A5">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5F7502">
        <w:rPr>
          <w:rFonts w:ascii="Times New Roman" w:hAnsi="Times New Roman" w:cs="Times New Roman"/>
          <w:b/>
          <w:sz w:val="24"/>
          <w:szCs w:val="24"/>
        </w:rPr>
        <w:t xml:space="preserve"> </w:t>
      </w:r>
      <w:r w:rsidR="005F7502" w:rsidRPr="005F7502">
        <w:rPr>
          <w:rFonts w:ascii="Times New Roman" w:hAnsi="Times New Roman" w:cs="Times New Roman"/>
          <w:sz w:val="24"/>
          <w:szCs w:val="24"/>
        </w:rPr>
        <w:t>Evaluar el desempeño de la cadena de suministro sostenible con enfoque a procesos</w:t>
      </w:r>
      <w:r w:rsidR="009061A5" w:rsidRPr="005754D8">
        <w:rPr>
          <w:rFonts w:ascii="Times New Roman" w:hAnsi="Times New Roman" w:cs="Times New Roman"/>
          <w:sz w:val="24"/>
          <w:szCs w:val="24"/>
        </w:rPr>
        <w:t>.</w:t>
      </w:r>
    </w:p>
    <w:p w:rsidR="008A1C16" w:rsidRPr="00D5035B" w:rsidRDefault="008A1C16" w:rsidP="00D5035B">
      <w:pPr>
        <w:pStyle w:val="Prrafodelista"/>
        <w:numPr>
          <w:ilvl w:val="0"/>
          <w:numId w:val="1"/>
        </w:numPr>
        <w:spacing w:after="0" w:line="360" w:lineRule="auto"/>
        <w:jc w:val="both"/>
        <w:rPr>
          <w:rFonts w:ascii="Times New Roman" w:hAnsi="Times New Roman" w:cs="Times New Roman"/>
          <w:b/>
          <w:sz w:val="24"/>
          <w:szCs w:val="24"/>
        </w:rPr>
      </w:pPr>
      <w:r w:rsidRPr="00D5035B">
        <w:rPr>
          <w:rFonts w:ascii="Times New Roman" w:hAnsi="Times New Roman" w:cs="Times New Roman"/>
          <w:b/>
          <w:sz w:val="24"/>
          <w:szCs w:val="24"/>
        </w:rPr>
        <w:t>Objetivo</w:t>
      </w:r>
      <w:r w:rsidR="009061A5" w:rsidRPr="00D5035B">
        <w:rPr>
          <w:rFonts w:ascii="Times New Roman" w:hAnsi="Times New Roman" w:cs="Times New Roman"/>
          <w:b/>
          <w:sz w:val="24"/>
          <w:szCs w:val="24"/>
        </w:rPr>
        <w:t>(</w:t>
      </w:r>
      <w:r w:rsidRPr="00D5035B">
        <w:rPr>
          <w:rFonts w:ascii="Times New Roman" w:hAnsi="Times New Roman" w:cs="Times New Roman"/>
          <w:b/>
          <w:sz w:val="24"/>
          <w:szCs w:val="24"/>
        </w:rPr>
        <w:t>s</w:t>
      </w:r>
      <w:r w:rsidR="009061A5" w:rsidRPr="00D5035B">
        <w:rPr>
          <w:rFonts w:ascii="Times New Roman" w:hAnsi="Times New Roman" w:cs="Times New Roman"/>
          <w:b/>
          <w:sz w:val="24"/>
          <w:szCs w:val="24"/>
        </w:rPr>
        <w:t>)</w:t>
      </w:r>
      <w:r w:rsidRPr="00D5035B">
        <w:rPr>
          <w:rFonts w:ascii="Times New Roman" w:hAnsi="Times New Roman" w:cs="Times New Roman"/>
          <w:b/>
          <w:sz w:val="24"/>
          <w:szCs w:val="24"/>
        </w:rPr>
        <w:t>:</w:t>
      </w:r>
      <w:r w:rsidR="009061A5" w:rsidRPr="00D5035B">
        <w:rPr>
          <w:rFonts w:ascii="Times New Roman" w:hAnsi="Times New Roman" w:cs="Times New Roman"/>
          <w:b/>
          <w:sz w:val="24"/>
          <w:szCs w:val="24"/>
        </w:rPr>
        <w:t xml:space="preserve"> </w:t>
      </w:r>
      <w:r w:rsidR="005F7502" w:rsidRPr="00D5035B">
        <w:rPr>
          <w:rFonts w:ascii="Times New Roman" w:hAnsi="Times New Roman" w:cs="Times New Roman"/>
          <w:sz w:val="24"/>
          <w:szCs w:val="24"/>
        </w:rPr>
        <w:t>proponer el índice de desempeño de la cadena de suministro sostenible</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5F7502">
        <w:rPr>
          <w:rFonts w:ascii="Times New Roman" w:hAnsi="Times New Roman" w:cs="Times New Roman"/>
          <w:b/>
          <w:sz w:val="24"/>
          <w:szCs w:val="24"/>
        </w:rPr>
        <w:t xml:space="preserve"> </w:t>
      </w:r>
      <w:r w:rsidR="005F7502" w:rsidRPr="005F7502">
        <w:rPr>
          <w:rFonts w:ascii="Times New Roman" w:hAnsi="Times New Roman" w:cs="Times New Roman"/>
          <w:sz w:val="24"/>
          <w:szCs w:val="24"/>
        </w:rPr>
        <w:t>Compuesta por con enfoque a procesos, utilizando métodos como Análisis de Ciclo de Vida y J</w:t>
      </w:r>
      <w:r w:rsidR="005F7502">
        <w:rPr>
          <w:rFonts w:ascii="Times New Roman" w:hAnsi="Times New Roman" w:cs="Times New Roman"/>
          <w:sz w:val="24"/>
          <w:szCs w:val="24"/>
        </w:rPr>
        <w:t>erarquías Analíticas o de Saaty</w:t>
      </w:r>
      <w:r w:rsidR="005F7502" w:rsidRPr="005F7502">
        <w:rPr>
          <w:rFonts w:ascii="Times New Roman" w:hAnsi="Times New Roman" w:cs="Times New Roman"/>
          <w:sz w:val="24"/>
          <w:szCs w:val="24"/>
        </w:rPr>
        <w:t>, este último basado en múltiples criterios. Los criterios considerados fueron: productividad, servicio al cliente, valor agregado, eco-eficiencia y rentabilidad</w:t>
      </w:r>
      <w:r w:rsidR="009061A5" w:rsidRPr="005754D8">
        <w:rPr>
          <w:rFonts w:ascii="Times New Roman" w:hAnsi="Times New Roman" w:cs="Times New Roman"/>
          <w:sz w:val="24"/>
          <w:szCs w:val="24"/>
        </w:rPr>
        <w:t>.</w:t>
      </w:r>
    </w:p>
    <w:p w:rsidR="005F7502" w:rsidRPr="005F7502" w:rsidRDefault="008A1C16" w:rsidP="005F7502">
      <w:pPr>
        <w:pStyle w:val="Prrafodelista"/>
        <w:numPr>
          <w:ilvl w:val="0"/>
          <w:numId w:val="1"/>
        </w:numPr>
        <w:jc w:val="both"/>
        <w:rPr>
          <w:bCs/>
          <w:iCs/>
          <w:sz w:val="24"/>
          <w:szCs w:val="24"/>
          <w:lang w:val="es-ES_tradnl"/>
        </w:rPr>
      </w:pPr>
      <w:r w:rsidRPr="005F7502">
        <w:rPr>
          <w:rFonts w:ascii="Times New Roman" w:hAnsi="Times New Roman" w:cs="Times New Roman"/>
          <w:b/>
          <w:sz w:val="24"/>
          <w:szCs w:val="24"/>
        </w:rPr>
        <w:t>Resultados y discusión:</w:t>
      </w:r>
      <w:r w:rsidR="005F7502" w:rsidRPr="005F7502">
        <w:rPr>
          <w:rFonts w:ascii="Times New Roman" w:hAnsi="Times New Roman" w:cs="Times New Roman"/>
          <w:b/>
          <w:sz w:val="24"/>
          <w:szCs w:val="24"/>
        </w:rPr>
        <w:t xml:space="preserve"> </w:t>
      </w:r>
      <w:r w:rsidR="005F7502" w:rsidRPr="00D5035B">
        <w:rPr>
          <w:rFonts w:ascii="Times New Roman" w:hAnsi="Times New Roman" w:cs="Times New Roman"/>
          <w:sz w:val="24"/>
          <w:szCs w:val="24"/>
        </w:rPr>
        <w:t>se obtuvo un mejoramiento de la sostenibilidad de la cadena estudiada, lo que demostró su novedad y factibilidad de aplicación.</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D5035B">
        <w:rPr>
          <w:rFonts w:ascii="Times New Roman" w:hAnsi="Times New Roman" w:cs="Times New Roman"/>
          <w:sz w:val="24"/>
          <w:szCs w:val="24"/>
        </w:rPr>
        <w:t>La</w:t>
      </w:r>
      <w:r w:rsidR="00D5035B" w:rsidRPr="00D5035B">
        <w:rPr>
          <w:rFonts w:ascii="Times New Roman" w:hAnsi="Times New Roman" w:cs="Times New Roman"/>
          <w:sz w:val="24"/>
          <w:szCs w:val="24"/>
        </w:rPr>
        <w:t xml:space="preserve"> investigación cubre el vacío de conocimiento dejado por los autores consultados en la bibliografía especializada en la medición del desempeño </w:t>
      </w:r>
      <w:r w:rsidR="00D5035B" w:rsidRPr="00D5035B">
        <w:rPr>
          <w:rFonts w:ascii="Times New Roman" w:hAnsi="Times New Roman" w:cs="Times New Roman"/>
          <w:sz w:val="24"/>
          <w:szCs w:val="24"/>
        </w:rPr>
        <w:lastRenderedPageBreak/>
        <w:t xml:space="preserve">de </w:t>
      </w:r>
      <w:r w:rsidR="00F56AEF">
        <w:rPr>
          <w:rFonts w:ascii="Times New Roman" w:hAnsi="Times New Roman" w:cs="Times New Roman"/>
          <w:sz w:val="24"/>
          <w:szCs w:val="24"/>
        </w:rPr>
        <w:t xml:space="preserve">las </w:t>
      </w:r>
      <w:r w:rsidR="00F56AEF" w:rsidRPr="00C16AD5">
        <w:rPr>
          <w:rFonts w:ascii="Times New Roman" w:hAnsi="Times New Roman" w:cs="Times New Roman"/>
          <w:sz w:val="24"/>
          <w:szCs w:val="24"/>
          <w:highlight w:val="yellow"/>
        </w:rPr>
        <w:t>cadenas de suministro sostenibles</w:t>
      </w:r>
      <w:r w:rsidR="00D5035B" w:rsidRPr="00D5035B">
        <w:rPr>
          <w:rFonts w:ascii="Times New Roman" w:hAnsi="Times New Roman" w:cs="Times New Roman"/>
          <w:sz w:val="24"/>
          <w:szCs w:val="24"/>
        </w:rPr>
        <w:t>, facilitando su monitoreo y mejoramiento continuo</w:t>
      </w:r>
      <w:r w:rsidR="009061A5" w:rsidRPr="005754D8">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056022" w:rsidRPr="00056022" w:rsidRDefault="00056022" w:rsidP="00056022">
      <w:pPr>
        <w:pStyle w:val="Prrafodelista"/>
        <w:numPr>
          <w:ilvl w:val="0"/>
          <w:numId w:val="4"/>
        </w:numPr>
        <w:spacing w:after="0" w:line="360" w:lineRule="auto"/>
        <w:jc w:val="both"/>
        <w:rPr>
          <w:rFonts w:ascii="Times New Roman" w:hAnsi="Times New Roman" w:cs="Times New Roman"/>
          <w:i/>
          <w:sz w:val="24"/>
          <w:szCs w:val="24"/>
          <w:lang w:val="en-US"/>
        </w:rPr>
      </w:pPr>
      <w:r w:rsidRPr="00056022">
        <w:rPr>
          <w:rFonts w:ascii="Times New Roman" w:hAnsi="Times New Roman" w:cs="Times New Roman"/>
          <w:b/>
          <w:i/>
          <w:sz w:val="24"/>
          <w:szCs w:val="24"/>
          <w:lang w:val="en-US"/>
        </w:rPr>
        <w:t>Problematic</w:t>
      </w:r>
      <w:r w:rsidRPr="00056022">
        <w:rPr>
          <w:rFonts w:ascii="Times New Roman" w:hAnsi="Times New Roman" w:cs="Times New Roman"/>
          <w:i/>
          <w:sz w:val="24"/>
          <w:szCs w:val="24"/>
          <w:lang w:val="en-US"/>
        </w:rPr>
        <w:t>: Evaluate the performance of the sustainable supply chain with a focus on processes.</w:t>
      </w:r>
    </w:p>
    <w:p w:rsidR="00056022" w:rsidRPr="00056022" w:rsidRDefault="00056022" w:rsidP="00056022">
      <w:pPr>
        <w:pStyle w:val="Prrafodelista"/>
        <w:numPr>
          <w:ilvl w:val="0"/>
          <w:numId w:val="4"/>
        </w:numPr>
        <w:spacing w:after="0" w:line="360" w:lineRule="auto"/>
        <w:jc w:val="both"/>
        <w:rPr>
          <w:rFonts w:ascii="Times New Roman" w:hAnsi="Times New Roman" w:cs="Times New Roman"/>
          <w:i/>
          <w:sz w:val="24"/>
          <w:szCs w:val="24"/>
          <w:lang w:val="en-US"/>
        </w:rPr>
      </w:pPr>
      <w:r w:rsidRPr="00056022">
        <w:rPr>
          <w:rFonts w:ascii="Times New Roman" w:hAnsi="Times New Roman" w:cs="Times New Roman"/>
          <w:b/>
          <w:i/>
          <w:sz w:val="24"/>
          <w:szCs w:val="24"/>
          <w:lang w:val="en-US"/>
        </w:rPr>
        <w:t>Objective</w:t>
      </w:r>
      <w:r w:rsidRPr="00056022">
        <w:rPr>
          <w:rFonts w:ascii="Times New Roman" w:hAnsi="Times New Roman" w:cs="Times New Roman"/>
          <w:i/>
          <w:sz w:val="24"/>
          <w:szCs w:val="24"/>
          <w:lang w:val="en-US"/>
        </w:rPr>
        <w:t xml:space="preserve"> (s): propose the sustainable supply chain performance index</w:t>
      </w:r>
    </w:p>
    <w:p w:rsidR="00056022" w:rsidRPr="00056022" w:rsidRDefault="00056022" w:rsidP="00056022">
      <w:pPr>
        <w:pStyle w:val="Prrafodelista"/>
        <w:numPr>
          <w:ilvl w:val="0"/>
          <w:numId w:val="4"/>
        </w:numPr>
        <w:spacing w:after="0" w:line="360" w:lineRule="auto"/>
        <w:jc w:val="both"/>
        <w:rPr>
          <w:rFonts w:ascii="Times New Roman" w:hAnsi="Times New Roman" w:cs="Times New Roman"/>
          <w:i/>
          <w:sz w:val="24"/>
          <w:szCs w:val="24"/>
          <w:lang w:val="en-US"/>
        </w:rPr>
      </w:pPr>
      <w:r w:rsidRPr="00056022">
        <w:rPr>
          <w:rFonts w:ascii="Times New Roman" w:hAnsi="Times New Roman" w:cs="Times New Roman"/>
          <w:b/>
          <w:i/>
          <w:sz w:val="24"/>
          <w:szCs w:val="24"/>
          <w:lang w:val="en-US"/>
        </w:rPr>
        <w:t>Methodology</w:t>
      </w:r>
      <w:r w:rsidRPr="00056022">
        <w:rPr>
          <w:rFonts w:ascii="Times New Roman" w:hAnsi="Times New Roman" w:cs="Times New Roman"/>
          <w:i/>
          <w:sz w:val="24"/>
          <w:szCs w:val="24"/>
          <w:lang w:val="en-US"/>
        </w:rPr>
        <w:t>: Composed of with a focus on processes, using methods such as Life Cycle Analysis and Analytical Hierarchies or Saaty, the latter based on multiple criteria. The criteria considered were: productivity, customer service, added value, eco-efficiency and profitability.</w:t>
      </w:r>
    </w:p>
    <w:p w:rsidR="00056022" w:rsidRPr="00056022" w:rsidRDefault="00056022" w:rsidP="00056022">
      <w:pPr>
        <w:pStyle w:val="Prrafodelista"/>
        <w:numPr>
          <w:ilvl w:val="0"/>
          <w:numId w:val="4"/>
        </w:numPr>
        <w:spacing w:after="0" w:line="360" w:lineRule="auto"/>
        <w:jc w:val="both"/>
        <w:rPr>
          <w:rFonts w:ascii="Times New Roman" w:hAnsi="Times New Roman" w:cs="Times New Roman"/>
          <w:i/>
          <w:sz w:val="24"/>
          <w:szCs w:val="24"/>
          <w:lang w:val="en-US"/>
        </w:rPr>
      </w:pPr>
      <w:r w:rsidRPr="00056022">
        <w:rPr>
          <w:rFonts w:ascii="Times New Roman" w:hAnsi="Times New Roman" w:cs="Times New Roman"/>
          <w:b/>
          <w:i/>
          <w:sz w:val="24"/>
          <w:szCs w:val="24"/>
          <w:lang w:val="en-US"/>
        </w:rPr>
        <w:t>Results and discussion</w:t>
      </w:r>
      <w:r w:rsidRPr="00056022">
        <w:rPr>
          <w:rFonts w:ascii="Times New Roman" w:hAnsi="Times New Roman" w:cs="Times New Roman"/>
          <w:i/>
          <w:sz w:val="24"/>
          <w:szCs w:val="24"/>
          <w:lang w:val="en-US"/>
        </w:rPr>
        <w:t>: an improvement in the sustainability of the chain studied was obtained, which demonstrated its novelty and feasibility of application.</w:t>
      </w:r>
    </w:p>
    <w:p w:rsidR="00056022" w:rsidRPr="00056022" w:rsidRDefault="00056022" w:rsidP="00056022">
      <w:pPr>
        <w:pStyle w:val="Prrafodelista"/>
        <w:numPr>
          <w:ilvl w:val="0"/>
          <w:numId w:val="4"/>
        </w:numPr>
        <w:spacing w:after="0" w:line="360" w:lineRule="auto"/>
        <w:jc w:val="both"/>
        <w:rPr>
          <w:rFonts w:ascii="Times New Roman" w:hAnsi="Times New Roman" w:cs="Times New Roman"/>
          <w:i/>
          <w:sz w:val="24"/>
          <w:szCs w:val="24"/>
          <w:lang w:val="en-US"/>
        </w:rPr>
      </w:pPr>
      <w:r w:rsidRPr="00056022">
        <w:rPr>
          <w:rFonts w:ascii="Times New Roman" w:hAnsi="Times New Roman" w:cs="Times New Roman"/>
          <w:b/>
          <w:i/>
          <w:sz w:val="24"/>
          <w:szCs w:val="24"/>
          <w:lang w:val="en-US"/>
        </w:rPr>
        <w:t>Conclusions</w:t>
      </w:r>
      <w:r w:rsidRPr="00056022">
        <w:rPr>
          <w:rFonts w:ascii="Times New Roman" w:hAnsi="Times New Roman" w:cs="Times New Roman"/>
          <w:i/>
          <w:sz w:val="24"/>
          <w:szCs w:val="24"/>
          <w:lang w:val="en-US"/>
        </w:rPr>
        <w:t xml:space="preserve">: The research covers the knowledge gap left by the authors consulted in the specialized bibliography in the measurement of </w:t>
      </w:r>
      <w:r w:rsidR="00F56AEF" w:rsidRPr="00C16AD5">
        <w:rPr>
          <w:bCs/>
          <w:i/>
          <w:iCs/>
          <w:szCs w:val="24"/>
          <w:highlight w:val="yellow"/>
          <w:lang w:val="en-US"/>
        </w:rPr>
        <w:t>sustainable supply chain</w:t>
      </w:r>
      <w:r w:rsidR="00F56AEF" w:rsidRPr="00C16AD5">
        <w:rPr>
          <w:rFonts w:ascii="Times New Roman" w:hAnsi="Times New Roman" w:cs="Times New Roman"/>
          <w:i/>
          <w:sz w:val="24"/>
          <w:szCs w:val="24"/>
          <w:highlight w:val="yellow"/>
          <w:lang w:val="en-US"/>
        </w:rPr>
        <w:t xml:space="preserve"> </w:t>
      </w:r>
      <w:r w:rsidRPr="00C16AD5">
        <w:rPr>
          <w:rFonts w:ascii="Times New Roman" w:hAnsi="Times New Roman" w:cs="Times New Roman"/>
          <w:i/>
          <w:sz w:val="24"/>
          <w:szCs w:val="24"/>
          <w:highlight w:val="yellow"/>
          <w:lang w:val="en-US"/>
        </w:rPr>
        <w:t>performance,</w:t>
      </w:r>
      <w:bookmarkStart w:id="0" w:name="_GoBack"/>
      <w:bookmarkEnd w:id="0"/>
      <w:r w:rsidRPr="00056022">
        <w:rPr>
          <w:rFonts w:ascii="Times New Roman" w:hAnsi="Times New Roman" w:cs="Times New Roman"/>
          <w:i/>
          <w:sz w:val="24"/>
          <w:szCs w:val="24"/>
          <w:lang w:val="en-US"/>
        </w:rPr>
        <w:t xml:space="preserve"> facilitating its monitoring and continuous improvement.</w:t>
      </w:r>
    </w:p>
    <w:p w:rsidR="009061A5" w:rsidRPr="00056022" w:rsidRDefault="009061A5" w:rsidP="00FF3346">
      <w:pPr>
        <w:spacing w:after="0" w:line="360" w:lineRule="auto"/>
        <w:jc w:val="both"/>
        <w:rPr>
          <w:rFonts w:ascii="Times New Roman" w:hAnsi="Times New Roman" w:cs="Times New Roman"/>
          <w:sz w:val="24"/>
          <w:szCs w:val="24"/>
          <w:lang w:val="en-US"/>
        </w:rPr>
      </w:pPr>
    </w:p>
    <w:p w:rsidR="009061A5" w:rsidRPr="00DA747D"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DA747D" w:rsidRPr="00DA747D">
        <w:rPr>
          <w:sz w:val="24"/>
          <w:szCs w:val="24"/>
          <w:lang w:val="es-ES_tradnl"/>
        </w:rPr>
        <w:t xml:space="preserve"> </w:t>
      </w:r>
      <w:r w:rsidR="00DA747D" w:rsidRPr="00DA747D">
        <w:rPr>
          <w:rFonts w:ascii="Times New Roman" w:hAnsi="Times New Roman" w:cs="Times New Roman"/>
          <w:sz w:val="24"/>
          <w:szCs w:val="24"/>
          <w:lang w:val="es-ES_tradnl"/>
        </w:rPr>
        <w:t>desempeño; cadena de suministro sostenible; multicriterio</w:t>
      </w:r>
    </w:p>
    <w:p w:rsidR="009061A5" w:rsidRDefault="009061A5" w:rsidP="00FF3346">
      <w:pPr>
        <w:spacing w:after="0" w:line="360" w:lineRule="auto"/>
        <w:jc w:val="both"/>
        <w:rPr>
          <w:rFonts w:ascii="Times New Roman" w:hAnsi="Times New Roman" w:cs="Times New Roman"/>
          <w:sz w:val="24"/>
          <w:szCs w:val="24"/>
        </w:rPr>
      </w:pPr>
    </w:p>
    <w:p w:rsidR="00DA747D" w:rsidRPr="003B119B" w:rsidRDefault="009061A5" w:rsidP="00DA747D">
      <w:pPr>
        <w:pStyle w:val="Textoindependiente"/>
        <w:jc w:val="both"/>
        <w:rPr>
          <w:szCs w:val="24"/>
          <w:lang w:val="en-US"/>
        </w:rPr>
      </w:pPr>
      <w:r w:rsidRPr="00DA747D">
        <w:rPr>
          <w:i/>
          <w:szCs w:val="24"/>
          <w:lang w:val="en-US"/>
        </w:rPr>
        <w:t>Keywords:</w:t>
      </w:r>
      <w:r w:rsidRPr="00DA747D">
        <w:rPr>
          <w:szCs w:val="24"/>
          <w:lang w:val="en-US"/>
        </w:rPr>
        <w:t xml:space="preserve"> </w:t>
      </w:r>
      <w:r w:rsidR="00DA747D" w:rsidRPr="00DA747D">
        <w:rPr>
          <w:b w:val="0"/>
          <w:bCs/>
          <w:i/>
          <w:iCs/>
          <w:szCs w:val="24"/>
          <w:lang w:val="en-US"/>
        </w:rPr>
        <w:t>performance; sustainable supply chain; multicriteria.</w:t>
      </w:r>
    </w:p>
    <w:p w:rsidR="009061A5" w:rsidRPr="00DA747D" w:rsidRDefault="009061A5" w:rsidP="00FF3346">
      <w:pPr>
        <w:spacing w:after="0" w:line="360" w:lineRule="auto"/>
        <w:jc w:val="both"/>
        <w:rPr>
          <w:rFonts w:ascii="Times New Roman" w:hAnsi="Times New Roman" w:cs="Times New Roman"/>
          <w:sz w:val="24"/>
          <w:szCs w:val="24"/>
          <w:lang w:val="en-US"/>
        </w:rPr>
      </w:pPr>
    </w:p>
    <w:p w:rsidR="00A21A1F" w:rsidRPr="00DA747D"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El incremento de la complejidad de las cadenas de suministros (CS) lleva a que los investigadores reconozcan la necesidad de medir y monitorear su funcionamiento como forma de evaluar el desempeño organizacional, gestionar efectivamente las actividades y ser más competitivo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{"citationItems":[{"id":"ITEM-1","itemData":{"DOI":"10.1007/978-3-319-93876-9_5","ISBN":"978-3-319-93876-9","abstract":"This chapter discusses concepts related to supply chain performance and supply chain performance evaluation. The purpose of this chapter is to explain how current companies seek benefits and competitiveness through supply chain attributes and supply chain performance metrics. Some of these attributes and metrics are classified from an economic perspective, whereas others are addressed from an operational, tactical, or strategic approach to explain qualitative and quantitative aspects of the supply chain. Understanding the notions and implications of supply chain performance and supply chain evaluation is very important when companies aim at improving their competitive levels, especially because performance metric systems provide real-time information on how the supply chain is managed. Similarly, classifying performance into its different categories will allow this chapter to clearly address evaluation methods in the manufacturing industry.","author":[{"dropping-particle":"","family":"Avelar-Sosa","given":"Liliana","non-dropping-particle":"","parse-names":false,"suffix":""},{"dropping-particle":"","family":"García-Alcaraz","given":"Jorge Luis","non-dropping-particle":"","parse-names":false,"suffix":""},{"dropping-particle":"","family":"Maldonado-Macías","given":"Aidé Aracely","non-dropping-particle":"","parse-names":false,"suffix":""}],"container-title":"Evaluation of Supply Chain Performance: A Manufacturing Industry Approach","id":"ITEM-1","issued":{"date-parts":[["2019"]]},"page":"69-89","publisher":"Springer International Publishing","publisher-place":"Cham","title":"Conceptualization of Supply Chain Performance","type":"chapter"},"uris":["http://www.mendeley.com/documents/?uuid=35d0b750-e717-4045-bb7b-dcf494a92a4d"]},{"id":"ITEM-2","itemData":{"DOI":"10.1007/978-3-030-26488-8_15","ISBN":"978-3-030-26488-8","abstract":"Sustainable supply chain has attracted interest among the academic, industrial and managerial sectors. Therefore, the purpose of this chapter is to present a review of current literature and research studies on this topic, and to identify sustainable practices throughout the supply chain that have been said to improve its performance. The chapter undertakes theoretical perspectives used in sustainable supply chain literature, by describing the three dimensions of sustainability, segregating the supply chain into four stages, and moving into the discussion of current research found to improve supply chain performance, while combining sustainable practices. Conclusions are drawn from existing studies and their contribution to knowledge development, as well as their impact on supply chain results improvement. Future research suggestions are presented as well as limitations.","author":[{"dropping-particle":"","family":"Sánchez-Flores","given":"Rebeca B","non-dropping-particle":"","parse-names":false,"suffix":""},{"dropping-particle":"","family":"Ojeda-Benítez","given":"Sara","non-dropping-particle":"","parse-names":false,"suffix":""},{"dropping-particle":"","family":"Cruz-Sotelo","given":"Samantha E","non-dropping-particle":"","parse-names":false,"suffix":""},{"dropping-particle":"","family":"Navarro-González","given":"Carlos R","non-dropping-particle":"","parse-names":false,"suffix":""}],"container-title":"Techniques, Tools and Methodologies Applied to Global Supply Chain Ecosystems","editor":[{"dropping-particle":"","family":"García-Alcaraz","given":"Jorge Luis","non-dropping-particle":"","parse-names":false,"suffix":""},{"dropping-particle":"","family":"Sánchez-Ramírez","given":"Cuauhtémoc","non-dropping-particle":"","parse-names":false,"suffix":""},{"dropping-particle":"","family":"Avelar-Sosa","given":"Liliana","non-dropping-particle":"","parse-names":false,"suffix":""},{"dropping-particle":"","family":"Alor-Hernández","given":"Giner","non-dropping-particle":"","parse-names":false,"suffix":""}],"id":"ITEM-2","issued":{"date-parts":[["2020"]]},"page":"333-358","publisher":"Springer International Publishing","publisher-place":"Cham","title":"Supply Chain Performance Improvement: A Sustainable Perspective","type":"chapter"},"uris":["http://www.mendeley.com/documents/?uuid=f0f1c984-2344-4f73-8076-e03c3c8e1f78"]},{"id":"ITEM-3","itemData":{"DOI":"10.1016/j.matpr.2017.07.120","ISSN":"22147853","abstract":"In today's competitive business environment, evaluation of supply chain is also a principal functionality in any kind of business organization. It is due to the uncertainty within the business environment. In this paper, hybrid methodology of Attribute Hierarchy Model (AHM) and Membership Degree Transformation- M (1, 2, 3) is proposed for evaluation of supply chain performance. This planned methodology is not only useful to judge the complete performance of the supply chain but also to identify the critical criteria upon which the organizations need to concentrate to improve the performance of their supply chains.","author":[{"dropping-particle":"","family":"Hemalatha","given":"S.","non-dropping-particle":"","parse-names":false,"suffix":""},{"dropping-particle":"","family":"Rao","given":"K. Narayana","non-dropping-particle":"","parse-names":false,"suffix":""},{"dropping-particle":"","family":"Rambabu","given":"G.","non-dropping-particle":"","parse-names":false,"suffix":""},{"dropping-particle":"","family":"Venkatasubbaiah","given":"K.","non-dropping-particle":"","parse-names":false,"suffix":""}],"container-title":"Materials Today: Proceedings","id":"ITEM-3","issue":"8","issued":{"date-parts":[["2017"]]},"page":"7848-7858","publisher":"Elsevier Ltd","title":"Supply chain performance evaluation through AHM and Membership degree transformation","type":"article-journal","volume":"4"},"uris":["http://www.mendeley.com/documents/?uuid=50a6c794-8cf8-442a-8e6a-ce88640551d8"]}],"mendeley":{"formattedCitation":"(Avelar-Sosa, García-Alcaraz, &amp; Maldonado-Macías, 2019a; Hemalatha, Rao, Rambabu, &amp; Venkatasubbaiah, 2017; Sánchez-Flores, Ojeda-Benítez, Cruz-Sotelo, &amp; Navarro-González, 2020)","manualFormatting":"(Sánchez-Flores, Ojeda-Benítez, Cruz-Sotelo y Navarro-González, 2020; Avelar Sosa, García-Alcaraz y Maldonado Macías, 2019; Hemalatha y Rambabu, 2017","plainTextFormattedCitation":"(Avelar-Sosa, García-Alcaraz, &amp; Maldonado-Macías, 2019a; Hemalatha, Rao, Rambabu, &amp; Venkatasubbaiah, 2017; Sánchez-Flores, Ojeda-Benítez, Cruz-Sotelo, &amp; Navarro-González, 2020)","previouslyFormattedCitation":"(Avelar-Sosa, García-Alcaraz, &amp; Maldonado-Macías, 2019; Hemalatha, Rao, Rambabu, &amp; Venkatasubbaiah, 2017; Sánchez-Flores, Ojeda-Benítez, Cruz-Sotelo, &amp; Navarro-González, 2020)"},"properties":{"noteIndex":0},"schema":"https://github.com/citation-style-language/schema/raw/master/csl-citation.json"}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sz w:val="24"/>
          <w:szCs w:val="24"/>
          <w:lang w:val="es-ES_tradnl"/>
        </w:rPr>
        <w:t>(Sánchez-Flores, Ojeda-Benítez, Cruz-Sotelo y Navarro-González, 2020; Avelar Sosa, García-Alcaraz y Maldonado Macías, 2019; Hemalatha y Rambabu, 2017</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Esta complejidad es consistente con la cantidad de actores presentes, por lo que ha sido un aspecto debatido en la literatura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{"citationItems":[{"id":"ITEM-1","itemData":{"author":[{"dropping-particle":"","family":"Mohaghar","given":"A","non-dropping-particle":"","parse-names":false,"suffix":""}],"container-title":"Global Journal of Management Studies and Researches","id":"ITEM-1","issue":"3","issued":{"date-parts":[["2014"]]},"page":"158-163","title":"Performance Evaluation of Green Supply Chain based on LFPP and Balanced Scorecard Approach","type":"article-journal","volume":"1"},"uris":["http://www.mendeley.com/documents/?uuid=4f0421ce-b792-4a89-a151-b3119884e6a6"]}],"mendeley":{"formattedCitation":"(Mohaghar, 2014)","manualFormatting":"(Narimissa, Kangarani-Farahani y  Molla-Alizadeh-Zavardehi, 2020a; Mohaghar, 2014)","plainTextFormattedCitation":"(Mohaghar, 2014)","previouslyFormattedCitation":"(Mohaghar, 2014)"},"properties":{"noteIndex":0},"schema":"https://github.com/citation-style-language/schema/raw/master/csl-citation.json"}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w:t>
      </w:r>
      <w:r w:rsidRPr="00DA747D">
        <w:rPr>
          <w:rFonts w:ascii="Times New Roman" w:hAnsi="Times New Roman" w:cs="Times New Roman"/>
          <w:noProof/>
          <w:sz w:val="24"/>
          <w:szCs w:val="24"/>
        </w:rPr>
        <w:t>Narimissa, Kangarani-Farahani y  Molla-Alizadeh-Zavardehi, 2020a</w:t>
      </w:r>
      <w:r w:rsidRPr="00DA747D">
        <w:rPr>
          <w:rFonts w:ascii="Times New Roman" w:hAnsi="Times New Roman" w:cs="Times New Roman"/>
          <w:noProof/>
          <w:sz w:val="24"/>
          <w:szCs w:val="24"/>
          <w:lang w:val="es-ES_tradnl"/>
        </w:rPr>
        <w:t>; Mohaghar, 2014)</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También se reconoce la necesidad de medir el desempeño de la CS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{"citationItems":[{"id":"ITEM-1","itemData":{"abstract":"The purpose of this study is to identify and analyze the metrics that have been published in the literature on green supply chain management (GSCM) and sustainable supply chain management (SSCM). The metrics were identified based on a structured content analysis of 445 articles published up to the end of 2012. A total of 2555 unique metrics were identified. The majority of the metrics were used only once, which indicates a lack of agreement on how performance should be measured in these areas. Five metrics were used more than 20 times: quality (31 times), air emissions (28), greenhouse gas emissions (24), energy use (24), and energy consumption (21). As highlighted in that list, multiple metrics were used to measure similar issues in many cases. For example, a detailed analysis showed that 76 different metrics were identified for issues focusing on water. As a part of the analysis conducted, each metric was classified according to 13 key characteristics of SSCM drawn from the literature. The analysis showed that environmental issues were represented to the greatest extent. Over one-third of the identified metrics were classified as cross-cutting metrics, meaning that they addressed more than one key characteristic of SSCM. Based on the analysis conducted, an original conceptual framework for structuring the development of metrics in GSCM and SSCM is presented. This paper presents one of the first in-depth investigations of the use of metrics in GSCM and SSCM. It is anticipated that the analysis and framework will provide a strong basis for future academic and practitioner work.","author":[{"dropping-particle":"","family":"Ahi","given":"P","non-dropping-particle":"","parse-names":false,"suffix":""},{"dropping-particle":"","family":"Searcy","given":"C","non-dropping-particle":"","parse-names":false,"suffix":""}],"container-title":"Journal of Cleaner Production","id":"ITEM-1","issue":"1","issued":{"date-parts":[["2015"]]},"page":"360–377","title":"An analysis of metrics used to measure performance in green and sustainable supply chains","type":"article-journal","volume":"86"},"uris":["http://www.mendeley.com/documents/?uuid=cb4fd039-d0b6-4424-b418-704d7ca688a6"]}],"mendeley":{"formattedCitation":"(Ahi &amp; Searcy, 2015)","plainTextFormattedCitation":"(Ahi &amp; Searcy, 2015)","previouslyFormattedCitation":"(Ahi &amp; Searcy, 2015)"},"properties":{"noteIndex":0},"schema":"https://github.com/citation-style-language/schema/raw/master/csl-citation.json"}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(Ahi y Searcy, 2015)</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de </w:t>
      </w:r>
      <w:r w:rsidRPr="00DA747D">
        <w:rPr>
          <w:rFonts w:ascii="Times New Roman" w:hAnsi="Times New Roman" w:cs="Times New Roman"/>
          <w:sz w:val="24"/>
          <w:szCs w:val="24"/>
        </w:rPr>
        <w:t xml:space="preserve">poseer capacidades ágiles como condiciones necesarias para maximizar el desempeño de la cadena de suministro sostenible </w:t>
      </w:r>
      <w:r w:rsidRPr="00DA747D">
        <w:rPr>
          <w:rFonts w:ascii="Times New Roman" w:hAnsi="Times New Roman" w:cs="Times New Roman"/>
          <w:sz w:val="24"/>
          <w:szCs w:val="24"/>
        </w:rPr>
        <w:fldChar w:fldCharType="begin" w:fldLock="1"/>
      </w:r>
      <w:r w:rsidRPr="00DA747D">
        <w:rPr>
          <w:rFonts w:ascii="Times New Roman" w:hAnsi="Times New Roman" w:cs="Times New Roman"/>
          <w:sz w:val="24"/>
          <w:szCs w:val="24"/>
        </w:rPr>
        <w:instrText>ADDIN CSL_CITATION {"citationItems":[{"id":"ITEM-1","itemData":{"DOI":"10.1016/j.ijpe.2019.09.022","ISSN":"0925-5273","author":[{"dropping-particle":"","family":"Gey","given":"Dan’Asabe Godwin","non-dropping-particle":"","parse-names":false,"suffix":""},{"dropping-particle":"","family":"Yusuf","given":"Yahaya","non-dropping-particle":"","parse-names":false,"suffix":""},{"dropping-particle":"","family":"Menhat","given":"Masha S.","non-dropping-particle":"","parse-names":false,"suffix":""},{"dropping-particle":"","family":"Abubakar","given":"Tijjani","non-dropping-particle":"","parse-names":false,"suffix":""},{"dropping-particle":"","family":"Ogbuke","given":"Nnamdi J.","non-dropping-particle":"","parse-names":false,"suffix":""}],"container-title":"International Journal of Production Economics","id":"ITEM-1","issued":{"date-parts":[["2020"]]},"page":"107501","publisher":"Elsevier","title":"Agile capabilities as necessary conditions for maximising sustainable supply chain performance: An empirical investigation","type":"article-journal","volume":"222"},"uris":["http://www.mendeley.com/documents/?uuid=228e063e-0334-4990-8941-985d6ced5286"]}],"mendeley":{"formattedCitation":"(Gey et al., 2020)","manualFormatting":"(Gey, Yusuf, Menhat, Abubakar y Ogbuke, 2020)","plainTextFormattedCitation":"(Gey et al., 2020)","previouslyFormattedCitation":"(Gey et al., 2020)"},"properties":{"noteIndex":0},"schema":"https://github.com/citation-style-language/schema/raw/master/csl-citation.json"}</w:instrText>
      </w:r>
      <w:r w:rsidRPr="00DA747D">
        <w:rPr>
          <w:rFonts w:ascii="Times New Roman" w:hAnsi="Times New Roman" w:cs="Times New Roman"/>
          <w:sz w:val="24"/>
          <w:szCs w:val="24"/>
        </w:rPr>
        <w:fldChar w:fldCharType="separate"/>
      </w:r>
      <w:r w:rsidRPr="00DA747D">
        <w:rPr>
          <w:rFonts w:ascii="Times New Roman" w:hAnsi="Times New Roman" w:cs="Times New Roman"/>
          <w:noProof/>
          <w:sz w:val="24"/>
          <w:szCs w:val="24"/>
        </w:rPr>
        <w:t>(Gey, Yusuf, Menhat, Abubakar y Ogbuke, 2020)</w:t>
      </w:r>
      <w:r w:rsidRPr="00DA747D">
        <w:rPr>
          <w:rFonts w:ascii="Times New Roman" w:hAnsi="Times New Roman" w:cs="Times New Roman"/>
          <w:sz w:val="24"/>
          <w:szCs w:val="24"/>
        </w:rPr>
        <w:fldChar w:fldCharType="end"/>
      </w:r>
      <w:r w:rsidRPr="00DA747D">
        <w:rPr>
          <w:rFonts w:ascii="Times New Roman" w:hAnsi="Times New Roman" w:cs="Times New Roman"/>
          <w:sz w:val="24"/>
          <w:szCs w:val="24"/>
          <w:lang w:val="es-ES_tradnl"/>
        </w:rPr>
        <w:t xml:space="preserve"> y de administrar la relación entre los participantes y sus recursos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{"citationItems":[{"id":"ITEM-1","itemData":{"author":[{"dropping-particle":"","family":"Icarte-Ahumada","given":"Gabriel A","non-dropping-particle":"","parse-names":false,"suffix":""}],"container-title":"Ingeniare. Revista chilena de ingeniería","id":"ITEM-1","issue":"4","issued":{"date-parts":[["2016"]]},"page":"663-679","title":"Aplicaciones de inteligencia artificial en procesos de cadenas de suministros: una revisión sistemática Applications of artificial intelligence in supply chain process : a systematic review","type":"article-journal","volume":"24"},"uris":["http://www.mendeley.com/documents/?uuid=6b102bb7-2516-442e-99ff-cd41686f66e4"]}],"mendeley":{"formattedCitation":"(Icarte-Ahumada, 2016)","plainTextFormattedCitation":"(Icarte-Ahumada, 2016)","previouslyFormattedCitation":"(Icarte-Ahumada, 2016)"},"properties":{"noteIndex":0},"schema":"https://github.com/citation-style-language/schema/raw/master/csl-citation.json"}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(Icarte Ahumada, 2016)</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En la actualidad el </w:t>
      </w:r>
      <w:r w:rsidRPr="00DA747D">
        <w:rPr>
          <w:rFonts w:ascii="Times New Roman" w:hAnsi="Times New Roman" w:cs="Times New Roman"/>
          <w:sz w:val="24"/>
          <w:szCs w:val="24"/>
          <w:lang w:val="es-ES_tradnl"/>
        </w:rPr>
        <w:lastRenderedPageBreak/>
        <w:t xml:space="preserve">desempeño de las se considera un factor clave de análisis para el mejoramiento de los procesos de dichas cadenas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{"citationItems":[{"id":"ITEM-1","itemData":{"DOI":"10.14419/ijet.v7i4.26.27938","abstract":"In this study the improvement of supply chain process based on the supply chain management has been considered. In this regard, two vital factor of time and cost has been taken into account to optimize the process of product delivery. To harness the available methods, among the all options, the construction company’s integration has been elicited in order to improve the business process by concentrating best logistic and supply chain factors to improve the construction quality and standards. By ensuing the proposed methods, the importance of supply chain relationships in construction companies as well as efficiency of the flowed information in terms of relevant data to improve customer and supplier relation has been manifested. In the strategies, followed aforementioned trends, the best potential tools for improvement of constructed companies have been identified. At the end, implementing the mentioned strategies, the obtained results attested the quality performance and supply chain management expediency.","author":[{"dropping-particle":"","family":"Kumar","given":"Vivek","non-dropping-particle":"","parse-names":false,"suffix":""},{"dropping-particle":"","family":"Kumar","given":"Vikash","non-dropping-particle":"","parse-names":false,"suffix":""},{"dropping-particle":"","family":"Rao","given":"Y.","non-dropping-particle":"","parse-names":false,"suffix":""},{"dropping-particle":"","family":"Veeramalla","given":"Shashi","non-dropping-particle":"","parse-names":false,"suffix":""}],"container-title":"International Journal of Supply Chain Management","id":"ITEM-1","issue":"1","issued":{"date-parts":[["2019"]]},"page":"1-7","title":"Supply Chain Performance Influencer in Construction Domain: A Key Factor Analysis","type":"article-journal","volume":"4"},"uris":["http://www.mendeley.com/documents/?uuid=1c20a2e1-1d15-4b6f-aee5-dc884544d96d"]}],"mendeley":{"formattedCitation":"(Kumar, Kumar, Rao, &amp; Veeramalla, 2019)","manualFormatting":"(Kumar, Kumar, Rao y Veeramalla, 2019)","plainTextFormattedCitation":"(Kumar, Kumar, Rao, &amp; Veeramalla, 2019)","previouslyFormattedCitation":"(Kumar, Kumar, Rao, &amp; Veeramalla, 2019)"},"properties":{"noteIndex":0},"schema":"https://github.com/citation-style-language/schema/raw/master/csl-citation.json"}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(Kumar, Kumar, Rao y Veeramalla, 2019)</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La mejora continua de las CS requiere de una colaboración efectiva de todos los elementos que la componen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ISBN":"978-0-470-09588-1","author":[{"dropping-particle":"","family":"Parmenter","given":"D","non-dropping-particle":"","parse-names":false,"suffix":""}],"id":"ITEM-1","issued":{"date-parts":[["2015"]]},"number-of-pages":"448","publisher":"John Wiley &amp; Sons, Inc.","publisher-place":"New Jersey, USA.","title":"Key performance indicators: developing, implementing, and using winning KPIs","type":"book"},"uris":["http://www.mendeley.com/documents/?uuid=ad9d3a98-90bd-47df-bfaf-1f317bce9e63"]}],"mendeley":{"formattedCitation":"(Parmenter, 2015)","manualFormatting":"(Parmenter, 2015)","plainTextFormattedCitation":"(Parmenter, 2015)","previouslyFormattedCitation":"(Parmenter, 2015)"},"properties":{"noteIndex":0},"schema":"https://github.com/citation-style-language/schema/raw/master/csl-citation.json"}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(Parmenter, 2015)</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Este enfoque de gestión hace necesario reducir el riesgo y el negativo impacto ambiental a los niveles fijados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{"citationItems":[{"id":"ITEM-1","itemData":{"DOI":"10.1080/09537287.2012.666859","ISSN":"09537287 (ISSN)","abstract":"The main purpose of this research is to develop and deploy an analytical framework for measuring the environmental performance of manufacturing supply chains. This work's theoretical bases combine and reconcile three major areas: supply chain management, environmental management and performance measurement. Researchers have suggested many empirical criteria for green supply chain (GSC) performance measurement and proposed both qualitative and quantitative frameworks. However, these are mainly operational in nature and specific to the focal company. This research develops an innovative GSC performance measurement framework by integrating supply chain processes (supplier relationship management, internal supply chain management and customer relationship management) with organisational decision levels (both strategic and operational). Environmental planning, environmental auditing, management commitment, environmental performance, economic performance and operational performance are the key level constructs. The proposed framework is then applied to three selected manufacturing organisations in the UK. Their GSC performance is measured and benchmarked by using the analytic hierarchy process (AHP), a multiple-attribute decision-making technique. The AHP-based framework offers an effective way to measure and benchmark organisations GSC performance. This study has both theoretical and practical implications. Theoretically it contributes holistic constructs for designing a GSC and managing it for sustainability; and practically it helps industry practitioners to measure and improve the environmental performance of their supply chain. © 2013 Copyright Taylor and Francis Group, LLC.","author":[{"dropping-particle":"","family":"Dey","given":"P K","non-dropping-particle":"","parse-names":false,"suffix":""},{"dropping-particle":"","family":"Cheffi","given":"W","non-dropping-particle":"","parse-names":false,"suffix":""}],"container-title":"Production Planning and Control","id":"ITEM-1","issue":"8-9","issued":{"date-parts":[["2013"]]},"page":"702-720","title":"Green supply chain performance measurement using the analytic hierarchy process: A comparative analysis of manufacturing organisations","type":"article-journal","volume":"24"},"uris":["http://www.mendeley.com/documents/?uuid=cc2d3c0e-9f55-4e34-9449-79491d68181a"]}],"mendeley":{"formattedCitation":"(Dey &amp; Cheffi, 2013)","manualFormatting":"(Dey &amp; Cheffi, 2013)","plainTextFormattedCitation":"(Dey &amp; Cheffi, 2013)","previouslyFormattedCitation":"(Dey &amp; Cheffi, 2013)"},"properties":{"noteIndex":0},"schema":"https://github.com/citation-style-language/schema/raw/master/csl-citation.json"}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(Dey y Cheffi, 2013)</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acentuando la utilidad de considerar varios criterios para evaluar y mejorar el desempeño de la CS, mediante métricas integradas en un indicador o índice general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{"citationItems":[{"id":"ITEM-1","itemData":{"DOI":"10.1108/BIJ-05-2012-0034","abstract":"Purpose – A growing body of literature has begun in the direction of supply chain performance measurement. However, selecting the appropriate set of key performance indicators (KPIs) for measuring supply chain performance have always remained a challenge. The purpose of this paper is to identify the KPIs and categorize them specifically for measuring retail supply chain performance. Design/methodology/approach – A qualitative approach, based on literature has been adopted. Published literature from refereed journals on supply chain performance measurement has been considered and various approaches for developing KPIs have been studied to develop a theoretical framework for performance measurement in retail supply chain. Findings – The paper identifies key indicators for performance measurement and classifies them into fourmajor categories: transport optimization, information technology optimization, inventory optimization and resource optimization. These key indicators are arranged precisely for retail industry. A theoretical framework is proposed to link the performance of these constructs on financial performance of the firm. Research limitations/implications – Future research can be carried out to validate the relevance and applicability of identified indicators. The study can be further conducted to measure the interrelationships between the KPIs and their impact on financial performance of the firm. Practical implications – This study proposes a list of indicators for retail industry, which are presented in appropriate categories so that it can be used by the focussed teams for further improvement. Originality/value – To the best of authors’ knowledge, no other study has categorized the KPIs into groups, specifically for measuring retail supply chain performance. The researcher also intends to carry out further empirical study to test the proposed theoretical framework. ©Emerald Group Publishing Limited.","author":[{"dropping-particle":"","family":"Anand","given":"N","non-dropping-particle":"","parse-names":false,"suffix":""},{"dropping-particle":"","family":"Grover","given":"N","non-dropping-particle":"","parse-names":false,"suffix":""}],"container-title":"Benchmarking","id":"ITEM-1","issue":"1","issued":{"date-parts":[["2015"]]},"page":"135-166","title":"Measuring retail supply chain performance: Theoretical model using key performance indicators (KPIs)","type":"article-journal","volume":"22"},"uris":["http://www.mendeley.com/documents/?uuid=71c2a510-0e8b-47dd-868d-dfe87f2a5b75"]}],"mendeley":{"formattedCitation":"(Anand &amp; Grover, 2015)","manualFormatting":"(Anand &amp; Grover, 2015)","plainTextFormattedCitation":"(Anand &amp; Grover, 2015)","previouslyFormattedCitation":"(Anand &amp; Grover, 2015)"},"properties":{"noteIndex":0},"schema":"https://github.com/citation-style-language/schema/raw/master/csl-citation.json"}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(Anand y Grover, 2015)</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color w:val="221E1F"/>
          <w:sz w:val="24"/>
          <w:szCs w:val="24"/>
          <w:lang w:val="es-ES_tradnl"/>
        </w:rPr>
        <w:t xml:space="preserve">Las expectativas del siglo XXI </w:t>
      </w:r>
      <w:r w:rsidRPr="00DA747D">
        <w:rPr>
          <w:rFonts w:ascii="Times New Roman" w:hAnsi="Times New Roman" w:cs="Times New Roman"/>
          <w:color w:val="000000" w:themeColor="text1"/>
          <w:sz w:val="24"/>
          <w:szCs w:val="24"/>
          <w:lang w:val="es-ES_tradnl"/>
        </w:rPr>
        <w:t xml:space="preserve">han cambiado </w:t>
      </w:r>
      <w:r w:rsidRPr="00DA747D">
        <w:rPr>
          <w:rFonts w:ascii="Times New Roman" w:hAnsi="Times New Roman" w:cs="Times New Roman"/>
          <w:color w:val="221E1F"/>
          <w:sz w:val="24"/>
          <w:szCs w:val="24"/>
          <w:lang w:val="es-ES_tradnl"/>
        </w:rPr>
        <w:t xml:space="preserve">y se observa un énfasis en las prácticas limpias y la dimensión social, manteniéndose el criterio económico en el desempeño de una CS, con el nombre de cadenas de suministro sostenibles (CSS) </w:t>
      </w:r>
      <w:r w:rsidRPr="00DA747D">
        <w:rPr>
          <w:rFonts w:ascii="Times New Roman" w:hAnsi="Times New Roman" w:cs="Times New Roman"/>
          <w:color w:val="221E1F"/>
          <w:sz w:val="24"/>
          <w:szCs w:val="24"/>
          <w:lang w:val="es-ES_tradnl"/>
        </w:rPr>
        <w:fldChar w:fldCharType="begin" w:fldLock="1"/>
      </w:r>
      <w:r w:rsidRPr="00DA747D">
        <w:rPr>
          <w:rFonts w:ascii="Times New Roman" w:hAnsi="Times New Roman" w:cs="Times New Roman"/>
          <w:color w:val="221E1F"/>
          <w:sz w:val="24"/>
          <w:szCs w:val="24"/>
          <w:lang w:val="es-ES_tradnl"/>
        </w:rPr>
        <w:instrText>ADDIN CSL_CITATION {"citationItems":[{"id":"ITEM-1","itemData":{"DOI":"10.11144/Javeriana.cao29-53.oacs.","ISSN":"0120-3592","abstract":"Knowledge about sustainable supply chain practices in developing eco- nomies is still lacking. Consequently, this research empirically explores the organizational antecedents and the implementation of Sustainable Supply Chain Management (SSCM) practices for a purposeful sample of focal firms in Colombia. A semi-structured qualitative research de- sign is followed. This study contributes to the development of SSCM theory by providing empirical grounds for understanding the nature of these practices and the extent of their implementation in a particular industrial context, as well as by assessing whether and how they affect the focal firms' competitiveness. Additionally, the main results suggest that environmental and social responsibilities are increasingly important issues for the stakeholders of focal companies in emergent economies.","author":[{"dropping-particle":"","family":"Chacón Vargas","given":"Jairo Raúl","non-dropping-particle":"","parse-names":false,"suffix":""},{"dropping-particle":"","family":"Moreno Mantilla","given":"Carlos Eduardo","non-dropping-particle":"","parse-names":false,"suffix":""}],"container-title":"Cuadernos de Administración","id":"ITEM-1","issue":"53","issued":{"date-parts":[["2016"]]},"page":"46","title":"Organizational antecedents and capabilities for sustainable supply chain management in developing economies: The case of Colombian focal firms","type":"article-journal","volume":"29"},"uris":["http://www.mendeley.com/documents/?uuid=ff4bf281-0f3a-4499-8bb6-1e4ec3fae605"]},{"id":"ITEM-2","itemData":{"DOI":"10.1016/j.procir.2014.07.035","ISBN":"6075510133","ISSN":"22128271","author":[{"dropping-particle":"","family":"Chin","given":"Thoo Ai","non-dropping-particle":"","parse-names":false,"suffix":""},{"dropping-particle":"","family":"Tat","given":"Huam Hon","non-dropping-particle":"","parse-names":false,"suffix":""},{"dropping-particle":"","family":"Sulaiman","given":"Zuraidah","non-dropping-particle":"","parse-names":false,"suffix":""}],"container-title":"Procedia CIRP","id":"ITEM-2","issue":"2015","issued":{"date-parts":[["2015"]]},"page":"695-699","publisher":"Elsevier B.V.","title":"Green Supply Chain Management, Environmental Collaboration and Sustainability Performance","type":"article-journal","volume":"26"},"uris":["http://www.mendeley.com/documents/?uuid=f20f4755-c919-40c3-a55d-933c8bd807a7"]}],"mendeley":{"formattedCitation":"(Chacón Vargas &amp; Moreno Mantilla, 2016; Chin, Tat, &amp; Sulaiman, 2015)","manualFormatting":"(Chacón Vargas &amp; Moreno Mantilla, 2016; Chin et al., 2015)","plainTextFormattedCitation":"(Chacón Vargas &amp; Moreno Mantilla, 2016; Chin, Tat, &amp; Sulaiman, 2015)","previouslyFormattedCitation":"(Chacón Vargas &amp; Moreno Mantilla, 2016; Chin, Tat, &amp; Sulaiman, 2015)"},"properties":{"noteIndex":0},"schema":"https://github.com/citation-style-language/schema/raw/master/csl-citation.json"}</w:instrText>
      </w:r>
      <w:r w:rsidRPr="00DA747D">
        <w:rPr>
          <w:rFonts w:ascii="Times New Roman" w:hAnsi="Times New Roman" w:cs="Times New Roman"/>
          <w:color w:val="221E1F"/>
          <w:sz w:val="24"/>
          <w:szCs w:val="24"/>
          <w:lang w:val="es-ES_tradnl"/>
        </w:rPr>
        <w:fldChar w:fldCharType="separate"/>
      </w:r>
      <w:r w:rsidRPr="00DA747D">
        <w:rPr>
          <w:rFonts w:ascii="Times New Roman" w:hAnsi="Times New Roman" w:cs="Times New Roman"/>
          <w:noProof/>
          <w:color w:val="221E1F"/>
          <w:sz w:val="24"/>
          <w:szCs w:val="24"/>
          <w:lang w:val="es-ES_tradnl"/>
        </w:rPr>
        <w:t xml:space="preserve">(Chacón Vargas y Moreno Mantilla, 2016; Chin, Tat y </w:t>
      </w:r>
      <w:r w:rsidRPr="00DA747D">
        <w:rPr>
          <w:rFonts w:ascii="Times New Roman" w:hAnsi="Times New Roman" w:cs="Times New Roman"/>
          <w:noProof/>
          <w:sz w:val="24"/>
          <w:szCs w:val="24"/>
          <w:lang w:val="es-ES_tradnl"/>
        </w:rPr>
        <w:t>Sulaiman</w:t>
      </w:r>
      <w:r w:rsidRPr="00DA747D">
        <w:rPr>
          <w:rFonts w:ascii="Times New Roman" w:hAnsi="Times New Roman" w:cs="Times New Roman"/>
          <w:noProof/>
          <w:color w:val="221E1F"/>
          <w:sz w:val="24"/>
          <w:szCs w:val="24"/>
          <w:lang w:val="es-ES_tradnl"/>
        </w:rPr>
        <w:t>, 2015)</w:t>
      </w:r>
      <w:r w:rsidRPr="00DA747D">
        <w:rPr>
          <w:rFonts w:ascii="Times New Roman" w:hAnsi="Times New Roman" w:cs="Times New Roman"/>
          <w:color w:val="221E1F"/>
          <w:sz w:val="24"/>
          <w:szCs w:val="24"/>
          <w:lang w:val="es-ES_tradnl"/>
        </w:rPr>
        <w:fldChar w:fldCharType="end"/>
      </w:r>
      <w:r w:rsidRPr="00DA747D">
        <w:rPr>
          <w:rFonts w:ascii="Times New Roman" w:hAnsi="Times New Roman" w:cs="Times New Roman"/>
          <w:sz w:val="24"/>
          <w:szCs w:val="24"/>
          <w:lang w:val="es-ES_tradnl"/>
        </w:rPr>
        <w:t xml:space="preserve">. La sostenibilidad en el desempeño de la CS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{"citationItems":[{"id":"ITEM-1","itemData":{"DOI":"10.1016/j.ijpe.2017.12.007","ISSN":"09255273","abstract":"Nowadays, most organizations consider adoption of sustainable practices as not only a competitive advantage but also a necessity for long-term survival. It is, therefore, imperative that we include sustainability in measuring the supply chain performance of a firm. However, very few studies have investigated the impact of sustainability on supply chain performance. This paper presents a unique approach for calculating a supply chain performance index, which could be used by automobile firms. Based on literature review and expert opinion, we first identified the supply chain functions that influence sustainability and supply chain performance. Subsequently, a questionnaire was designed, and a survey of Indian automobile firms was conducted. The partial least squares technique was used to explore the relationship between the identified factors and supply chain performance. Moreover, an integrated model combining the partial least squares and analytic hierarchy process was developed to compute the supply chain performance index. We further found that sustainability performance mediates the relationships of supply chain functions to supply chain performance. Finally, implications to theory and practice are discussed, especially for emerging economies.","author":[{"dropping-particle":"","family":"Katiyar","given":"Rajesh","non-dropping-particle":"","parse-names":false,"suffix":""},{"dropping-particle":"","family":"Meena","given":"Purushottam L.","non-dropping-particle":"","parse-names":false,"suffix":""},{"dropping-particle":"","family":"Barua","given":"Mukesh Kumar","non-dropping-particle":"","parse-names":false,"suffix":""},{"dropping-particle":"","family":"Tibrewala","given":"Rajen","non-dropping-particle":"","parse-names":false,"suffix":""},{"dropping-particle":"","family":"Kumar","given":"Gopal","non-dropping-particle":"","parse-names":false,"suffix":""}],"container-title":"International Journal of Production Economics","id":"ITEM-1","issue":"2018","issued":{"date-parts":[["2018"]]},"page":"303-316","publisher":"Elsevier B.V.","title":"Impact of sustainability and manufacturing practices on supply chain performance: Findings from an emerging economy","type":"article-journal","volume":"197"},"uris":["http://www.mendeley.com/documents/?uuid=976ac3cc-404d-4520-9f42-72f825a66da2"]}],"mendeley":{"formattedCitation":"(Katiyar, Meena, Barua, Tibrewala, &amp; Kumar, 2018)","manualFormatting":"( Katiyar, Barua, Tibrewala y Kumar, 2018)","plainTextFormattedCitation":"(Katiyar, Meena, Barua, Tibrewala, &amp; Kumar, 2018)","previouslyFormattedCitation":"(Katiyar, Meena, Barua, Tibrewala, &amp; Kumar, 2018)"},"properties":{"noteIndex":0},"schema":"https://github.com/citation-style-language/schema/raw/master/csl-citation.json"}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(Katiyar, Barua, Tibre</w:t>
      </w:r>
      <w:r w:rsidRPr="00DA747D">
        <w:rPr>
          <w:rFonts w:ascii="Times New Roman" w:hAnsi="Times New Roman" w:cs="Times New Roman"/>
          <w:noProof/>
          <w:sz w:val="24"/>
          <w:szCs w:val="24"/>
          <w:highlight w:val="yellow"/>
          <w:lang w:val="es-ES_tradnl"/>
        </w:rPr>
        <w:t>wala y Ku</w:t>
      </w:r>
      <w:r w:rsidRPr="00DA747D">
        <w:rPr>
          <w:rFonts w:ascii="Times New Roman" w:hAnsi="Times New Roman" w:cs="Times New Roman"/>
          <w:noProof/>
          <w:sz w:val="24"/>
          <w:szCs w:val="24"/>
          <w:lang w:val="es-ES_tradnl"/>
        </w:rPr>
        <w:t>mar, 2018)</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ha ganado interés entre académicos y empresarios por la consideración de aspectos sociales y ambientales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{"citationItems":[{"id":"ITEM-1","itemData":{"DOI":"10.1016/j.ijpe.2017.10.025","ISSN":"09255273","abstract":"Sustainability is gaining interest among academics and practitioners due to increased stakeholder awareness of environmental and social issues. However, relatively little research has been conducted on the extent to which firms have integrated social sustainability aspects into the management of their supply chains in emerging economies. The purpose of this article is to explore the social issues pertinent to suppliers and to identify measures and dimensions related to social sustainability in emerging economies. Further, it explores the benefits suppliers and buyers gain by effectively managing such social issues. For this purpose, first, in-depth interviews were conducted with 27 supply chain managers. Further, a survey was conducted in Indian manufacturing industries and co-variance-based structural equation modeling was used to test the hypothesized model. The findings reveal that there are 18 validated supplier social sustainability measures underlying five social dimensions: labor rights, safety and health, societal responsibility, diversity, and product responsibility. The results also suggest a positive relationship between supplier social sustainability practices and supply chain performance mediated by supplier performance. In addition, the role of the buyer's commitment and investment moderates both suppliers and supply chain performance. These results are relevant because they not only identify the social issues plaguing supply chains in emerging economies, but also have practical implications for organizations trying to build socially sustainable supply chains for competitive advantage.","author":[{"dropping-particle":"","family":"Mani","given":"Venkatesh","non-dropping-particle":"","parse-names":false,"suffix":""},{"dropping-particle":"","family":"Gunasekaran","given":"Angappa","non-dropping-particle":"","parse-names":false,"suffix":""},{"dropping-particle":"","family":"Delgado","given":"Catarina","non-dropping-particle":"","parse-names":false,"suffix":""}],"container-title":"International Journal of Production Economics","id":"ITEM-1","issue":"March 2018","issued":{"date-parts":[["2018"]]},"page":"259-272","publisher":"Elsevier Ltd","title":"Enhancing supply chain performance through supplier social sustainability: An emerging economy perspective","type":"article-journal","volume":"195"},"uris":["http://www.mendeley.com/documents/?uuid=db8c38dc-1441-465c-973a-14250015d581"]}],"mendeley":{"formattedCitation":"(Mani, Gunasekaran, &amp; Delgado, 2018)","manualFormatting":"( Mani, Gunasekaran y Delgado, 2018)","plainTextFormattedCitation":"(Mani, Gunasekaran, &amp; Delgado, 2018)","previouslyFormattedCitation":"(Mani, Gunasekaran, &amp; Delgado, 2018)"},"properties":{"noteIndex":0},"schema":"https://github.com/citation-style-language/schema/raw/master/csl-citation.json"}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(Mani, Gunasekaran y Delgado, 2018)</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Esto requiere de mecanismos robustos de medición, necesarios para transitar hacia una economía más limpia </w:t>
      </w:r>
      <w:r w:rsidRPr="00DA747D">
        <w:rPr>
          <w:rFonts w:ascii="Times New Roman" w:hAnsi="Times New Roman" w:cs="Times New Roman"/>
          <w:color w:val="000000" w:themeColor="text1"/>
          <w:sz w:val="24"/>
          <w:szCs w:val="24"/>
          <w:lang w:val="es-ES_tradnl"/>
        </w:rPr>
        <w:fldChar w:fldCharType="begin" w:fldLock="1"/>
      </w:r>
      <w:r w:rsidRPr="00DA747D">
        <w:rPr>
          <w:rFonts w:ascii="Times New Roman" w:hAnsi="Times New Roman" w:cs="Times New Roman"/>
          <w:color w:val="000000" w:themeColor="text1"/>
          <w:sz w:val="24"/>
          <w:szCs w:val="24"/>
          <w:lang w:val="es-ES_tradnl"/>
        </w:rPr>
        <w:instrText>ADDIN CSL_CITATION {"citationItems":[{"id":"ITEM-1","itemData":{"DOI":"10.1016/j.ejor.2017.10.057","ISSN":"03772217","abstract":"The development of robust mechanisms for supply chain performance measurement have been identified as an integral step needed for the transition towards sustainable supply chain systems and a greener global economy. However, measuring the environmental performance of supply chains is a challenging task, due to several factors, such as the lack of standardised methodologies and the inherent multi-criteria nature of the problem. By leveraging the capability of a Multi-Regional Input-Output framework to handle the complex and global nature of supply chains, the current work presents a robust environmental sustainable performance measurement model underpinned by industrial lifecycle thinking.As a result, some theoretical insights are provided and an empirical application of the model to the Metal Products industry of the BRICS (Brazil, Russia, India, China, and South Africa) nations undertaken in an attempt to address some of the methodological and applied measurement challenges. In particular, this allowed the modelling of carbon emissions trends within, and between the BRICS nations and with the Rest-of-the-World over a 20-year period (1992-2011) as well as providing an opportunity to hypothesis on their future carbon emissions performances. Specific analyses of the Metal Product industry showed that demand represents the main driver for the increasing carbon footprint. However, the overall decline in reported carbon footprint was due to improvements in emissions intensity and efficiency gains induced by technology. The study further assesses the effects of imports and economic growth on carbon footprint and discusses the implications of the study to sustainability transition processes in the BRICS nations.","author":[{"dropping-particle":"","family":"Acquaye","given":"Adolf","non-dropping-particle":"","parse-names":false,"suffix":""},{"dropping-particle":"","family":"Ibn-Mohammed","given":"Taofeeq","non-dropping-particle":"","parse-names":false,"suffix":""},{"dropping-particle":"","family":"Genovese","given":"Andrea","non-dropping-particle":"","parse-names":false,"suffix":""},{"dropping-particle":"","family":"Afrifa","given":"Godfred A","non-dropping-particle":"","parse-names":false,"suffix":""},{"dropping-particle":"","family":"Yamoah","given":"Fred A","non-dropping-particle":"","parse-names":false,"suffix":""},{"dropping-particle":"","family":"Oppon","given":"Eunice","non-dropping-particle":"","parse-names":false,"suffix":""}],"container-title":"European Journal of Operational Research","id":"ITEM-1","issue":"1","issued":{"date-parts":[["2017"]]},"page":"188-205","publisher":"Elsevier B.V.","title":"A quantitative model for environmentally sustainable supply chain performance measurement","type":"article-journal","volume":"268"},"uris":["http://www.mendeley.com/documents/?uuid=32ffff6f-18b7-4fe8-8519-b969a5392a00"]}],"mendeley":{"formattedCitation":"(Acquaye et al., 2017)","manualFormatting":"(Acquaye, Ibn, Genovese, Afrifa, Yamoah y Oppon, 2017)","plainTextFormattedCitation":"(Acquaye et al., 2017)","previouslyFormattedCitation":"(Acquaye et al., 2017)"},"properties":{"noteIndex":0},"schema":"https://github.com/citation-style-language/schema/raw/master/csl-citation.json"}</w:instrText>
      </w:r>
      <w:r w:rsidRPr="00DA747D">
        <w:rPr>
          <w:rFonts w:ascii="Times New Roman" w:hAnsi="Times New Roman" w:cs="Times New Roman"/>
          <w:color w:val="000000" w:themeColor="text1"/>
          <w:sz w:val="24"/>
          <w:szCs w:val="24"/>
          <w:lang w:val="es-ES_tradnl"/>
        </w:rPr>
        <w:fldChar w:fldCharType="separate"/>
      </w:r>
      <w:r w:rsidRPr="00DA747D">
        <w:rPr>
          <w:rFonts w:ascii="Times New Roman" w:hAnsi="Times New Roman" w:cs="Times New Roman"/>
          <w:noProof/>
          <w:color w:val="000000" w:themeColor="text1"/>
          <w:sz w:val="24"/>
          <w:szCs w:val="24"/>
          <w:lang w:val="es-ES_tradnl"/>
        </w:rPr>
        <w:t>(Acquaye, Ibn, Genovese, Afrifa, Yamo</w:t>
      </w:r>
      <w:r w:rsidRPr="00DA747D">
        <w:rPr>
          <w:rFonts w:ascii="Times New Roman" w:hAnsi="Times New Roman" w:cs="Times New Roman"/>
          <w:noProof/>
          <w:color w:val="000000" w:themeColor="text1"/>
          <w:sz w:val="24"/>
          <w:szCs w:val="24"/>
          <w:highlight w:val="yellow"/>
          <w:lang w:val="es-ES_tradnl"/>
        </w:rPr>
        <w:t>ah y Op</w:t>
      </w:r>
      <w:r w:rsidRPr="00DA747D">
        <w:rPr>
          <w:rFonts w:ascii="Times New Roman" w:hAnsi="Times New Roman" w:cs="Times New Roman"/>
          <w:noProof/>
          <w:color w:val="000000" w:themeColor="text1"/>
          <w:sz w:val="24"/>
          <w:szCs w:val="24"/>
          <w:lang w:val="es-ES_tradnl"/>
        </w:rPr>
        <w:t>pon, 2017)</w:t>
      </w:r>
      <w:r w:rsidRPr="00DA747D">
        <w:rPr>
          <w:rFonts w:ascii="Times New Roman" w:hAnsi="Times New Roman" w:cs="Times New Roman"/>
          <w:color w:val="000000" w:themeColor="text1"/>
          <w:sz w:val="24"/>
          <w:szCs w:val="24"/>
          <w:lang w:val="es-ES_tradnl"/>
        </w:rPr>
        <w:fldChar w:fldCharType="end"/>
      </w:r>
      <w:r w:rsidRPr="00DA747D">
        <w:rPr>
          <w:rFonts w:ascii="Times New Roman" w:hAnsi="Times New Roman" w:cs="Times New Roman"/>
          <w:color w:val="000000" w:themeColor="text1"/>
          <w:sz w:val="24"/>
          <w:szCs w:val="24"/>
          <w:lang w:val="es-ES_tradnl"/>
        </w:rPr>
        <w:t xml:space="preserve">. Las métricas empleadas en esta evaluación están dirigidas a los </w:t>
      </w:r>
      <w:r w:rsidRPr="00DA747D">
        <w:rPr>
          <w:rFonts w:ascii="Times New Roman" w:hAnsi="Times New Roman" w:cs="Times New Roman"/>
          <w:sz w:val="24"/>
          <w:szCs w:val="24"/>
          <w:lang w:val="es-ES_tradnl"/>
        </w:rPr>
        <w:t xml:space="preserve">actores claves, al contexto de sostenibilidad y a sus características. </w:t>
      </w:r>
    </w:p>
    <w:p w:rsidR="00DA747D" w:rsidRPr="00DA747D" w:rsidRDefault="00DA747D" w:rsidP="00DA747D">
      <w:pPr>
        <w:pStyle w:val="NormalWeb"/>
        <w:spacing w:before="0" w:beforeAutospacing="0" w:after="0" w:afterAutospacing="0" w:line="276" w:lineRule="auto"/>
        <w:jc w:val="both"/>
        <w:rPr>
          <w:lang w:val="es-ES_tradnl"/>
        </w:rPr>
      </w:pPr>
      <w:r w:rsidRPr="00DA747D">
        <w:rPr>
          <w:lang w:val="es-ES_tradnl"/>
        </w:rPr>
        <w:t xml:space="preserve">Varios investigadores han realizado importantes aportes </w:t>
      </w:r>
      <w:r w:rsidRPr="00DA747D">
        <w:rPr>
          <w:color w:val="000000" w:themeColor="text1"/>
          <w:lang w:val="es-ES_tradnl"/>
        </w:rPr>
        <w:t xml:space="preserve">utilizando técnicas </w:t>
      </w:r>
      <w:r w:rsidRPr="00DA747D">
        <w:rPr>
          <w:lang w:val="es-ES_tradnl"/>
        </w:rPr>
        <w:t xml:space="preserve">con enfoque difuso debido a la incertidumbre de la información para evaluar el desempeño, sin mostrar un indicador integral. A su vez, estos indicadores están compuestos por criterios con un enfoque funcional o departamental de la CS </w:t>
      </w:r>
      <w:r w:rsidRPr="00DA747D">
        <w:rPr>
          <w:lang w:val="es-ES_tradnl"/>
        </w:rPr>
        <w:fldChar w:fldCharType="begin" w:fldLock="1"/>
      </w:r>
      <w:r w:rsidRPr="00DA747D">
        <w:rPr>
          <w:lang w:val="es-ES_tradnl"/>
        </w:rPr>
        <w:instrText>ADDIN CSL_CITATION {"citationItems":[{"id":"ITEM-1","itemData":{"DOI":"10.1016/j.ejor.2017.10.057","ISSN":"03772217","abstract":"The development of robust mechanisms for supply chain performance measurement have been identified as an integral step needed for the transition towards sustainable supply chain systems and a greener global economy. However, measuring the environmental performance of supply chains is a challenging task, due to several factors, such as the lack of standardised methodologies and the inherent multi-criteria nature of the problem. By leveraging the capability of a Multi-Regional Input-Output framework to handle the complex and global nature of supply chains, the current work presents a robust environmental sustainable performance measurement model underpinned by industrial lifecycle thinking.As a result, some theoretical insights are provided and an empirical application of the model to the Metal Products industry of the BRICS (Brazil, Russia, India, China, and South Africa) nations undertaken in an attempt to address some of the methodological and applied measurement challenges. In particular, this allowed the modelling of carbon emissions trends within, and between the BRICS nations and with the Rest-of-the-World over a 20-year period (1992-2011) as well as providing an opportunity to hypothesis on their future carbon emissions performances. Specific analyses of the Metal Product industry showed that demand represents the main driver for the increasing carbon footprint. However, the overall decline in reported carbon footprint was due to improvements in emissions intensity and efficiency gains induced by technology. The study further assesses the effects of imports and economic growth on carbon footprint and discusses the implications of the study to sustainability transition processes in the BRICS nations.","author":[{"dropping-particle":"","family":"Acquaye","given":"Adolf","non-dropping-particle":"","parse-names":false,"suffix":""},{"dropping-particle":"","family":"Ibn-Mohammed","given":"Taofeeq","non-dropping-particle":"","parse-names":false,"suffix":""},{"dropping-particle":"","family":"Genovese","given":"Andrea","non-dropping-particle":"","parse-names":false,"suffix":""},{"dropping-particle":"","family":"Afrifa","given":"Godfred A","non-dropping-particle":"","parse-names":false,"suffix":""},{"dropping-particle":"","family":"Yamoah","given":"Fred A","non-dropping-particle":"","parse-names":false,"suffix":""},{"dropping-particle":"","family":"Oppon","given":"Eunice","non-dropping-particle":"","parse-names":false,"suffix":""}],"container-title":"European Journal of Operational Research","id":"ITEM-1","issue":"1","issued":{"date-parts":[["2017"]]},"page":"188-205","publisher":"Elsevier B.V.","title":"A quantitative model for environmentally sustainable supply chain performance measurement","type":"article-journal","volume":"268"},"uris":["http://www.mendeley.com/documents/?uuid=32ffff6f-18b7-4fe8-8519-b969a5392a00"]},{"id":"ITEM-2","itemData":{"DOI":"10.1016/j.procir.2014.07.035","ISBN":"6075510133","ISSN":"22128271","author":[{"dropping-particle":"","family":"Chin","given":"Thoo Ai","non-dropping-particle":"","parse-names":false,"suffix":""},{"dropping-particle":"","family":"Tat","given":"Huam Hon","non-dropping-particle":"","parse-names":false,"suffix":""},{"dropping-particle":"","family":"Sulaiman","given":"Zuraidah","non-dropping-particle":"","parse-names":false,"suffix":""}],"container-title":"Procedia CIRP","id":"ITEM-2","issue":"2015","issued":{"date-parts":[["2015"]]},"page":"695-699","publisher":"Elsevier B.V.","title":"Green Supply Chain Management, Environmental Collaboration and Sustainability Performance","type":"article-journal","volume":"26"},"uris":["http://www.mendeley.com/documents/?uuid=f20f4755-c919-40c3-a55d-933c8bd807a7"]},{"id":"ITEM-3","itemData":{"DOI":"10.1016/j.jclepro.2014.09.089","ISBN":"8814997888","ISSN":"09596526","author":[{"dropping-particle":"","family":"Jakhar","given":"Suresh Kumar","non-dropping-particle":"","parse-names":false,"suffix":""}],"container-title":"Journal of Cleaner Production","id":"ITEM-3","issue":"2015","issued":{"date-parts":[["2015"]]},"page":"391-413","publisher":"Elsevier Ltd","title":"Performance evaluation and a flow allocation decision model for a sustainable supply chain of an apparel industry","type":"article-journal","volume":"87"},"uris":["http://www.mendeley.com/documents/?uuid=3e2bdaf1-b369-4773-8aa0-712bccb50929"]},{"id":"ITEM-4","itemData":{"ISBN":"9780985549763","ISSN":"21698767","abstract":"©IEOM Society International. The purpose of this paper is to introduce a framework to measure the sustainable performance of supply chains. The supply chain stakeholders in this study are suppliers, a manufacturer, customer and the surrounding community. The proposed sustainable supply chain performance measurement consists of three dimensions with 14 indicators. In order to assess overall sustainability of the studied supply chain, a composite index is developed to combine all indicators to reflect the sustainability performance of the supply chain. The case of the sugar industry in Thailand is selected as an illustrative case. There are 4 steps to create the composite index which are (1) measuring value (2) normalization method (3) weighting of indicators (4) aggregation method. The numerical example, based on obtained data of the Thai sugar industry, is provided in order to explain how to calculate the composite index. The findings show that the overall sustainable supply chain score of the manufacturer is 55.61% while suppliers, customers and the community, achieved a composite index score of 80.97% and 75.00% respectively. The major contribution of this paper is the development of sustainable supply chain indicators between supply chain stakeholders and an approach to measure overall sustainable supply chain performance via the development of a composite index.","author":[{"dropping-particle":"","family":"Sopadang","given":"A","non-dropping-particle":"","parse-names":false,"suffix":""},{"dropping-particle":"","family":"Wichaisri","given":"S","non-dropping-particle":"","parse-names":false,"suffix":""},{"dropping-particle":"","family":"Banomyong","given":"R","non-dropping-particle":"","parse-names":false,"suffix":""}],"container-title":"Proceedings of the International Conference on Industrial Engineering and Operations Management","id":"ITEM-4","issued":{"date-parts":[["2017"]]},"page":"1-12","title":"Sustainable supply chain performance measurement a case study of the sugar industry","type":"paper-conference"},"uris":["http://www.mendeley.com/documents/?uuid=16affee3-106f-4485-b471-46352d93b5eb"]},{"id":"ITEM-5","itemData":{"DOI":"10.3233/JIFS-16802","ISSN":"18758967","abstract":"Today, with the development of economic globalization, the quality\\ncompetition between enterprises has extended to the supply chain. If the\\nenterprises want to get sustainable development, the traditional\\nclosed{''}Vertical Integration{''} mode needs to be changed;\\n``Horizontal Integration{''} has become the inevitable choice of\\nenterprises. With the development of performance management and supply\\nchain technology, the combination of the two and focusing on the green\\nsupply chain quality management under low-carbon agricultural economy\\nenvironment have become the hot topics in both academic area and\\npractical area. In this paper, we study on the multiple attribute\\ndecision making problems to estimate the green supply chain performance\\nunder low-carbon agricultural economy environment with 2-tuple\\nlinguistic information. Then, we propose the 2-tuple power Einstein\\nweighted geometric (2TPEWG) operatorfor aggregating 2-tuple linguistic\\ninformation, and then apply 2TPEWG operator for evaluating the green\\nsupply chain performance under low-carbon agricultural economy\\nenvironment with 2-tuple linguistic information. In the end, we propose\\nan example to test the effectiveness of our proposed method.","author":[{"dropping-particle":"","family":"Tong","given":"Yun","non-dropping-particle":"","parse-names":false,"suffix":""}],"container-title":"Journal of Intelligent and Fuzzy Systems","id":"ITEM-5","issue":"3","issued":{"date-parts":[["2017"]]},"page":"2717-2723","title":"Model for evaluating the green supply chain performance under low-carbon agricultural economy environment with 2-tuple linguistic information","type":"article-journal","volume":"32"},"uris":["http://www.mendeley.com/documents/?uuid=41bd312b-4e07-4893-9634-5ea9e4757194"]},{"id":"ITEM-6","itemData":{"DOI":"10.1016/j.cie.2016.02.020","ISSN":"03608352","author":[{"dropping-particle":"","family":"Uygun","given":"Özer","non-dropping-particle":"","parse-names":false,"suffix":""},{"dropping-particle":"","family":"Dede","given":"Ayşe","non-dropping-particle":"","parse-names":false,"suffix":""}],"container-title":"Computers &amp; Industrial Engineering","id":"ITEM-6","issue":"2016","issued":{"date-parts":[["2016"]]},"page":"502--511.","title":"Performance evaluation of green supply chain management using integrated fuzzy multi-criteria decision making techniques","type":"article-journal","volume":"102"},"uris":["http://www.mendeley.com/documents/?uuid=4646f505-2a5b-4bb9-b10a-824c73785c04"]},{"id":"ITEM-7","itemData":{"author":[{"dropping-particle":"","family":"Wang","given":"F","non-dropping-particle":"","parse-names":false,"suffix":""}],"container-title":"2nd International Conference on Economics, Trade and Development","id":"ITEM-7","issued":{"date-parts":[["2012"]]},"page":"111-114","publisher":"IACSIT","publisher-place":"Singapore","title":"Research on performance measurement of green supply chain management","type":"paper-conference","volume":"36"},"uris":["http://www.mendeley.com/documents/?uuid=656f1797-3bba-4f2f-81e8-d602e8eeb5f5"]},{"id":"ITEM-8","itemData":{"DOI":"10.3233/JIFS-16576","ISSN":"10641246","author":[{"dropping-particle":"","family":"Zhang","given":"Huan","non-dropping-particle":"","parse-names":false,"suffix":""}],"container-title":"Journal of Intelligent &amp; Fuzzy Systems","id":"ITEM-8","issue":"3","issued":{"date-parts":[["2017"]]},"page":"2625-2631","title":"Research on fuzzy evaluation of performance in green supply chain based on environmental economics","type":"article-journal","volume":"32"},"uris":["http://www.mendeley.com/documents/?uuid=75010775-837e-400a-a428-d55bd4ecf6fd"]}],"mendeley":{"formattedCitation":"(Acquaye et al., 2017; Chin et al., 2015; Jakhar, 2015; Sopadang, Wichaisri, &amp; Banomyong, 2017; Tong, 2017; Uygun &amp; Dede, 2016; Wang, 2012; H. Zhang, 2017)","manualFormatting":"(Acquaye et al., 2017; Chin et al., 2015; Jakhar, 2015; Sopadang et al., 2017; Tong, 2017; Uygun &amp; Dede, 2016; Wang, 2012; Zhang, 2017)","plainTextFormattedCitation":"(Acquaye et al., 2017; Chin et al., 2015; Jakhar, 2015; Sopadang, Wichaisri, &amp; Banomyong, 2017; Tong, 2017; Uygun &amp; Dede, 2016; Wang, 2012; H. Zhang, 2017)","previouslyFormattedCitation":"(Acquaye et al., 2017; Chin et al., 2015; Jakhar, 2015; Sopadang, Wichaisri, &amp; Banomyong, 2017; Tong, 2017; Uygun &amp; Dede, 2016; Wang, 2012; H. Zhang, 2017)"},"properties":{"noteIndex":0},"schema":"https://github.com/citation-style-language/schema/raw/master/csl-citation.json"}</w:instrText>
      </w:r>
      <w:r w:rsidRPr="00DA747D">
        <w:rPr>
          <w:lang w:val="es-ES_tradnl"/>
        </w:rPr>
        <w:fldChar w:fldCharType="separate"/>
      </w:r>
      <w:r w:rsidRPr="00DA747D">
        <w:rPr>
          <w:noProof/>
          <w:lang w:val="es-ES_tradnl"/>
        </w:rPr>
        <w:t>(Acquaye et al. 2017; Chin et al., 2015; Jakhar, 2015; Sopadang, Wicha</w:t>
      </w:r>
      <w:r w:rsidRPr="00DA747D">
        <w:rPr>
          <w:noProof/>
          <w:highlight w:val="yellow"/>
          <w:lang w:val="es-ES_tradnl"/>
        </w:rPr>
        <w:t>isri y Ba</w:t>
      </w:r>
      <w:r w:rsidRPr="00DA747D">
        <w:rPr>
          <w:noProof/>
          <w:lang w:val="es-ES_tradnl"/>
        </w:rPr>
        <w:t>nomyong, 2017; Tong, 2017; Uygun y Dede, 2016; Wang, 2012; Zhang, 2017)</w:t>
      </w:r>
      <w:r w:rsidRPr="00DA747D">
        <w:rPr>
          <w:lang w:val="es-ES_tradnl"/>
        </w:rPr>
        <w:fldChar w:fldCharType="end"/>
      </w:r>
      <w:r w:rsidRPr="00DA747D">
        <w:rPr>
          <w:lang w:val="es-ES_tradnl"/>
        </w:rPr>
        <w:t xml:space="preserve">  y no por procesos, con la excepción de </w:t>
      </w:r>
      <w:r w:rsidRPr="00DA747D">
        <w:rPr>
          <w:lang w:val="es-ES_tradnl"/>
        </w:rPr>
        <w:fldChar w:fldCharType="begin" w:fldLock="1"/>
      </w:r>
      <w:r w:rsidRPr="00DA747D">
        <w:rPr>
          <w:lang w:val="es-ES_tradnl"/>
        </w:rPr>
        <w:instrText>ADDIN CSL_CITATION {"citationItems":[{"id":"ITEM-1","itemData":{"DOI":"10.1080/00207540801932498","ISBN":"0020-7543","ISSN":"0020-7543","abstract":"Supply chain operation with sustainable consideration has become an increasingly important issue in recent years. However, the decision framework with integrated costing and performance evaluation for green supply chain (GSC) has not been well developed so far in the literature. For this reason, this paper is aimed to propose a fuzzy goal programming (FGP) approach that integrates activity-based costing (ABC) and performance evaluation in a value-chain structure for optimal GSC supplier selection and flow allocation. The FGP approach is particularly suitable for such a decision model which includes flexible goals, financial and non-financial measures, quantitative and qualitative methods, multi-layer structure, multiple criteria, multiple objectives, and multiple strategies. An activity-based example of structural GSC with relevant costs and performances is presented for computing the composite performance indices of the GSC suppliers. A green supply chain of a mobile phone is used as an illustrative case. Several objective structures and their results are compared. The sensitivity analyses show that pure maximisation of financial profit can achieve the highest profit level, which also has the largest Euclidean distance to the multiple aspiration goals. In order to determine the final objective structure, an analytic hierarchy process (AHP) is used. This paper provides a new approach to assess and control a complex GSC based on value-chain activities, and obtain a more precise solution. The establishment of this GSC model not only helps decision-makers to monitor GSC comprehensive performance but also can facilitate further improvement and development of GSC management.","author":[{"dropping-particle":"","family":"Tsai","given":"W.-H.","non-dropping-particle":"","parse-names":false,"suffix":""},{"dropping-particle":"","family":"Hung","given":"Shih-Jieh","non-dropping-particle":"","parse-names":false,"suffix":""}],"container-title":"International Journal of Production Research","id":"ITEM-1","issue":"18","issued":{"date-parts":[["2009"]]},"page":"4991-5017","title":"A fuzzy goal programming approach for green supply chain optimisation under activity-based costing and performance evaluation with a value-chain structure","type":"article-journal","volume":"47"},"uris":["http://www.mendeley.com/documents/?uuid=4962ecba-b743-419d-badb-63e1d7355c51"]}],"mendeley":{"formattedCitation":"(Tsai &amp; Hung, 2009)","plainTextFormattedCitation":"(Tsai &amp; Hung, 2009)","previouslyFormattedCitation":"(Tsai &amp; Hung, 2009)"},"properties":{"noteIndex":0},"schema":"https://github.com/citation-style-language/schema/raw/master/csl-citation.json"}</w:instrText>
      </w:r>
      <w:r w:rsidRPr="00DA747D">
        <w:rPr>
          <w:lang w:val="es-ES_tradnl"/>
        </w:rPr>
        <w:fldChar w:fldCharType="separate"/>
      </w:r>
      <w:r w:rsidRPr="00DA747D">
        <w:rPr>
          <w:noProof/>
          <w:lang w:val="es-ES_tradnl"/>
        </w:rPr>
        <w:t>(Tsai y Hung, 2009)</w:t>
      </w:r>
      <w:r w:rsidRPr="00DA747D">
        <w:rPr>
          <w:lang w:val="es-ES_tradnl"/>
        </w:rPr>
        <w:fldChar w:fldCharType="end"/>
      </w:r>
      <w:r w:rsidRPr="00DA747D">
        <w:rPr>
          <w:lang w:val="es-ES_tradnl"/>
        </w:rPr>
        <w:t xml:space="preserve">. </w:t>
      </w:r>
      <w:r w:rsidRPr="00DA747D">
        <w:rPr>
          <w:lang w:val="es-ES_tradnl"/>
        </w:rPr>
        <w:fldChar w:fldCharType="begin" w:fldLock="1"/>
      </w:r>
      <w:r w:rsidRPr="00DA747D">
        <w:rPr>
          <w:lang w:val="es-ES_tradnl"/>
        </w:rPr>
        <w:instrText>ADDIN CSL_CITATION {"citationItems":[{"id":"ITEM-1","itemData":{"DOI":"10.1080/00207540801932498","ISBN":"0020-7543","ISSN":"0020-7543","abstract":"Supply chain operation with sustainable consideration has become an increasingly important issue in recent years. However, the decision framework with integrated costing and performance evaluation for green supply chain (GSC) has not been well developed so far in the literature. For this reason, this paper is aimed to propose a fuzzy goal programming (FGP) approach that integrates activity-based costing (ABC) and performance evaluation in a value-chain structure for optimal GSC supplier selection and flow allocation. The FGP approach is particularly suitable for such a decision model which includes flexible goals, financial and non-financial measures, quantitative and qualitative methods, multi-layer structure, multiple criteria, multiple objectives, and multiple strategies. An activity-based example of structural GSC with relevant costs and performances is presented for computing the composite performance indices of the GSC suppliers. A green supply chain of a mobile phone is used as an illustrative case. Several objective structures and their results are compared. The sensitivity analyses show that pure maximisation of financial profit can achieve the highest profit level, which also has the largest Euclidean distance to the multiple aspiration goals. In order to determine the final objective structure, an analytic hierarchy process (AHP) is used. This paper provides a new approach to assess and control a complex GSC based on value-chain activities, and obtain a more precise solution. The establishment of this GSC model not only helps decision-makers to monitor GSC comprehensive performance but also can facilitate further improvement and development of GSC management.","author":[{"dropping-particle":"","family":"Tsai","given":"W.-H.","non-dropping-particle":"","parse-names":false,"suffix":""},{"dropping-particle":"","family":"Hung","given":"Shih-Jieh","non-dropping-particle":"","parse-names":false,"suffix":""}],"container-title":"International Journal of Production Research","id":"ITEM-1","issue":"18","issued":{"date-parts":[["2009"]]},"page":"4991-5017","title":"A fuzzy goal programming approach for green supply chain optimisation under activity-based costing and performance evaluation with a value-chain structure","type":"article-journal","volume":"47"},"uris":["http://www.mendeley.com/documents/?uuid=4ee9e0e9-ef86-46c0-b417-af5c5da9ddff"]}],"mendeley":{"formattedCitation":"(Tsai &amp; Hung, 2009)","manualFormatting":"Tsai y Hung (2009)","plainTextFormattedCitation":"(Tsai &amp; Hung, 2009)","previouslyFormattedCitation":"(Tsai &amp; Hung, 2009)"},"properties":{"noteIndex":0},"schema":"https://github.com/citation-style-language/schema/raw/master/csl-citation.json"}</w:instrText>
      </w:r>
      <w:r w:rsidRPr="00DA747D">
        <w:rPr>
          <w:lang w:val="es-ES_tradnl"/>
        </w:rPr>
        <w:fldChar w:fldCharType="separate"/>
      </w:r>
      <w:r w:rsidRPr="00DA747D">
        <w:rPr>
          <w:noProof/>
          <w:lang w:val="es-ES_tradnl"/>
        </w:rPr>
        <w:t>Tsai y Hung (2009)</w:t>
      </w:r>
      <w:r w:rsidRPr="00DA747D">
        <w:rPr>
          <w:lang w:val="es-ES_tradnl"/>
        </w:rPr>
        <w:fldChar w:fldCharType="end"/>
      </w:r>
      <w:r w:rsidRPr="00DA747D">
        <w:rPr>
          <w:lang w:val="es-ES_tradnl"/>
        </w:rPr>
        <w:t>, aunque analizaron</w:t>
      </w:r>
      <w:r w:rsidRPr="00DA747D">
        <w:rPr>
          <w:color w:val="FF0000"/>
          <w:lang w:val="es-ES_tradnl"/>
        </w:rPr>
        <w:t xml:space="preserve"> </w:t>
      </w:r>
      <w:r w:rsidRPr="00DA747D">
        <w:rPr>
          <w:lang w:val="es-ES_tradnl"/>
        </w:rPr>
        <w:t>el desempeño de CS mediante criterios con enfoque a procesos internos, solo consideraron los eslabones de abastecimiento y manufactura, utilizando criterios de las dimensiones económica y ambiental. También fueron utilizados métodos basados en múltiples criterios, como el de Jerarquías Analíticas o de Saaty (</w:t>
      </w:r>
      <w:r w:rsidRPr="00DA747D">
        <w:rPr>
          <w:highlight w:val="yellow"/>
          <w:lang w:val="es-ES_tradnl"/>
        </w:rPr>
        <w:t>AHP</w:t>
      </w:r>
      <w:r w:rsidRPr="00DA747D">
        <w:rPr>
          <w:lang w:val="es-ES_tradnl"/>
        </w:rPr>
        <w:t>), pero sin proponer un indicador integral y los criterios utilizados fueron funcionales.</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Los autores mencionados en el tema de la evaluación del desempeño de CSS han realizado aportes importantes, entre los que resaltan el empleo de diferentes herramientas matemáticas incluyendo métodos basados en múltiples criterios, el tratamiento de hasta dos dimensiones del desarrollo sostenible y algunas incursiones en el enfoque a procesos de las CS. Todos combinan métodos de investigación cuantitativos y cualitativos, lo cual es acertado en estos estudios. Sin embargo, dejan una brecha en la investigación hacia la definición de un indicador integral para evaluar toda la CS con enfoque a procesos considerando las tres dimensiones del desarrollo sostenible. </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lastRenderedPageBreak/>
        <w:t>Es opinión de los autores del presente artículo que, si bien es importante la evaluación de procesos y eslabones de una CS, también es necesario evaluarla integralmente. Esta afirmación se justifica por la presencia de las denominadas relaciones de conflicto en la toma de decisiones, donde mejoras en algún proceso, pueden deteriorar el funcionamiento de otros y de la CS como un todo. Ello se acentúa cuando se consideran diferentes dimensiones de la sostenibilidad, por lo que las medidas que se apliquen deben mejorar el desempeño de toda la CS. Por esa razón, el objetivo general del presente artículo resulta desarrollar una herramienta metodológica para evaluar el desempeño de CSS, mediante un indicador integral e indicadores parciales enfocados a procesos, considerando las tres dimensiones de la sostenibilidad y empleando métodos basados en múltiples criterios.</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Para demostrar la factibilidad y bondades de la herramienta metodológica desarrollada, se tomó como estudio de caso la CS cubana de contadores de energía eléctrica. Esta CS utilizaba un enfoque a procesos en la gestión, pero basaba la toma de decisiones logísticas en los tradicionales criterios económicos y carecía de una herramienta que incluyera criterios ambientales y sociales, constituyó esta la situación problemática que originó la investigación. Para facilitar la lectura y comprensión, el artículo fue estructurado en las siguientes secciones: introducción, marco teórico, metodología, análisis de los resultados y conclusiones.</w:t>
      </w:r>
    </w:p>
    <w:p w:rsidR="00A21A1F" w:rsidRPr="00DA747D" w:rsidRDefault="00A21A1F" w:rsidP="00FF3346">
      <w:pPr>
        <w:spacing w:after="0" w:line="360" w:lineRule="auto"/>
        <w:jc w:val="both"/>
        <w:rPr>
          <w:rFonts w:ascii="Times New Roman" w:hAnsi="Times New Roman" w:cs="Times New Roman"/>
          <w:sz w:val="24"/>
          <w:szCs w:val="24"/>
          <w:lang w:val="es-ES_tradnl"/>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El método propuesto está compuesto por cinco pasos de trabajo que son explicados a continuación: </w:t>
      </w:r>
    </w:p>
    <w:p w:rsidR="00DA747D" w:rsidRPr="00DA747D" w:rsidRDefault="00DA747D" w:rsidP="00DA747D">
      <w:pPr>
        <w:pStyle w:val="Prrafodelista"/>
        <w:numPr>
          <w:ilvl w:val="0"/>
          <w:numId w:val="5"/>
        </w:num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Paso 1 - Seleccionar criterios para calcular el SCPI. Se identifican los posibles criterios que pudieran servir para calcular el desempeño de la CSS. Primeramente, se deberá seleccionar un grupo de expertos en el tema que puedan de forma rápida y eficiente identificarlos y seleccionarlos. Luego, se deberá realizar una búsqueda en la literatura que permita la identificación de los posibles criterios a considerar en la evaluación. Una vez definidos, se deberán seleccionar los que se ajustan a las características del objeto de estudio. Para ello, pueden emplearse grupos de expertos apoyados por métodos de clasificación. Los criterios seleccionados para la evaluación deberán analizar las dimensiones económicas, ambientales y sociales.</w:t>
      </w:r>
    </w:p>
    <w:p w:rsidR="00DA747D" w:rsidRPr="00DA747D" w:rsidRDefault="00DA747D" w:rsidP="00DA747D">
      <w:pPr>
        <w:pStyle w:val="Prrafodelista"/>
        <w:numPr>
          <w:ilvl w:val="0"/>
          <w:numId w:val="5"/>
        </w:numPr>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Paso 2 - Establecer escala para cada criterio. Luego de calculados e identificados los expertos se fija la escala de evaluación para cada criterio y para el desempeño de la CSS. Para esto se pueden emplear técnicas de recopilación de información. La aplicación de los pasos 1 y 2 serán demostrados en el acápite referido a los resultados.</w:t>
      </w:r>
    </w:p>
    <w:p w:rsidR="00DA747D" w:rsidRPr="00DA747D" w:rsidRDefault="00DA747D" w:rsidP="00DA747D">
      <w:pPr>
        <w:pStyle w:val="Prrafodelista"/>
        <w:numPr>
          <w:ilvl w:val="0"/>
          <w:numId w:val="5"/>
        </w:numPr>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Paso 3 - Calcular valor de cada criterio. Los criterios seleccionados para la evaluación del desempeño del estudio de caso, contenidos en el presente artículo, luego de aplicados los pasos anteriores fueron: servicio al cliente, productividad, rentabilidad, valor agregado e impacto ambiental. En el caso de los criterios servicio al cliente y rentabilidad se determinan de manera general para la CS, mientras que los restantes, </w:t>
      </w:r>
      <w:r w:rsidRPr="00DA747D">
        <w:rPr>
          <w:rFonts w:ascii="Times New Roman" w:hAnsi="Times New Roman" w:cs="Times New Roman"/>
          <w:sz w:val="24"/>
          <w:szCs w:val="24"/>
          <w:lang w:val="es-ES_tradnl"/>
        </w:rPr>
        <w:lastRenderedPageBreak/>
        <w:t>requieren un desglose por tipo de producto y proceso. La evaluación de cada uno de ellos se explica a continuación:</w:t>
      </w:r>
    </w:p>
    <w:p w:rsidR="00DA747D" w:rsidRPr="00DA747D" w:rsidRDefault="00DA747D" w:rsidP="00DA747D">
      <w:pPr>
        <w:pStyle w:val="Prrafodelista"/>
        <w:numPr>
          <w:ilvl w:val="0"/>
          <w:numId w:val="6"/>
        </w:numPr>
        <w:spacing w:line="240" w:lineRule="auto"/>
        <w:jc w:val="both"/>
        <w:rPr>
          <w:rFonts w:ascii="Times New Roman" w:hAnsi="Times New Roman" w:cs="Times New Roman"/>
          <w:sz w:val="24"/>
          <w:szCs w:val="24"/>
          <w:u w:val="single"/>
          <w:lang w:val="es-ES_tradnl"/>
        </w:rPr>
      </w:pPr>
      <w:r w:rsidRPr="00DA747D">
        <w:rPr>
          <w:rFonts w:ascii="Times New Roman" w:hAnsi="Times New Roman" w:cs="Times New Roman"/>
          <w:sz w:val="24"/>
          <w:szCs w:val="24"/>
          <w:lang w:val="es-ES_tradnl"/>
        </w:rPr>
        <w:t xml:space="preserve">Servicio al cliente. Para evaluar el nivel servicio al cliente (NSC) en las condiciones del estudio de caso desarrollado se empleó una encuesta que fue aplicada a los clientes para analizar los aspectos siguientes: expectativas del producto, entrega de pedidos, relaciones cliente-proveedor, disponibilidad del producto, calidad del producto, servicio postventa y correspondencia entre calidad y precio. Para ello, se utilizó una escala de Likert (1-pésima, 2-muy mala, 3-mala, 4-regular, 5-buena, 6-muy buena y 7-excelente). Luego se procesaron los resultados obteniéndose el valor del NSC. </w:t>
      </w:r>
    </w:p>
    <w:p w:rsidR="00DA747D" w:rsidRPr="00DA747D" w:rsidRDefault="00DA747D" w:rsidP="00DA747D">
      <w:pPr>
        <w:pStyle w:val="Prrafodelista"/>
        <w:numPr>
          <w:ilvl w:val="0"/>
          <w:numId w:val="6"/>
        </w:numPr>
        <w:autoSpaceDE w:val="0"/>
        <w:autoSpaceDN w:val="0"/>
        <w:adjustRightInd w:val="0"/>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Tasa de valor agregado. Los autores del presente trabajo, consideran la tasa de valor agregado (TVA), como la relación del valor que se agrega a un producto, respecto al que se debía agregar, incluyendo los artículos recuperados. Algunos de los parámetros que comprenden su determinación están referidos a la unidad de producto y otros para un período de tiempo determinado. En este último caso, se toma el año como período analizado. El cálculo de  TVA se realiza mediante las expresiones (1), (2), (3) y (4), donde TVA es la tasa de valor agregado total de la CS;  VA</w:t>
      </w:r>
      <w:r w:rsidRPr="00DA747D">
        <w:rPr>
          <w:rFonts w:ascii="Times New Roman" w:hAnsi="Times New Roman" w:cs="Times New Roman"/>
          <w:sz w:val="24"/>
          <w:szCs w:val="24"/>
          <w:vertAlign w:val="subscript"/>
          <w:lang w:val="es-ES_tradnl"/>
        </w:rPr>
        <w:t xml:space="preserve">j, </w:t>
      </w:r>
      <w:r w:rsidRPr="00DA747D">
        <w:rPr>
          <w:rFonts w:ascii="Times New Roman" w:hAnsi="Times New Roman" w:cs="Times New Roman"/>
          <w:sz w:val="24"/>
          <w:szCs w:val="24"/>
          <w:lang w:val="es-ES_tradnl"/>
        </w:rPr>
        <w:t xml:space="preserve"> el valor real agregado al producto j en unidades monetarias al año;  VAT</w:t>
      </w:r>
      <w:r w:rsidRPr="00DA747D">
        <w:rPr>
          <w:rFonts w:ascii="Times New Roman" w:hAnsi="Times New Roman" w:cs="Times New Roman"/>
          <w:sz w:val="24"/>
          <w:szCs w:val="24"/>
          <w:vertAlign w:val="subscript"/>
          <w:lang w:val="es-ES_tradnl"/>
        </w:rPr>
        <w:t xml:space="preserve">j, </w:t>
      </w:r>
      <w:r w:rsidRPr="00DA747D">
        <w:rPr>
          <w:rFonts w:ascii="Times New Roman" w:hAnsi="Times New Roman" w:cs="Times New Roman"/>
          <w:sz w:val="24"/>
          <w:szCs w:val="24"/>
          <w:lang w:val="es-ES_tradnl"/>
        </w:rPr>
        <w:t xml:space="preserve">  el valor total que se debió agregar al producto j en unidades monetarias anuales; VAR</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xml:space="preserve"> es el valor agregado total a los productos j reprocesados en unidades monetarias al año; Vp</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xml:space="preserve"> es el volumen de producción del producto j en unidades de productos anuales; VA</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el valor agregado al producto j en el proceso i en unidades monetarias por unidad de producto; Cpd</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xml:space="preserve">  la cantidad de productos j defectuosos en unidades de productos anuales; Pr</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xml:space="preserve"> la cantidad total de productos j recuperados en unidades de productos al año y n es la cantidad de procesos de la CS. Las expresiones para el cálculo de la TVA fueron diseñadas bajo el supuesto de que todo producto defectuoso será reprocesado desde el inicio de la CS.</w:t>
      </w:r>
    </w:p>
    <w:p w:rsidR="00DA747D" w:rsidRPr="00DA747D" w:rsidRDefault="00DA747D" w:rsidP="00DA747D">
      <w:pPr>
        <w:pStyle w:val="Descripcin"/>
        <w:spacing w:after="0"/>
        <w:jc w:val="both"/>
        <w:rPr>
          <w:rFonts w:ascii="Times New Roman" w:hAnsi="Times New Roman"/>
          <w:b w:val="0"/>
          <w:color w:val="auto"/>
          <w:sz w:val="24"/>
          <w:szCs w:val="24"/>
        </w:rPr>
      </w:pPr>
      <w:r w:rsidRPr="00DA747D">
        <w:rPr>
          <w:rFonts w:ascii="Times New Roman" w:hAnsi="Times New Roman"/>
          <w:noProof/>
          <w:position w:val="-32"/>
          <w:sz w:val="24"/>
          <w:szCs w:val="24"/>
        </w:rPr>
        <w:object w:dxaOrig="19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9pt;height:33.65pt;mso-width-percent:0;mso-height-percent:0;mso-width-percent:0;mso-height-percent:0" o:ole="">
            <v:imagedata r:id="rId10" o:title=""/>
          </v:shape>
          <o:OLEObject Type="Embed" ProgID="Equation.DSMT4" ShapeID="_x0000_i1025" DrawAspect="Content" ObjectID="_1690266003" r:id="rId11"/>
        </w:object>
      </w:r>
      <w:r w:rsidRPr="00DA747D">
        <w:rPr>
          <w:rFonts w:ascii="Times New Roman" w:hAnsi="Times New Roman"/>
          <w:sz w:val="24"/>
          <w:szCs w:val="24"/>
        </w:rPr>
        <w:tab/>
      </w:r>
      <w:r w:rsidRPr="00DA747D">
        <w:rPr>
          <w:rFonts w:ascii="Times New Roman" w:hAnsi="Times New Roman"/>
          <w:color w:val="auto"/>
          <w:sz w:val="24"/>
          <w:szCs w:val="24"/>
        </w:rPr>
        <w:tab/>
      </w:r>
      <w:r w:rsidRPr="00DA747D">
        <w:rPr>
          <w:rFonts w:ascii="Times New Roman" w:hAnsi="Times New Roman"/>
          <w:b w:val="0"/>
          <w:color w:val="auto"/>
          <w:sz w:val="24"/>
          <w:szCs w:val="24"/>
        </w:rPr>
        <w:tab/>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1</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Descripcin"/>
        <w:spacing w:after="0"/>
        <w:jc w:val="both"/>
        <w:rPr>
          <w:rFonts w:ascii="Times New Roman" w:hAnsi="Times New Roman"/>
          <w:b w:val="0"/>
          <w:i/>
          <w:color w:val="auto"/>
          <w:sz w:val="24"/>
          <w:szCs w:val="24"/>
        </w:rPr>
      </w:pPr>
      <w:r w:rsidRPr="00DA747D">
        <w:rPr>
          <w:rFonts w:ascii="Times New Roman" w:hAnsi="Times New Roman"/>
          <w:b w:val="0"/>
          <w:noProof/>
          <w:color w:val="auto"/>
          <w:position w:val="-28"/>
          <w:sz w:val="24"/>
          <w:szCs w:val="24"/>
        </w:rPr>
        <w:object w:dxaOrig="1960" w:dyaOrig="680">
          <v:shape id="_x0000_i1026" type="#_x0000_t75" alt="" style="width:87.35pt;height:30.1pt;mso-width-percent:0;mso-height-percent:0;mso-width-percent:0;mso-height-percent:0" o:ole="">
            <v:imagedata r:id="rId12" o:title=""/>
          </v:shape>
          <o:OLEObject Type="Embed" ProgID="Equation.DSMT4" ShapeID="_x0000_i1026" DrawAspect="Content" ObjectID="_1690266004" r:id="rId13"/>
        </w:object>
      </w:r>
      <w:r w:rsidRPr="00DA747D">
        <w:rPr>
          <w:rFonts w:ascii="Times New Roman" w:hAnsi="Times New Roman"/>
          <w:b w:val="0"/>
          <w:color w:val="auto"/>
          <w:sz w:val="24"/>
          <w:szCs w:val="24"/>
        </w:rPr>
        <w:tab/>
      </w:r>
      <w:r w:rsidRPr="00DA747D">
        <w:rPr>
          <w:rFonts w:ascii="Times New Roman" w:hAnsi="Times New Roman"/>
          <w:b w:val="0"/>
          <w:color w:val="auto"/>
          <w:sz w:val="24"/>
          <w:szCs w:val="24"/>
        </w:rPr>
        <w:tab/>
      </w:r>
      <w:r w:rsidRPr="00DA747D">
        <w:rPr>
          <w:rFonts w:ascii="Times New Roman" w:hAnsi="Times New Roman"/>
          <w:b w:val="0"/>
          <w:color w:val="auto"/>
          <w:sz w:val="24"/>
          <w:szCs w:val="24"/>
        </w:rPr>
        <w:tab/>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2</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keepNext/>
        <w:autoSpaceDE w:val="0"/>
        <w:autoSpaceDN w:val="0"/>
        <w:adjustRightInd w:val="0"/>
        <w:jc w:val="both"/>
        <w:rPr>
          <w:rFonts w:ascii="Times New Roman" w:hAnsi="Times New Roman" w:cs="Times New Roman"/>
          <w:sz w:val="24"/>
          <w:szCs w:val="24"/>
          <w:lang w:val="es-ES_tradnl"/>
        </w:rPr>
      </w:pPr>
      <w:r w:rsidRPr="00DA747D">
        <w:rPr>
          <w:rFonts w:ascii="Times New Roman" w:hAnsi="Times New Roman" w:cs="Times New Roman"/>
          <w:noProof/>
          <w:position w:val="-28"/>
          <w:sz w:val="24"/>
          <w:szCs w:val="24"/>
          <w:lang w:val="es-ES_tradnl"/>
        </w:rPr>
        <w:object w:dxaOrig="3420" w:dyaOrig="680">
          <v:shape id="_x0000_i1027" type="#_x0000_t75" alt="" style="width:133.95pt;height:25.4pt;mso-width-percent:0;mso-height-percent:0;mso-width-percent:0;mso-height-percent:0" o:ole="">
            <v:imagedata r:id="rId14" o:title=""/>
          </v:shape>
          <o:OLEObject Type="Embed" ProgID="Equation.DSMT4" ShapeID="_x0000_i1027" DrawAspect="Content" ObjectID="_1690266005" r:id="rId15"/>
        </w:object>
      </w:r>
      <w:r w:rsidRPr="00DA747D">
        <w:rPr>
          <w:rFonts w:ascii="Times New Roman" w:hAnsi="Times New Roman" w:cs="Times New Roman"/>
          <w:sz w:val="24"/>
          <w:szCs w:val="24"/>
          <w:lang w:val="es-ES_tradnl"/>
        </w:rPr>
        <w:tab/>
      </w:r>
      <w:r w:rsidRPr="00DA747D">
        <w:rPr>
          <w:rFonts w:ascii="Times New Roman" w:hAnsi="Times New Roman" w:cs="Times New Roman"/>
          <w:sz w:val="24"/>
          <w:szCs w:val="24"/>
          <w:lang w:val="es-ES_tradnl"/>
        </w:rPr>
        <w:tab/>
        <w:t>(</w:t>
      </w:r>
      <w:r w:rsidRPr="00DA747D">
        <w:rPr>
          <w:rFonts w:ascii="Times New Roman" w:hAnsi="Times New Roman" w:cs="Times New Roman"/>
          <w:sz w:val="24"/>
          <w:szCs w:val="24"/>
          <w:lang w:val="es-ES_tradnl"/>
        </w:rPr>
        <w:fldChar w:fldCharType="begin"/>
      </w:r>
      <w:r w:rsidRPr="00DA747D">
        <w:rPr>
          <w:rFonts w:ascii="Times New Roman" w:hAnsi="Times New Roman" w:cs="Times New Roman"/>
          <w:sz w:val="24"/>
          <w:szCs w:val="24"/>
          <w:lang w:val="es-ES_tradnl"/>
        </w:rPr>
        <w:instrText xml:space="preserve"> SEQ ( \* ARABIC </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3</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w:t>
      </w:r>
    </w:p>
    <w:p w:rsidR="00DA747D" w:rsidRPr="00DA747D" w:rsidRDefault="00DA747D" w:rsidP="00DA747D">
      <w:pPr>
        <w:pStyle w:val="Descripcin"/>
        <w:spacing w:after="0"/>
        <w:jc w:val="both"/>
        <w:rPr>
          <w:rFonts w:ascii="Times New Roman" w:hAnsi="Times New Roman"/>
          <w:b w:val="0"/>
          <w:sz w:val="24"/>
          <w:szCs w:val="24"/>
        </w:rPr>
      </w:pPr>
      <w:r w:rsidRPr="00DA747D">
        <w:rPr>
          <w:rFonts w:ascii="Times New Roman" w:hAnsi="Times New Roman"/>
          <w:b w:val="0"/>
          <w:noProof/>
          <w:position w:val="-28"/>
          <w:sz w:val="24"/>
          <w:szCs w:val="24"/>
        </w:rPr>
        <w:object w:dxaOrig="1900" w:dyaOrig="680">
          <v:shape id="_x0000_i1028" type="#_x0000_t75" alt="" style="width:87.35pt;height:30.1pt;mso-width-percent:0;mso-height-percent:0;mso-width-percent:0;mso-height-percent:0" o:ole="">
            <v:imagedata r:id="rId16" o:title=""/>
          </v:shape>
          <o:OLEObject Type="Embed" ProgID="Equation.DSMT4" ShapeID="_x0000_i1028" DrawAspect="Content" ObjectID="_1690266006" r:id="rId17"/>
        </w:object>
      </w:r>
      <w:r w:rsidRPr="00DA747D">
        <w:rPr>
          <w:rFonts w:ascii="Times New Roman" w:hAnsi="Times New Roman"/>
          <w:b w:val="0"/>
          <w:sz w:val="24"/>
          <w:szCs w:val="24"/>
        </w:rPr>
        <w:tab/>
      </w:r>
      <w:r w:rsidRPr="00DA747D">
        <w:rPr>
          <w:rFonts w:ascii="Times New Roman" w:hAnsi="Times New Roman"/>
          <w:b w:val="0"/>
          <w:sz w:val="24"/>
          <w:szCs w:val="24"/>
        </w:rPr>
        <w:tab/>
      </w:r>
      <w:r w:rsidRPr="00DA747D">
        <w:rPr>
          <w:rFonts w:ascii="Times New Roman" w:hAnsi="Times New Roman"/>
          <w:b w:val="0"/>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4</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Para calcular el VA</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se utilizó la metodología de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author":[{"dropping-particle":"","family":"Vinajera-Zamora","given":"Andrey","non-dropping-particle":"","parse-names":false,"suffix":""},{"dropping-particle":"","family":"Marrero-Delgado","given":"Fernando","non-dropping-particle":"","parse-names":false,"suffix":""},{"dropping-particle":"","family":"Ruiz-Morales","given":"Mariana","non-dropping-particle":"","parse-names":false,"suffix":""}],"container-title":"Ingeniare. Revista chilena de ingeniería","id":"ITEM-1","issue":"3","issued":{"date-parts":[["2017"]]},"page":"535-546","title":"Método para calcular el valor agregado en cadenas de suministro de productos electromecánico","type":"article-journal","volume":"25"},"uris":["http://www.mendeley.com/documents/?uuid=e510b6ae-805c-489a-b56c-bbd6c7a37aad"]}],"mendeley":{"formattedCitation":"(Vinajera-Zamora, Marrero-Delgado, &amp; Ruiz-Morales, 2017)","manualFormatting":"Vinajera-Zamora, Marrero-Delgado y Ruiz-Morales (2017)","plainTextFormattedCitation":"(Vinajera-Zamora, Marrero-Delgado, &amp; Ruiz-Morales, 2017)","previouslyFormattedCitation":"(Vinajera-Zamora, Marrero-Delgado, &amp; Ruiz-Morales, 2017)"},"properties":{"noteIndex":0},"schema":"https://github.com/citation-style-language/schema/raw/master/csl-citation.json"}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Vinajera-Zamora, Marrero-Delgado y Ruiz-Morales (2017)</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reflejada en las expresiones (5) y (6). El término Sw</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expresa el peso específico promedio del proceso i en el producto j, es decir el nivel de importancia de un proceso en el producto que se procesa. Constituye un valor promedio de la relación de tres parámetros esenciales que son: el costo agregado por el proceso i al producto j en unidades monetarias por unidad de producto (C</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w:t>
      </w:r>
      <w:r w:rsidRPr="00DA747D">
        <w:rPr>
          <w:rFonts w:ascii="Times New Roman" w:hAnsi="Times New Roman" w:cs="Times New Roman"/>
          <w:sz w:val="24"/>
          <w:szCs w:val="24"/>
          <w:vertAlign w:val="subscript"/>
          <w:lang w:val="es-ES_tradnl"/>
        </w:rPr>
        <w:t xml:space="preserve">, </w:t>
      </w:r>
      <w:r w:rsidRPr="00DA747D">
        <w:rPr>
          <w:rFonts w:ascii="Times New Roman" w:hAnsi="Times New Roman" w:cs="Times New Roman"/>
          <w:sz w:val="24"/>
          <w:szCs w:val="24"/>
          <w:lang w:val="es-ES_tradnl"/>
        </w:rPr>
        <w:t>respecto al costo total de producto para toda la CS en las mismas unidades de medida (C</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tiempo de elaboración del proceso i en el producto j en unidades de tiempo por unidad de producto (t</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respecto al tiempo del producto en la CS en iguales unidades de medida (T</w:t>
      </w:r>
      <w:r w:rsidRPr="00DA747D">
        <w:rPr>
          <w:rFonts w:ascii="Times New Roman" w:hAnsi="Times New Roman" w:cs="Times New Roman"/>
          <w:sz w:val="24"/>
          <w:szCs w:val="24"/>
          <w:vertAlign w:val="subscript"/>
          <w:lang w:val="es-ES_tradnl"/>
        </w:rPr>
        <w:t>j</w:t>
      </w:r>
      <w:r w:rsidRPr="00DA747D">
        <w:rPr>
          <w:rFonts w:ascii="Times New Roman" w:hAnsi="Times New Roman" w:cs="Times New Roman"/>
          <w:sz w:val="24"/>
          <w:szCs w:val="24"/>
          <w:lang w:val="es-ES_tradnl"/>
        </w:rPr>
        <w:t xml:space="preserve">) y finalmente el tiempo de retraso </w:t>
      </w:r>
      <w:r w:rsidRPr="00DA747D">
        <w:rPr>
          <w:rFonts w:ascii="Times New Roman" w:hAnsi="Times New Roman" w:cs="Times New Roman"/>
          <w:sz w:val="24"/>
          <w:szCs w:val="24"/>
          <w:lang w:val="es-ES_tradnl"/>
        </w:rPr>
        <w:lastRenderedPageBreak/>
        <w:t>promedio total del producto i en unidades de tiempo por unidad de producto  (Dt</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respecto al tiempo total de retraso del producto en toda la CS en las mismas unidades (Dt). De esta forma se considera el impacto del proceso más costoso, el que más demora y el que mayores atrasos provoca. El otro término empleado es Bj, que constituye el beneficio neto del producto j en unidades monetarias por unidad de producto. </w:t>
      </w:r>
    </w:p>
    <w:p w:rsidR="00DA747D" w:rsidRPr="00DA747D" w:rsidRDefault="00DA747D" w:rsidP="00DA747D">
      <w:pPr>
        <w:pStyle w:val="Descripcin"/>
        <w:spacing w:after="0"/>
        <w:jc w:val="both"/>
        <w:rPr>
          <w:rFonts w:ascii="Times New Roman" w:hAnsi="Times New Roman"/>
          <w:b w:val="0"/>
          <w:color w:val="auto"/>
          <w:sz w:val="24"/>
          <w:szCs w:val="24"/>
        </w:rPr>
      </w:pPr>
      <w:r w:rsidRPr="00DA747D">
        <w:rPr>
          <w:rFonts w:ascii="Times New Roman" w:hAnsi="Times New Roman"/>
          <w:noProof/>
          <w:position w:val="-34"/>
          <w:sz w:val="24"/>
          <w:szCs w:val="24"/>
        </w:rPr>
        <w:object w:dxaOrig="2460" w:dyaOrig="800">
          <v:shape id="_x0000_i1029" type="#_x0000_t75" alt="" style="width:123.95pt;height:38.35pt;mso-width-percent:0;mso-height-percent:0;mso-width-percent:0;mso-height-percent:0" o:ole="">
            <v:imagedata r:id="rId18" o:title=""/>
          </v:shape>
          <o:OLEObject Type="Embed" ProgID="Equation.DSMT4" ShapeID="_x0000_i1029" DrawAspect="Content" ObjectID="_1690266007" r:id="rId19"/>
        </w:object>
      </w:r>
      <w:r w:rsidRPr="00DA747D">
        <w:rPr>
          <w:rFonts w:ascii="Times New Roman" w:hAnsi="Times New Roman"/>
          <w:color w:val="auto"/>
          <w:sz w:val="24"/>
          <w:szCs w:val="24"/>
        </w:rPr>
        <w:tab/>
      </w:r>
      <w:r w:rsidRPr="00DA747D">
        <w:rPr>
          <w:rFonts w:ascii="Times New Roman" w:hAnsi="Times New Roman"/>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5</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Descripcin"/>
        <w:spacing w:after="0"/>
        <w:jc w:val="both"/>
        <w:rPr>
          <w:rFonts w:ascii="Times New Roman" w:hAnsi="Times New Roman"/>
          <w:b w:val="0"/>
          <w:color w:val="000000" w:themeColor="text1"/>
          <w:sz w:val="24"/>
          <w:szCs w:val="24"/>
        </w:rPr>
      </w:pPr>
      <w:r w:rsidRPr="00DA747D">
        <w:rPr>
          <w:rFonts w:ascii="Times New Roman" w:hAnsi="Times New Roman"/>
          <w:noProof/>
          <w:position w:val="-14"/>
          <w:sz w:val="24"/>
          <w:szCs w:val="24"/>
          <w:lang w:eastAsia="es-ES"/>
        </w:rPr>
        <w:object w:dxaOrig="1920" w:dyaOrig="390">
          <v:shape id="_x0000_i1030" type="#_x0000_t75" alt="" style="width:97.4pt;height:20.05pt;mso-width-percent:0;mso-height-percent:0;mso-width-percent:0;mso-height-percent:0" o:ole="">
            <v:imagedata r:id="rId20" o:title=""/>
          </v:shape>
          <o:OLEObject Type="Embed" ProgID="Equation.DSMT4" ShapeID="_x0000_i1030" DrawAspect="Content" ObjectID="_1690266008" r:id="rId21"/>
        </w:object>
      </w:r>
      <w:r w:rsidRPr="00DA747D">
        <w:rPr>
          <w:rFonts w:ascii="Times New Roman" w:hAnsi="Times New Roman"/>
          <w:sz w:val="24"/>
          <w:szCs w:val="24"/>
          <w:lang w:eastAsia="es-ES"/>
        </w:rPr>
        <w:tab/>
      </w:r>
      <w:r w:rsidRPr="00DA747D">
        <w:rPr>
          <w:rFonts w:ascii="Times New Roman" w:hAnsi="Times New Roman"/>
          <w:sz w:val="24"/>
          <w:szCs w:val="24"/>
          <w:lang w:eastAsia="es-ES"/>
        </w:rPr>
        <w:tab/>
      </w:r>
      <w:r w:rsidRPr="00DA747D">
        <w:rPr>
          <w:rFonts w:ascii="Times New Roman" w:hAnsi="Times New Roman"/>
          <w:sz w:val="24"/>
          <w:szCs w:val="24"/>
          <w:lang w:eastAsia="es-ES"/>
        </w:rPr>
        <w:tab/>
      </w:r>
      <w:r w:rsidRPr="00DA747D">
        <w:rPr>
          <w:rFonts w:ascii="Times New Roman" w:hAnsi="Times New Roman"/>
          <w:b w:val="0"/>
          <w:color w:val="auto"/>
          <w:sz w:val="24"/>
          <w:szCs w:val="24"/>
        </w:rPr>
        <w:t>(</w:t>
      </w:r>
      <w:r w:rsidRPr="00DA747D">
        <w:rPr>
          <w:rFonts w:ascii="Times New Roman" w:hAnsi="Times New Roman"/>
          <w:b w:val="0"/>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color w:val="auto"/>
          <w:sz w:val="24"/>
          <w:szCs w:val="24"/>
        </w:rPr>
        <w:fldChar w:fldCharType="separate"/>
      </w:r>
      <w:r w:rsidRPr="00DA747D">
        <w:rPr>
          <w:rFonts w:ascii="Times New Roman" w:hAnsi="Times New Roman"/>
          <w:b w:val="0"/>
          <w:color w:val="auto"/>
          <w:sz w:val="24"/>
          <w:szCs w:val="24"/>
        </w:rPr>
        <w:t>6</w:t>
      </w:r>
      <w:r w:rsidRPr="00DA747D">
        <w:rPr>
          <w:rFonts w:ascii="Times New Roman" w:hAnsi="Times New Roman"/>
          <w:b w:val="0"/>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Prrafodelista"/>
        <w:numPr>
          <w:ilvl w:val="0"/>
          <w:numId w:val="6"/>
        </w:numPr>
        <w:autoSpaceDE w:val="0"/>
        <w:autoSpaceDN w:val="0"/>
        <w:adjustRightInd w:val="0"/>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Productividad. En este criterio se propuso el Análisis Envolvente de Datos (DEA, por sus siglas en inglés) de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{"citationItems":[{"id":"ITEM-1","itemData":{"ISBN":"0377-2217","author":[{"dropping-particle":"","family":"Charnes","given":"Abraham","non-dropping-particle":"","parse-names":false,"suffix":""},{"dropping-particle":"","family":"Cooper","given":"William W","non-dropping-particle":"","parse-names":false,"suffix":""},{"dropping-particle":"","family":"Rhodes","given":"Edwardo","non-dropping-particle":"","parse-names":false,"suffix":""}],"container-title":"European Journal of Operational Research","id":"ITEM-1","issue":"6","issued":{"date-parts":[["1978"]]},"page":"429-444","title":"Measuring the efficiency of decision making units","type":"article-journal","volume":"2"},"uris":["http://www.mendeley.com/documents/?uuid=2dcad691-00b2-4c96-ab7e-cc5bdeaa6cb8"]}],"mendeley":{"formattedCitation":"(Charnes, Cooper, &amp; Rhodes, 1978)","plainTextFormattedCitation":"(Charnes, Cooper, &amp; Rhodes, 1978)","previouslyFormattedCitation":"(Charnes, Cooper, &amp; Rhodes, 1978)"},"properties":{"noteIndex":0},"schema":"https://github.com/citation-style-language/schema/raw/master/csl-citation.json"}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sz w:val="24"/>
          <w:szCs w:val="24"/>
          <w:lang w:val="es-ES_tradnl"/>
        </w:rPr>
        <w:t>Charnes, Cooper y Rhodes (1978)</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que parte de identificar las entradas (materias primas, energía y otros insumos) y las salidas (por ejemplo productos y recursos financieros) que son analizados para establecer pesos de esas entradas y salidas. Con estos pesos se calculan las eficiencias en el consumo de los recursos que se ubican en una matriz de eficiencia cruzada y se determina el valor promedio mediante la expresión (7), donde (Pj) es la productividad del producto j en la CS y eij es la eficiencia promedio del proceso i en el producto j. El valor de (Pj) debe fluctuar entre 0 y 1, siendo mayor la productividad en la medida que se acerca al extremo superior.</w:t>
      </w:r>
    </w:p>
    <w:p w:rsidR="00DA747D" w:rsidRPr="00DA747D" w:rsidRDefault="00DA747D" w:rsidP="00DA747D">
      <w:pPr>
        <w:pStyle w:val="Descripcin"/>
        <w:spacing w:after="0"/>
        <w:jc w:val="both"/>
        <w:rPr>
          <w:rFonts w:ascii="Times New Roman" w:hAnsi="Times New Roman"/>
          <w:sz w:val="24"/>
          <w:szCs w:val="24"/>
        </w:rPr>
      </w:pPr>
      <w:r w:rsidRPr="00DA747D">
        <w:rPr>
          <w:rFonts w:ascii="Times New Roman" w:hAnsi="Times New Roman"/>
          <w:noProof/>
          <w:position w:val="-28"/>
          <w:sz w:val="24"/>
          <w:szCs w:val="24"/>
        </w:rPr>
        <w:object w:dxaOrig="1219" w:dyaOrig="680">
          <v:shape id="_x0000_i1031" type="#_x0000_t75" alt="" style="width:61.4pt;height:33.65pt;mso-width-percent:0;mso-height-percent:0;mso-width-percent:0;mso-height-percent:0" o:ole="">
            <v:imagedata r:id="rId22" o:title=""/>
          </v:shape>
          <o:OLEObject Type="Embed" ProgID="Equation.DSMT4" ShapeID="_x0000_i1031" DrawAspect="Content" ObjectID="_1690266009" r:id="rId23"/>
        </w:object>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7</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Prrafodelista"/>
        <w:numPr>
          <w:ilvl w:val="0"/>
          <w:numId w:val="6"/>
        </w:numPr>
        <w:autoSpaceDE w:val="0"/>
        <w:autoSpaceDN w:val="0"/>
        <w:adjustRightInd w:val="0"/>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Rentabilidad. La rentabilidad debe ser calculada utilizando el modelo DUPONT de rendimiento sobre la inversión (ROI, por sus siglas en inglés) a través de la expresión (8), donde Np son las ganancias netas y A los activos, ambos expresados en unidades monetarias totales.</w:t>
      </w:r>
    </w:p>
    <w:p w:rsidR="00DA747D" w:rsidRPr="00DA747D" w:rsidRDefault="00DA747D" w:rsidP="00DA747D">
      <w:pPr>
        <w:pStyle w:val="Descripcin"/>
        <w:spacing w:after="0"/>
        <w:jc w:val="both"/>
        <w:rPr>
          <w:rFonts w:ascii="Times New Roman" w:hAnsi="Times New Roman"/>
          <w:b w:val="0"/>
          <w:color w:val="000000"/>
          <w:sz w:val="24"/>
          <w:szCs w:val="24"/>
        </w:rPr>
      </w:pPr>
      <w:r w:rsidRPr="00DA747D">
        <w:rPr>
          <w:rFonts w:ascii="Times New Roman" w:hAnsi="Times New Roman"/>
          <w:noProof/>
          <w:position w:val="-24"/>
          <w:sz w:val="24"/>
          <w:szCs w:val="24"/>
        </w:rPr>
        <w:object w:dxaOrig="1060" w:dyaOrig="620">
          <v:shape id="_x0000_i1032" type="#_x0000_t75" alt="" style="width:47.8pt;height:28.9pt;mso-width-percent:0;mso-height-percent:0;mso-width-percent:0;mso-height-percent:0" o:ole="">
            <v:imagedata r:id="rId24" o:title=""/>
          </v:shape>
          <o:OLEObject Type="Embed" ProgID="Equation.DSMT4" ShapeID="_x0000_i1032" DrawAspect="Content" ObjectID="_1690266010" r:id="rId25"/>
        </w:object>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b w:val="0"/>
          <w:color w:val="000000"/>
          <w:sz w:val="24"/>
          <w:szCs w:val="24"/>
        </w:rPr>
        <w:t>(</w:t>
      </w:r>
      <w:r w:rsidRPr="00DA747D">
        <w:rPr>
          <w:rFonts w:ascii="Times New Roman" w:hAnsi="Times New Roman"/>
          <w:b w:val="0"/>
          <w:i/>
          <w:iCs/>
          <w:color w:val="000000"/>
          <w:sz w:val="24"/>
          <w:szCs w:val="24"/>
        </w:rPr>
        <w:fldChar w:fldCharType="begin"/>
      </w:r>
      <w:r w:rsidRPr="00DA747D">
        <w:rPr>
          <w:rFonts w:ascii="Times New Roman" w:hAnsi="Times New Roman"/>
          <w:b w:val="0"/>
          <w:color w:val="000000"/>
          <w:sz w:val="24"/>
          <w:szCs w:val="24"/>
        </w:rPr>
        <w:instrText xml:space="preserve"> SEQ ( \* ARABIC </w:instrText>
      </w:r>
      <w:r w:rsidRPr="00DA747D">
        <w:rPr>
          <w:rFonts w:ascii="Times New Roman" w:hAnsi="Times New Roman"/>
          <w:b w:val="0"/>
          <w:i/>
          <w:iCs/>
          <w:color w:val="000000"/>
          <w:sz w:val="24"/>
          <w:szCs w:val="24"/>
        </w:rPr>
        <w:fldChar w:fldCharType="separate"/>
      </w:r>
      <w:r w:rsidRPr="00DA747D">
        <w:rPr>
          <w:rFonts w:ascii="Times New Roman" w:hAnsi="Times New Roman"/>
          <w:b w:val="0"/>
          <w:noProof/>
          <w:color w:val="000000"/>
          <w:sz w:val="24"/>
          <w:szCs w:val="24"/>
        </w:rPr>
        <w:t>8</w:t>
      </w:r>
      <w:r w:rsidRPr="00DA747D">
        <w:rPr>
          <w:rFonts w:ascii="Times New Roman" w:hAnsi="Times New Roman"/>
          <w:b w:val="0"/>
          <w:i/>
          <w:iCs/>
          <w:color w:val="000000"/>
          <w:sz w:val="24"/>
          <w:szCs w:val="24"/>
        </w:rPr>
        <w:fldChar w:fldCharType="end"/>
      </w:r>
      <w:r w:rsidRPr="00DA747D">
        <w:rPr>
          <w:rFonts w:ascii="Times New Roman" w:hAnsi="Times New Roman"/>
          <w:b w:val="0"/>
          <w:color w:val="000000"/>
          <w:sz w:val="24"/>
          <w:szCs w:val="24"/>
        </w:rPr>
        <w:t>)</w:t>
      </w:r>
    </w:p>
    <w:p w:rsidR="00DA747D" w:rsidRPr="00DA747D" w:rsidRDefault="00DA747D" w:rsidP="00DA747D">
      <w:pPr>
        <w:pStyle w:val="Prrafodelista"/>
        <w:numPr>
          <w:ilvl w:val="0"/>
          <w:numId w:val="6"/>
        </w:numPr>
        <w:autoSpaceDE w:val="0"/>
        <w:autoSpaceDN w:val="0"/>
        <w:adjustRightInd w:val="0"/>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Impacto ambiental. Para el análisis del impacto ambiental fue utilizada la metodología del ACV. Para ello se procedió al empleo del modelo del DEA, resultando en el procedimiento ACV+DEA propuesto por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10.1007/s11367-010-0154-9","ISBN":"1136701001","ISSN":"09483349","author":[{"dropping-particle":"","family":"Vázquez-Rowe","given":"Ian","non-dropping-particle":"","parse-names":false,"suffix":""},{"dropping-particle":"","family":"Iribarren","given":"Diego","non-dropping-particle":"","parse-names":false,"suffix":""},{"dropping-particle":"","family":"Moreira","given":"Maria Teresa","non-dropping-particle":"","parse-names":false,"suffix":""},{"dropping-particle":"","family":"Feijoo","given":"Gumersindo","non-dropping-particle":"","parse-names":false,"suffix":""}],"container-title":"International Journal of Life Cycle Assessment","id":"ITEM-1","issue":"3","issued":{"date-parts":[["2010"]]},"page":"272-283","title":"Combined application of life cycle assessment and data envelopment analysis as a methodological approach for the assessment of fisheries","type":"article-journal","volume":"15"},"uris":["http://www.mendeley.com/documents/?uuid=3bf85b74-0c52-4331-acf5-4f78262546c5"]}],"mendeley":{"formattedCitation":"(Vázquez-Rowe, Iribarren, Moreira, &amp; Feijoo, 2010)","plainTextFormattedCitation":"(Vázquez-Rowe, Iribarren, Moreira, &amp; Feijoo, 2010)","previouslyFormattedCitation":"(Vázquez-Rowe, Iribarren, Moreira, &amp; Feijoo, 2010)"},"properties":{"noteIndex":0},"schema":"https://github.com/citation-style-language/schema/raw/master/csl-citation.json"}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sz w:val="24"/>
          <w:szCs w:val="24"/>
          <w:lang w:val="es-ES_tradnl"/>
        </w:rPr>
        <w:t>(Vázquez-Rowe, Iribarren, Moreira y Feijoo, 2010)</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Sin embargo, para el presente estudio se le realizaron otras modificaciones a este procedimiento quedando formado por los pasos siguientes: 1) obtener los datos que necesitan ser incluidos en el inventario de ciclo de vida; 2) caracterización ambiental de los procesos, 3) calcular la eco-eficiencia de los procesos. </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Las mencionadas modificaciones fueron: la primera, en el tercer paso, que coincide con  el tercer paso del procedimiento ACV+DEA, se aplicó el modelo propuesto por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{"citationItems":[{"id":"ITEM-1","itemData":{"DOI":"10.1007/s10666-007-9134-2","ISBN":"1420-2026","ISSN":"14202026","abstract":"Several papers have studied the eco-efficiency of manufacturing systems to address strategic socioeconomic issues in the context of sustainability analysis. Their goal has been to take into account not only environmental impact aspects throughout the whole life cycle but also to incorporate the associated economic value as well, thus, giving a comprehensive vision of both factors. This paper focuses on different commonplace household electric appliances, comparing their eco-efficiency computed using a data envelopment analysis model. We consider the retail price as a measure of the product's economic value and the ecopoint LCA score as the assessment of its environmental impact. We conclude that cell phones and the bulky analyzed appliances have the highest eco-efficiency scores, whereas the rest would require a more environmentally friendly redesign and/or an increase in their perceived value to improve their eco-efficiency.","author":[{"dropping-particle":"","family":"Barba-Gutiérrez","given":"Y.","non-dropping-particle":"","parse-names":false,"suffix":""},{"dropping-particle":"","family":"Adenso-Díaz","given":"B.","non-dropping-particle":"","parse-names":false,"suffix":""},{"dropping-particle":"","family":"Lozano","given":"S.","non-dropping-particle":"","parse-names":false,"suffix":""}],"container-title":"Environmental Modeling and Assessment","id":"ITEM-1","issue":"4","issued":{"date-parts":[["2009"]]},"page":"439-447","title":"Eco-efficiency of electric and electronic appliances: A data envelopment analysis (DEA)","type":"article-journal","volume":"14"},"uris":["http://www.mendeley.com/documents/?uuid=dc90ec3f-544c-4e9d-b05b-f41a936c21ee"]}],"mendeley":{"formattedCitation":"(Barba-Gutiérrez, Adenso-Díaz, &amp; Lozano, 2009)","manualFormatting":"Barba-Gutiérrez, Adenso-Díaz y Lozano (2009)","plainTextFormattedCitation":"(Barba-Gutiérrez, Adenso-Díaz, &amp; Lozano, 2009)","previouslyFormattedCitation":"(Barba-Gutiérrez, Adenso-Díaz, &amp; Lozano, 2009)"},"properties":{"noteIndex":0},"schema":"https://github.com/citation-style-language/schema/raw/master/csl-citation.json"}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Barba-Gutiérrez, Adenso-Díaz y Lozano (2009)</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que toma como datos de entradas los impactos ambientales y no los recursos empleados como el método de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DOI":"10.1007/s11367-010-0154-9","ISBN":"1136701001","ISSN":"09483349","author":[{"dropping-particle":"","family":"Vázquez-Rowe","given":"Ian","non-dropping-particle":"","parse-names":false,"suffix":""},{"dropping-particle":"","family":"Iribarren","given":"Diego","non-dropping-particle":"","parse-names":false,"suffix":""},{"dropping-particle":"","family":"Moreira","given":"Maria Teresa","non-dropping-particle":"","parse-names":false,"suffix":""},{"dropping-particle":"","family":"Feijoo","given":"Gumersindo","non-dropping-particle":"","parse-names":false,"suffix":""}],"container-title":"International Journal of Life Cycle Assessment","id":"ITEM-1","issue":"3","issued":{"date-parts":[["2010"]]},"page":"272-283","title":"Combined application of life cycle assessment and data envelopment analysis as a methodological approach for the assessment of fisheries","type":"article-journal","volume":"15"},"uris":["http://www.mendeley.com/documents/?uuid=3bf85b74-0c52-4331-acf5-4f78262546c5"]}],"mendeley":{"formattedCitation":"(Vázquez-Rowe et al., 2010)","plainTextFormattedCitation":"(Vázquez-Rowe et al., 2010)","previouslyFormattedCitation":"(Vázquez-Rowe et al., 2010)"},"properties":{"noteIndex":0},"schema":"https://github.com/citation-style-language/schema/raw/master/csl-citation.json"}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noProof/>
          <w:sz w:val="24"/>
          <w:szCs w:val="24"/>
          <w:lang w:val="es-ES_tradnl"/>
        </w:rPr>
        <w:t>Vázquez-Rowe et al. (2010)</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La segunda modificación es derivada del enfoque a procesos utilizados, por lo que fueron incorporados los valores de VA</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calculados a través de la expresión (6), en lugar del </w:t>
      </w:r>
      <w:r w:rsidRPr="00DA747D">
        <w:rPr>
          <w:rFonts w:ascii="Times New Roman" w:hAnsi="Times New Roman" w:cs="Times New Roman"/>
          <w:sz w:val="24"/>
          <w:szCs w:val="24"/>
          <w:lang w:val="es-ES_tradnl"/>
        </w:rPr>
        <w:lastRenderedPageBreak/>
        <w:t>precio del producto j que propone el DEA. El modelo modificado se presenta mediante el conjunto de ecuaciones (9).</w:t>
      </w:r>
    </w:p>
    <w:p w:rsidR="00DA747D" w:rsidRPr="00DA747D" w:rsidRDefault="00DA747D" w:rsidP="00DA747D">
      <w:pPr>
        <w:pStyle w:val="Descripcin"/>
        <w:spacing w:after="0"/>
        <w:jc w:val="both"/>
        <w:rPr>
          <w:rFonts w:ascii="Times New Roman" w:hAnsi="Times New Roman"/>
          <w:b w:val="0"/>
          <w:sz w:val="24"/>
          <w:szCs w:val="24"/>
        </w:rPr>
      </w:pPr>
      <w:r w:rsidRPr="00DA747D">
        <w:rPr>
          <w:rFonts w:ascii="Times New Roman" w:hAnsi="Times New Roman"/>
          <w:b w:val="0"/>
          <w:noProof/>
          <w:position w:val="-170"/>
          <w:sz w:val="24"/>
          <w:szCs w:val="24"/>
        </w:rPr>
        <w:object w:dxaOrig="3640" w:dyaOrig="3519">
          <v:shape id="_x0000_i1033" type="#_x0000_t75" alt="" style="width:174.7pt;height:169.4pt;mso-width-percent:0;mso-height-percent:0;mso-width-percent:0;mso-height-percent:0" o:ole="">
            <v:imagedata r:id="rId26" o:title=""/>
          </v:shape>
          <o:OLEObject Type="Embed" ProgID="Equation.DSMT4" ShapeID="_x0000_i1033" DrawAspect="Content" ObjectID="_1690266011" r:id="rId27"/>
        </w:object>
      </w:r>
      <w:r w:rsidRPr="00DA747D">
        <w:rPr>
          <w:rFonts w:ascii="Times New Roman" w:hAnsi="Times New Roman"/>
          <w:b w:val="0"/>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9</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En este modelo (9), la variable a optimizar es</w:t>
      </w:r>
      <w:r w:rsidRPr="00DA747D">
        <w:rPr>
          <w:rFonts w:ascii="Times New Roman" w:hAnsi="Times New Roman" w:cs="Times New Roman"/>
          <w:sz w:val="24"/>
          <w:szCs w:val="24"/>
          <w:vertAlign w:val="subscript"/>
          <w:lang w:val="es-ES_tradnl"/>
        </w:rPr>
        <w:t xml:space="preserve"> </w:t>
      </w:r>
      <w:r w:rsidRPr="00DA747D">
        <w:rPr>
          <w:rFonts w:ascii="Times New Roman" w:hAnsi="Times New Roman" w:cs="Times New Roman"/>
          <w:sz w:val="24"/>
          <w:szCs w:val="24"/>
          <w:lang w:val="es-ES_tradnl"/>
        </w:rPr>
        <w:t>el valor de la eco eficiencia del proceso i en el producto j (γ</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expresada en eco puntos o puntos ambientales; las variables de decisión son la reducción de la categoría de impacto ambiental k para llegar a la eco-eficiencia (α</w:t>
      </w:r>
      <w:r w:rsidRPr="00DA747D">
        <w:rPr>
          <w:rFonts w:ascii="Times New Roman" w:hAnsi="Times New Roman" w:cs="Times New Roman"/>
          <w:sz w:val="24"/>
          <w:szCs w:val="24"/>
          <w:vertAlign w:val="subscript"/>
          <w:lang w:val="es-ES_tradnl"/>
        </w:rPr>
        <w:t>k</w:t>
      </w:r>
      <w:r w:rsidRPr="00DA747D">
        <w:rPr>
          <w:rFonts w:ascii="Times New Roman" w:hAnsi="Times New Roman" w:cs="Times New Roman"/>
          <w:sz w:val="24"/>
          <w:szCs w:val="24"/>
          <w:lang w:val="es-ES_tradnl"/>
        </w:rPr>
        <w:t>)</w:t>
      </w:r>
      <w:r w:rsidRPr="00DA747D">
        <w:rPr>
          <w:rFonts w:ascii="Times New Roman" w:hAnsi="Times New Roman" w:cs="Times New Roman"/>
          <w:sz w:val="24"/>
          <w:szCs w:val="24"/>
          <w:vertAlign w:val="subscript"/>
          <w:lang w:val="es-ES_tradnl"/>
        </w:rPr>
        <w:t xml:space="preserve">  </w:t>
      </w:r>
      <w:r w:rsidRPr="00DA747D">
        <w:rPr>
          <w:rFonts w:ascii="Times New Roman" w:hAnsi="Times New Roman" w:cs="Times New Roman"/>
          <w:sz w:val="24"/>
          <w:szCs w:val="24"/>
          <w:lang w:val="es-ES_tradnl"/>
        </w:rPr>
        <w:t>en iguales unidades de medida, utilizando el Ecoindicador 99 y el vector de pesos del proceso i (λ</w:t>
      </w:r>
      <w:r w:rsidRPr="00DA747D">
        <w:rPr>
          <w:rFonts w:ascii="Times New Roman" w:hAnsi="Times New Roman" w:cs="Times New Roman"/>
          <w:sz w:val="24"/>
          <w:szCs w:val="24"/>
          <w:vertAlign w:val="subscript"/>
          <w:lang w:val="es-ES_tradnl"/>
        </w:rPr>
        <w:t>i</w:t>
      </w:r>
      <w:r w:rsidRPr="00DA747D">
        <w:rPr>
          <w:rFonts w:ascii="Times New Roman" w:hAnsi="Times New Roman" w:cs="Times New Roman"/>
          <w:sz w:val="24"/>
          <w:szCs w:val="24"/>
          <w:lang w:val="es-ES_tradnl"/>
        </w:rPr>
        <w:t>)</w:t>
      </w:r>
      <w:r w:rsidRPr="00DA747D">
        <w:rPr>
          <w:rFonts w:ascii="Times New Roman" w:hAnsi="Times New Roman" w:cs="Times New Roman"/>
          <w:sz w:val="24"/>
          <w:szCs w:val="24"/>
          <w:vertAlign w:val="subscript"/>
          <w:lang w:val="es-ES_tradnl"/>
        </w:rPr>
        <w:t xml:space="preserve">. </w:t>
      </w:r>
      <w:r w:rsidRPr="00DA747D">
        <w:rPr>
          <w:rFonts w:ascii="Times New Roman" w:hAnsi="Times New Roman" w:cs="Times New Roman"/>
          <w:sz w:val="24"/>
          <w:szCs w:val="24"/>
          <w:lang w:val="es-ES_tradnl"/>
        </w:rPr>
        <w:t>Por su parte (I</w:t>
      </w:r>
      <w:r w:rsidRPr="00DA747D">
        <w:rPr>
          <w:rFonts w:ascii="Times New Roman" w:hAnsi="Times New Roman" w:cs="Times New Roman"/>
          <w:sz w:val="24"/>
          <w:szCs w:val="24"/>
          <w:vertAlign w:val="subscript"/>
          <w:lang w:val="es-ES_tradnl"/>
        </w:rPr>
        <w:t>ik</w:t>
      </w:r>
      <w:r w:rsidRPr="00DA747D">
        <w:rPr>
          <w:rFonts w:ascii="Times New Roman" w:hAnsi="Times New Roman" w:cs="Times New Roman"/>
          <w:sz w:val="24"/>
          <w:szCs w:val="24"/>
          <w:lang w:val="es-ES_tradnl"/>
        </w:rPr>
        <w:t>) es un parámetro de entrada que expresa el impacto ambiental del proceso i en la categoría ambiental k, (n) la cantidad de procesos y (c) cantidad de categorías de impacto ambiental.</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Una vez obtenida la eco-eficiencia  de cada una de los procesos, se calcula la eco-eficiencia de la CS a través de la expresión (10), W</w:t>
      </w:r>
      <w:r w:rsidRPr="00DA747D">
        <w:rPr>
          <w:rFonts w:ascii="Times New Roman" w:hAnsi="Times New Roman" w:cs="Times New Roman"/>
          <w:sz w:val="24"/>
          <w:szCs w:val="24"/>
          <w:vertAlign w:val="subscript"/>
          <w:lang w:val="es-ES_tradnl"/>
        </w:rPr>
        <w:t>i</w:t>
      </w:r>
      <w:r w:rsidRPr="00DA747D">
        <w:rPr>
          <w:rFonts w:ascii="Times New Roman" w:hAnsi="Times New Roman" w:cs="Times New Roman"/>
          <w:sz w:val="24"/>
          <w:szCs w:val="24"/>
          <w:lang w:val="es-ES_tradnl"/>
        </w:rPr>
        <w:t xml:space="preserve"> es el peso promedio del proceso i según componentes ambientales (expresión 11), n, c</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y t</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son términos ya explicados en las expresiones (3), (4) y  (5), Ia</w:t>
      </w:r>
      <w:r w:rsidRPr="00DA747D">
        <w:rPr>
          <w:rFonts w:ascii="Times New Roman" w:hAnsi="Times New Roman" w:cs="Times New Roman"/>
          <w:sz w:val="24"/>
          <w:szCs w:val="24"/>
          <w:vertAlign w:val="subscript"/>
          <w:lang w:val="es-ES_tradnl"/>
        </w:rPr>
        <w:t xml:space="preserve">ij </w:t>
      </w:r>
      <w:r w:rsidRPr="00DA747D">
        <w:rPr>
          <w:rFonts w:ascii="Times New Roman" w:hAnsi="Times New Roman" w:cs="Times New Roman"/>
          <w:sz w:val="24"/>
          <w:szCs w:val="24"/>
          <w:lang w:val="es-ES_tradnl"/>
        </w:rPr>
        <w:t>(T) es el impacto ambiental del proceso i al procesar el producto j en un periodo de tiempo T (suma de los impactos ambientales en cada una de las categorías) y tn</w:t>
      </w:r>
      <w:r w:rsidRPr="00DA747D">
        <w:rPr>
          <w:rFonts w:ascii="Times New Roman" w:hAnsi="Times New Roman" w:cs="Times New Roman"/>
          <w:sz w:val="24"/>
          <w:szCs w:val="24"/>
          <w:vertAlign w:val="subscript"/>
          <w:lang w:val="es-ES_tradnl"/>
        </w:rPr>
        <w:t>ij</w:t>
      </w:r>
      <w:r w:rsidRPr="00DA747D">
        <w:rPr>
          <w:rFonts w:ascii="Times New Roman" w:hAnsi="Times New Roman" w:cs="Times New Roman"/>
          <w:sz w:val="24"/>
          <w:szCs w:val="24"/>
          <w:lang w:val="es-ES_tradnl"/>
        </w:rPr>
        <w:t xml:space="preserve"> es el tiempo normado total para el proceso i en el producto j en unidades de tiempo por unidad de producto. El resultado de la eco-eficiencia fluctúa entre 0 y 1, siendo deseables aquellos valores que más se aproximen al extremo superior. </w:t>
      </w:r>
    </w:p>
    <w:p w:rsidR="00DA747D" w:rsidRPr="00DA747D" w:rsidRDefault="00DA747D" w:rsidP="00DA747D">
      <w:pPr>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A los efectos del presente artículo, el término eco-eficiencia en la CS, expresa un estado de perfección respecto a la dimensión ambiental que desde el punto de vista práctico nunca es alcanzable, por lo que siempre es posible encontrar brechas para el mejoramiento.</w:t>
      </w:r>
    </w:p>
    <w:p w:rsidR="00DA747D" w:rsidRPr="00DA747D" w:rsidRDefault="00DA747D" w:rsidP="00DA747D">
      <w:pPr>
        <w:pStyle w:val="Descripcin"/>
        <w:spacing w:after="0"/>
        <w:jc w:val="both"/>
        <w:rPr>
          <w:rFonts w:ascii="Times New Roman" w:hAnsi="Times New Roman"/>
          <w:b w:val="0"/>
          <w:sz w:val="24"/>
          <w:szCs w:val="24"/>
        </w:rPr>
      </w:pPr>
      <w:r w:rsidRPr="00DA747D">
        <w:rPr>
          <w:rFonts w:ascii="Times New Roman" w:hAnsi="Times New Roman"/>
          <w:sz w:val="24"/>
          <w:szCs w:val="24"/>
        </w:rPr>
        <w:t xml:space="preserve"> </w:t>
      </w:r>
      <w:r w:rsidRPr="00DA747D">
        <w:rPr>
          <w:rFonts w:ascii="Times New Roman" w:hAnsi="Times New Roman"/>
          <w:noProof/>
          <w:position w:val="-64"/>
          <w:sz w:val="24"/>
          <w:szCs w:val="24"/>
        </w:rPr>
        <w:object w:dxaOrig="2960" w:dyaOrig="1400">
          <v:shape id="_x0000_i1034" type="#_x0000_t75" alt="" style="width:149.9pt;height:69.05pt;mso-width-percent:0;mso-height-percent:0;mso-width-percent:0;mso-height-percent:0" o:ole="">
            <v:imagedata r:id="rId28" o:title=""/>
          </v:shape>
          <o:OLEObject Type="Embed" ProgID="Equation.DSMT4" ShapeID="_x0000_i1034" DrawAspect="Content" ObjectID="_1690266012" r:id="rId29"/>
        </w:object>
      </w:r>
      <w:r w:rsidRPr="00DA747D">
        <w:rPr>
          <w:rFonts w:ascii="Times New Roman" w:hAnsi="Times New Roman"/>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10</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Descripcin"/>
        <w:spacing w:after="0"/>
        <w:jc w:val="both"/>
        <w:rPr>
          <w:rFonts w:ascii="Times New Roman" w:hAnsi="Times New Roman"/>
          <w:b w:val="0"/>
          <w:i/>
          <w:color w:val="auto"/>
          <w:sz w:val="24"/>
          <w:szCs w:val="24"/>
        </w:rPr>
      </w:pPr>
      <w:r w:rsidRPr="00DA747D">
        <w:rPr>
          <w:rFonts w:ascii="Times New Roman" w:hAnsi="Times New Roman"/>
          <w:b w:val="0"/>
          <w:noProof/>
          <w:position w:val="-66"/>
          <w:sz w:val="24"/>
          <w:szCs w:val="24"/>
        </w:rPr>
        <w:object w:dxaOrig="3800" w:dyaOrig="1440">
          <v:shape id="_x0000_i1035" type="#_x0000_t75" alt="" style="width:172.9pt;height:63.75pt;mso-width-percent:0;mso-height-percent:0;mso-width-percent:0;mso-height-percent:0" o:ole="">
            <v:imagedata r:id="rId30" o:title=""/>
          </v:shape>
          <o:OLEObject Type="Embed" ProgID="Equation.DSMT4" ShapeID="_x0000_i1035" DrawAspect="Content" ObjectID="_1690266013" r:id="rId31"/>
        </w:object>
      </w:r>
      <w:r w:rsidRPr="00DA747D">
        <w:rPr>
          <w:rFonts w:ascii="Times New Roman" w:hAnsi="Times New Roman"/>
          <w:b w:val="0"/>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11</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Prrafodelista"/>
        <w:spacing w:line="240" w:lineRule="auto"/>
        <w:ind w:left="360"/>
        <w:jc w:val="both"/>
        <w:rPr>
          <w:rFonts w:ascii="Times New Roman" w:hAnsi="Times New Roman" w:cs="Times New Roman"/>
          <w:b/>
          <w:sz w:val="24"/>
          <w:szCs w:val="24"/>
          <w:lang w:val="es-ES_tradnl"/>
        </w:rPr>
      </w:pPr>
    </w:p>
    <w:p w:rsidR="00DA747D" w:rsidRPr="00DA747D" w:rsidRDefault="00DA747D" w:rsidP="00DA747D">
      <w:pPr>
        <w:pStyle w:val="Prrafodelista"/>
        <w:numPr>
          <w:ilvl w:val="0"/>
          <w:numId w:val="5"/>
        </w:numPr>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 xml:space="preserve">Paso 4 - Determinar peso de cada criterio. Una vez obtenido el valor de cada uno de los criterios se calculan sus respectivos pesos. Para ello se pueden emplear métodos como el de Saaty, Entropía, Diakoulaki, Delphi y otros. En el presente artículo se aplicó el método </w:t>
      </w:r>
      <w:r w:rsidRPr="00DA747D">
        <w:rPr>
          <w:rFonts w:ascii="Times New Roman" w:hAnsi="Times New Roman" w:cs="Times New Roman"/>
          <w:sz w:val="24"/>
          <w:szCs w:val="24"/>
          <w:lang w:val="es-ES_tradnl"/>
        </w:rPr>
        <w:fldChar w:fldCharType="begin" w:fldLock="1"/>
      </w:r>
      <w:r w:rsidRPr="00DA747D">
        <w:rPr>
          <w:rFonts w:ascii="Times New Roman" w:hAnsi="Times New Roman" w:cs="Times New Roman"/>
          <w:sz w:val="24"/>
          <w:szCs w:val="24"/>
          <w:lang w:val="es-ES_tradnl"/>
        </w:rPr>
        <w:instrText>ADDIN CSL_CITATION {"citationItems":[{"id":"ITEM-1","itemData":{"author":[{"dropping-particle":"","family":"Saaty","given":"TL","non-dropping-particle":"","parse-names":false,"suffix":""}],"id":"ITEM-1","issued":{"date-parts":[["1980"]]},"number-of-pages":"210","publisher":"McGraw-Hill","publisher-place":"New York","title":"The Analytic Hierarchical Process","type":"book"},"uris":["http://www.mendeley.com/documents/?uuid=c08988cf-4d3d-4fb1-bfa3-b2bf048fa01a"]}],"mendeley":{"formattedCitation":"(Saaty, 1980)","manualFormatting":"Saaty (1980)","plainTextFormattedCitation":"(Saaty, 1980)","previouslyFormattedCitation":"(Saaty, 1980)"},"properties":{"noteIndex":0},"schema":"https://github.com/citation-style-language/schema/raw/master/csl-citation.json"}</w:instrText>
      </w:r>
      <w:r w:rsidRPr="00DA747D">
        <w:rPr>
          <w:rFonts w:ascii="Times New Roman" w:hAnsi="Times New Roman" w:cs="Times New Roman"/>
          <w:sz w:val="24"/>
          <w:szCs w:val="24"/>
          <w:lang w:val="es-ES_tradnl"/>
        </w:rPr>
        <w:fldChar w:fldCharType="separate"/>
      </w:r>
      <w:r w:rsidRPr="00DA747D">
        <w:rPr>
          <w:rFonts w:ascii="Times New Roman" w:hAnsi="Times New Roman" w:cs="Times New Roman"/>
          <w:sz w:val="24"/>
          <w:szCs w:val="24"/>
          <w:lang w:val="es-ES_tradnl"/>
        </w:rPr>
        <w:t>Saaty (1980)</w:t>
      </w:r>
      <w:r w:rsidRPr="00DA747D">
        <w:rPr>
          <w:rFonts w:ascii="Times New Roman" w:hAnsi="Times New Roman" w:cs="Times New Roman"/>
          <w:sz w:val="24"/>
          <w:szCs w:val="24"/>
          <w:lang w:val="es-ES_tradnl"/>
        </w:rPr>
        <w:fldChar w:fldCharType="end"/>
      </w:r>
      <w:r w:rsidRPr="00DA747D">
        <w:rPr>
          <w:rFonts w:ascii="Times New Roman" w:hAnsi="Times New Roman" w:cs="Times New Roman"/>
          <w:sz w:val="24"/>
          <w:szCs w:val="24"/>
          <w:lang w:val="es-ES_tradnl"/>
        </w:rPr>
        <w:t xml:space="preserve"> para calcular el peso de cada indicador.</w:t>
      </w:r>
    </w:p>
    <w:p w:rsidR="00DA747D" w:rsidRPr="00DA747D" w:rsidRDefault="00DA747D" w:rsidP="00DA747D">
      <w:pPr>
        <w:pStyle w:val="Prrafodelista"/>
        <w:numPr>
          <w:ilvl w:val="0"/>
          <w:numId w:val="5"/>
        </w:numPr>
        <w:spacing w:line="240" w:lineRule="auto"/>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Paso 5 - Calcular SCPI. Para calcular el nivel de desempeño de la CS se deben homogenizar los criterios llevándolos todos a escalas de máximo (en caso de ser necesario). Luego se determina el SCPI a través de las expresiones (12) y (13).</w:t>
      </w:r>
    </w:p>
    <w:p w:rsidR="00DA747D" w:rsidRPr="00DA747D" w:rsidRDefault="00DA747D" w:rsidP="00DA747D">
      <w:pPr>
        <w:pStyle w:val="Descripcin"/>
        <w:spacing w:after="0" w:line="276" w:lineRule="auto"/>
        <w:jc w:val="both"/>
        <w:rPr>
          <w:rFonts w:ascii="Times New Roman" w:hAnsi="Times New Roman"/>
          <w:b w:val="0"/>
          <w:sz w:val="24"/>
          <w:szCs w:val="24"/>
        </w:rPr>
      </w:pPr>
      <w:r w:rsidRPr="00DA747D">
        <w:rPr>
          <w:rFonts w:ascii="Times New Roman" w:hAnsi="Times New Roman"/>
          <w:noProof/>
          <w:position w:val="-28"/>
          <w:sz w:val="24"/>
          <w:szCs w:val="24"/>
        </w:rPr>
        <w:object w:dxaOrig="1900" w:dyaOrig="680">
          <v:shape id="_x0000_i1036" type="#_x0000_t75" alt="" style="width:96.2pt;height:33.65pt;mso-width-percent:0;mso-height-percent:0;mso-width-percent:0;mso-height-percent:0" o:ole="">
            <v:imagedata r:id="rId32" o:title=""/>
          </v:shape>
          <o:OLEObject Type="Embed" ProgID="Equation.DSMT4" ShapeID="_x0000_i1036" DrawAspect="Content" ObjectID="_1690266014" r:id="rId33"/>
        </w:object>
      </w:r>
      <w:r w:rsidRPr="00DA747D">
        <w:rPr>
          <w:rFonts w:ascii="Times New Roman" w:hAnsi="Times New Roman"/>
          <w:sz w:val="24"/>
          <w:szCs w:val="24"/>
        </w:rPr>
        <w:tab/>
      </w:r>
      <w:r w:rsidRPr="00DA747D">
        <w:rPr>
          <w:rFonts w:ascii="Times New Roman" w:hAnsi="Times New Roman"/>
          <w:sz w:val="24"/>
          <w:szCs w:val="24"/>
        </w:rPr>
        <w:tab/>
      </w:r>
      <w:r w:rsidRPr="00DA747D">
        <w:rPr>
          <w:rFonts w:ascii="Times New Roman" w:hAnsi="Times New Roman"/>
          <w:b w:val="0"/>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12</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pStyle w:val="Descripcin"/>
        <w:spacing w:after="0" w:line="276" w:lineRule="auto"/>
        <w:jc w:val="both"/>
        <w:rPr>
          <w:rFonts w:ascii="Times New Roman" w:hAnsi="Times New Roman"/>
          <w:b w:val="0"/>
          <w:sz w:val="24"/>
          <w:szCs w:val="24"/>
        </w:rPr>
      </w:pPr>
      <w:r w:rsidRPr="00DA747D">
        <w:rPr>
          <w:rFonts w:ascii="Times New Roman" w:hAnsi="Times New Roman"/>
          <w:b w:val="0"/>
          <w:noProof/>
          <w:position w:val="-32"/>
          <w:sz w:val="24"/>
          <w:szCs w:val="24"/>
        </w:rPr>
        <w:object w:dxaOrig="2620" w:dyaOrig="760">
          <v:shape id="_x0000_i1037" type="#_x0000_t75" alt="" style="width:132.2pt;height:37.75pt;mso-width-percent:0;mso-height-percent:0;mso-width-percent:0;mso-height-percent:0" o:ole="">
            <v:imagedata r:id="rId34" o:title=""/>
          </v:shape>
          <o:OLEObject Type="Embed" ProgID="Equation.DSMT4" ShapeID="_x0000_i1037" DrawAspect="Content" ObjectID="_1690266015" r:id="rId35"/>
        </w:object>
      </w:r>
      <w:r w:rsidRPr="00DA747D">
        <w:rPr>
          <w:rFonts w:ascii="Times New Roman" w:hAnsi="Times New Roman"/>
          <w:b w:val="0"/>
          <w:sz w:val="24"/>
          <w:szCs w:val="24"/>
        </w:rPr>
        <w:tab/>
      </w:r>
      <w:r w:rsidRPr="00DA747D">
        <w:rPr>
          <w:rFonts w:ascii="Times New Roman" w:hAnsi="Times New Roman"/>
          <w:b w:val="0"/>
          <w:sz w:val="24"/>
          <w:szCs w:val="24"/>
        </w:rPr>
        <w:tab/>
      </w:r>
      <w:r w:rsidRPr="00DA747D">
        <w:rPr>
          <w:rFonts w:ascii="Times New Roman" w:hAnsi="Times New Roman"/>
          <w:b w:val="0"/>
          <w:color w:val="auto"/>
          <w:sz w:val="24"/>
          <w:szCs w:val="24"/>
        </w:rPr>
        <w:t>(</w:t>
      </w:r>
      <w:r w:rsidRPr="00DA747D">
        <w:rPr>
          <w:rFonts w:ascii="Times New Roman" w:hAnsi="Times New Roman"/>
          <w:b w:val="0"/>
          <w:i/>
          <w:color w:val="auto"/>
          <w:sz w:val="24"/>
          <w:szCs w:val="24"/>
        </w:rPr>
        <w:fldChar w:fldCharType="begin"/>
      </w:r>
      <w:r w:rsidRPr="00DA747D">
        <w:rPr>
          <w:rFonts w:ascii="Times New Roman" w:hAnsi="Times New Roman"/>
          <w:b w:val="0"/>
          <w:color w:val="auto"/>
          <w:sz w:val="24"/>
          <w:szCs w:val="24"/>
        </w:rPr>
        <w:instrText xml:space="preserve"> SEQ ( \* ARABIC </w:instrText>
      </w:r>
      <w:r w:rsidRPr="00DA747D">
        <w:rPr>
          <w:rFonts w:ascii="Times New Roman" w:hAnsi="Times New Roman"/>
          <w:b w:val="0"/>
          <w:i/>
          <w:color w:val="auto"/>
          <w:sz w:val="24"/>
          <w:szCs w:val="24"/>
        </w:rPr>
        <w:fldChar w:fldCharType="separate"/>
      </w:r>
      <w:r w:rsidRPr="00DA747D">
        <w:rPr>
          <w:rFonts w:ascii="Times New Roman" w:hAnsi="Times New Roman"/>
          <w:b w:val="0"/>
          <w:noProof/>
          <w:color w:val="auto"/>
          <w:sz w:val="24"/>
          <w:szCs w:val="24"/>
        </w:rPr>
        <w:t>13</w:t>
      </w:r>
      <w:r w:rsidRPr="00DA747D">
        <w:rPr>
          <w:rFonts w:ascii="Times New Roman" w:hAnsi="Times New Roman"/>
          <w:b w:val="0"/>
          <w:i/>
          <w:color w:val="auto"/>
          <w:sz w:val="24"/>
          <w:szCs w:val="24"/>
        </w:rPr>
        <w:fldChar w:fldCharType="end"/>
      </w:r>
      <w:r w:rsidRPr="00DA747D">
        <w:rPr>
          <w:rFonts w:ascii="Times New Roman" w:hAnsi="Times New Roman"/>
          <w:b w:val="0"/>
          <w:color w:val="auto"/>
          <w:sz w:val="24"/>
          <w:szCs w:val="24"/>
        </w:rPr>
        <w:t>)</w:t>
      </w:r>
    </w:p>
    <w:p w:rsidR="00DA747D" w:rsidRPr="00DA747D" w:rsidRDefault="00DA747D" w:rsidP="00DA747D">
      <w:pPr>
        <w:autoSpaceDE w:val="0"/>
        <w:autoSpaceDN w:val="0"/>
        <w:adjustRightInd w:val="0"/>
        <w:jc w:val="both"/>
        <w:rPr>
          <w:rFonts w:ascii="Times New Roman" w:hAnsi="Times New Roman" w:cs="Times New Roman"/>
          <w:sz w:val="24"/>
          <w:szCs w:val="24"/>
          <w:lang w:val="es-ES_tradnl"/>
        </w:rPr>
      </w:pPr>
      <w:r w:rsidRPr="00DA747D">
        <w:rPr>
          <w:rFonts w:ascii="Times New Roman" w:hAnsi="Times New Roman" w:cs="Times New Roman"/>
          <w:sz w:val="24"/>
          <w:szCs w:val="24"/>
          <w:lang w:val="es-ES_tradnl"/>
        </w:rPr>
        <w:t>Donde W</w:t>
      </w:r>
      <w:r w:rsidRPr="00DA747D">
        <w:rPr>
          <w:rFonts w:ascii="Times New Roman" w:hAnsi="Times New Roman" w:cs="Times New Roman"/>
          <w:sz w:val="24"/>
          <w:szCs w:val="24"/>
          <w:vertAlign w:val="subscript"/>
          <w:lang w:val="es-ES_tradnl"/>
        </w:rPr>
        <w:t>c</w:t>
      </w:r>
      <w:r w:rsidRPr="00DA747D">
        <w:rPr>
          <w:rFonts w:ascii="Times New Roman" w:hAnsi="Times New Roman" w:cs="Times New Roman"/>
          <w:sz w:val="24"/>
          <w:szCs w:val="24"/>
          <w:lang w:val="es-ES_tradnl"/>
        </w:rPr>
        <w:t xml:space="preserve"> es el peso del criterio c, ME</w:t>
      </w:r>
      <w:r w:rsidRPr="00DA747D">
        <w:rPr>
          <w:rFonts w:ascii="Times New Roman" w:hAnsi="Times New Roman" w:cs="Times New Roman"/>
          <w:sz w:val="24"/>
          <w:szCs w:val="24"/>
          <w:vertAlign w:val="subscript"/>
          <w:lang w:val="es-ES_tradnl"/>
        </w:rPr>
        <w:t>c</w:t>
      </w:r>
      <w:r w:rsidRPr="00DA747D">
        <w:rPr>
          <w:rFonts w:ascii="Times New Roman" w:hAnsi="Times New Roman" w:cs="Times New Roman"/>
          <w:sz w:val="24"/>
          <w:szCs w:val="24"/>
          <w:lang w:val="es-ES_tradnl"/>
        </w:rPr>
        <w:t xml:space="preserve"> es la máxima evaluación del criterio c, Rpp</w:t>
      </w:r>
      <w:r w:rsidRPr="00DA747D">
        <w:rPr>
          <w:rFonts w:ascii="Times New Roman" w:hAnsi="Times New Roman" w:cs="Times New Roman"/>
          <w:sz w:val="24"/>
          <w:szCs w:val="24"/>
          <w:vertAlign w:val="subscript"/>
          <w:lang w:val="es-ES_tradnl"/>
        </w:rPr>
        <w:t>c</w:t>
      </w:r>
      <w:r w:rsidRPr="00DA747D">
        <w:rPr>
          <w:rFonts w:ascii="Times New Roman" w:hAnsi="Times New Roman" w:cs="Times New Roman"/>
          <w:sz w:val="24"/>
          <w:szCs w:val="24"/>
          <w:lang w:val="es-ES_tradnl"/>
        </w:rPr>
        <w:t xml:space="preserve"> es la razón de puntos perdidos en el criterio c, c es el índice de criterios, m cantidad de criterios analizados y E</w:t>
      </w:r>
      <w:r w:rsidRPr="00DA747D">
        <w:rPr>
          <w:rFonts w:ascii="Times New Roman" w:hAnsi="Times New Roman" w:cs="Times New Roman"/>
          <w:sz w:val="24"/>
          <w:szCs w:val="24"/>
          <w:vertAlign w:val="subscript"/>
          <w:lang w:val="es-ES_tradnl"/>
        </w:rPr>
        <w:t>c</w:t>
      </w:r>
      <w:r w:rsidRPr="00DA747D">
        <w:rPr>
          <w:rFonts w:ascii="Times New Roman" w:hAnsi="Times New Roman" w:cs="Times New Roman"/>
          <w:sz w:val="24"/>
          <w:szCs w:val="24"/>
          <w:lang w:val="es-ES_tradnl"/>
        </w:rPr>
        <w:t xml:space="preserve"> es la evaluación obtenida por el criterio. Si Rppc obtiene un valor negativo significa que el criterio obtuvo una evaluación mejor que la evaluación máxima propuesta, por lo que los puntos perdidos en dicho criterio serán cero. Con el valor del SCPI, se evalúa el desempeño de la CS utilizando la escala propuesta por los expertos que se explica en el punto correspondiente a los resultados. </w:t>
      </w:r>
    </w:p>
    <w:p w:rsidR="00A21A1F" w:rsidRPr="00DA747D" w:rsidRDefault="00A21A1F" w:rsidP="00FF3346">
      <w:pPr>
        <w:spacing w:after="0" w:line="360" w:lineRule="auto"/>
        <w:jc w:val="both"/>
        <w:rPr>
          <w:rFonts w:ascii="Times New Roman" w:hAnsi="Times New Roman" w:cs="Times New Roman"/>
          <w:sz w:val="24"/>
          <w:szCs w:val="24"/>
          <w:lang w:val="es-ES_tradnl"/>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La herramienta metodológica descrita, fue aplicada a la CS de contadores de energía eléctrica (CEE) de 127 y 220 voltios (v), tomada como estudio de caso, que comprende su adquisición en el proveedor extranjero, calibración en la empresa y entrega al cliente (empresas eléctricas del país que lo instalan en las viviendas). Para definir los procesos, se consideraron los dos primeros niveles propuestos por el modelo SCOR, definiéndose en el primer nivel los procesos de aprovisionamiento, producción y distribución y en el segundo los enumerados del P1 al P10 en la Figura 3 </w:t>
      </w:r>
      <w:r w:rsidRPr="00F12C6E">
        <w:rPr>
          <w:rFonts w:ascii="Times New Roman" w:hAnsi="Times New Roman" w:cs="Times New Roman"/>
          <w:sz w:val="24"/>
          <w:szCs w:val="24"/>
          <w:lang w:val="es-ES_tradnl"/>
        </w:rPr>
        <w:fldChar w:fldCharType="begin" w:fldLock="1"/>
      </w:r>
      <w:r w:rsidRPr="00F12C6E">
        <w:rPr>
          <w:rFonts w:ascii="Times New Roman" w:hAnsi="Times New Roman" w:cs="Times New Roman"/>
          <w:sz w:val="24"/>
          <w:szCs w:val="24"/>
          <w:lang w:val="es-ES_tradnl"/>
        </w:rPr>
        <w:instrText>ADDIN CSL_CITATION {"citationItems":[{"id":"ITEM-1","itemData":{"ISSN":"2050-7399","abstract":"In recent years, supply chain performance measurement has received much attention from researchers and practitioners. Effective supply chain performance through supply chain antecedents such as business analytics has become a potentially valuable way of securing competitive advantage and improving supply chain performance. This study addressed the lack of the empirical studies by developing a comprehensive model to examine the effect of business analytics on supply chain performance. A quantitative methodology using a cross-sectional survey method was used to investigate the relationship between variables. Data were collected from automotive companies in Iran. The relationships between variables were examined using structural equation modelling (SEM) technique and partial least squares (PLS) software was used. The results revealed there is a significant positive relationship between business analytics and supply chain performance. The study combined resource- based theory, resource dependence theories to develop a new theoretical framework to demonstrate the importance of businesses analytics; in improving supply chain performance.&amp;nbsp;","author":[{"dropping-particle":"","family":"Jamehshooran","given":"Bijan Ganji","non-dropping-particle":"","parse-names":false,"suffix":""},{"dropping-particle":"","family":"Shaharoun","given":"Awaluddin M","non-dropping-particle":"","parse-names":false,"suffix":""},{"dropping-particle":"","family":"Haron","given":"Habibah Norehan","non-dropping-particle":"","parse-names":false,"suffix":""}],"container-title":"International Journal of Supply Chain Management","id":"ITEM-1","issue":"1","issued":{"date-parts":[["2015"]]},"page":"1-11","title":"Assessing Supply Chain Performance through Applying the SCOR Model","type":"article-journal","volume":"4"},"uris":["http://www.mendeley.com/documents/?uuid=c98505a0-e392-4c38-9c4a-894167d6258a"]},{"id":"ITEM-2","itemData":{"DOI":"10.1504/IJLSM.2017.083225","ISSN":"1742-7967","abstract":"Performance measurement is known to be the best way of investigating the supply chains' success. In this regard, managers can identify the root causes of weakness points and improve supply chain's performance through analysing and solving these problems. Concerning this problem, various supply chain performance evaluation models have been presented in literature. Through all of the models, this paper used supply chain operations reference (SCOR) model for performance measurement of three Iranian automotive supply chains. First SCOR model is employed to define the performance criteria. Afterwards, technique for order of preference by similarity to ideal solution (TOPSIS) is used to determine the supply chain that performs best. In this paper, expert's judgment is used to determine the criteria's value and weight but uncertainties in expert's judgment was unavoidable, also experts cannot reach an agreement on the method of defining linguistic variables based on fuzzy sets. So, paper used interval-valued fuzzy set to solve these problems. To the best of authors' knowledge, this is the first study that have applied interval-valued fuzzy TOPSIS in group decision-making in order to evaluate and improve the performance of supply chains on the basis of SCOR model.","author":[{"dropping-particle":"","family":"Moharamkhani","given":"Arezoo","non-dropping-particle":"","parse-names":false,"suffix":""},{"dropping-particle":"","family":"Amiri","given":"Ali Bozorgi","non-dropping-particle":"","parse-names":false,"suffix":""},{"dropping-particle":"","family":"Mina","given":"Hassan","non-dropping-particle":"","parse-names":false,"suffix":""}],"container-title":"International Journal of Logistics Systems and Management","id":"ITEM-2","issue":"1","issued":{"date-parts":[["2017"]]},"page":"115","title":"Supply chain performance measurement using SCOR model based on interval-valued fuzzy TOPSIS","type":"article-journal","volume":"27"},"uris":["http://www.mendeley.com/documents/?uuid=360eaf2d-31d3-36f7-a725-9cf43bda5f84"]},{"id":"ITEM-3","itemData":{"DOI":"10.1080/00207543.2015.1005251","ISSN":"0020-7543","abstract":"Supply Chain Operations Reference (SCOR) is a widely employed model for SC performance assessment, regardless its generic nature. This article presents a SCOR-based model for performance measurement in supply chains (SC) and apply it in the context of Brazilian footwear industry. The model has two dimensions: SCOR processes (source, make, deliver and return) and performance standards adapted from original SCOR (cost, quality, delivery and flexibility). This structure delivers a 4 ? 4 matrix, with each component assessed under analytical hierarchy process. Using focus groups, SC?s experts weighted each component of the matrix regarding their relevance. Thereafter, SC?s managers indicated respective results. The SC?s overall performance was obtained by adding the performance of all indicators. The model application embraced one focal footwear manufacturer, four suppliers, three distribution channels and a return channel, with 85 indicators assessed. The achieved performance for the whole SC is 75.29%.The main gaps were found in deliver process (12.78 percentual points of difference between relevance and achieved proportions) and in flexibility performance (9.82). Further application is recommended in order to find consolidated results.","author":[{"dropping-particle":"","family":"Sellitto","given":"Miguel Afonso","non-dropping-particle":"","parse-names":false,"suffix":""},{"dropping-particle":"","family":"Pereira","given":"Giancarlo Medeiros","non-dropping-particle":"","parse-names":false,"suffix":""},{"dropping-particle":"","family":"Borchardt","given":"Miriam","non-dropping-particle":"","parse-names":false,"suffix":""},{"dropping-particle":"","family":"Silva","given":"Rosnaldo Inácio","non-dropping-particle":"da","parse-names":false,"suffix":""},{"dropping-particle":"","family":"Viegas","given":"Cláudia Viviane","non-dropping-particle":"","parse-names":false,"suffix":""}],"container-title":"International Journal of Production Research","id":"ITEM-3","issue":"16","issued":{"date-parts":[["2015"]]},"page":"4917-4926","title":"A SCOR-based model for supply chain performance measurement: application in the footwear industry","type":"article-journal","volume":"53"},"uris":["http://www.mendeley.com/documents/?uuid=4785b056-5112-4935-91e5-0fa8b345c3e2"]}],"mendeley":{"formattedCitation":"(Jamehshooran et al., 2015; Moharamkhani et al., 2017; Sellitto et al., 2015)","plainTextFormattedCitation":"(Jamehshooran et al., 2015; Moharamkhani et al., 2017; Sellitto et al., 2015)","previouslyFormattedCitation":"(Jamehshooran et al., 2015; Moharamkhani et al., 2017; Sellitto et al., 2015)"},"properties":{"noteIndex":0},"schema":"https://github.com/citation-style-language/schema/raw/master/csl-citation.json"}</w:instrText>
      </w:r>
      <w:r w:rsidRPr="00F12C6E">
        <w:rPr>
          <w:rFonts w:ascii="Times New Roman" w:hAnsi="Times New Roman" w:cs="Times New Roman"/>
          <w:sz w:val="24"/>
          <w:szCs w:val="24"/>
          <w:lang w:val="es-ES_tradnl"/>
        </w:rPr>
        <w:fldChar w:fldCharType="separate"/>
      </w:r>
      <w:r w:rsidRPr="00F12C6E">
        <w:rPr>
          <w:rFonts w:ascii="Times New Roman" w:hAnsi="Times New Roman" w:cs="Times New Roman"/>
          <w:noProof/>
          <w:sz w:val="24"/>
          <w:szCs w:val="24"/>
          <w:lang w:val="es-ES_tradnl"/>
        </w:rPr>
        <w:t>(Jamehshooran et al., 2015; Moharamkhani et al., 2017; Sellitto et al., 2015)</w:t>
      </w:r>
      <w:r w:rsidRPr="00F12C6E">
        <w:rPr>
          <w:rFonts w:ascii="Times New Roman" w:hAnsi="Times New Roman" w:cs="Times New Roman"/>
          <w:sz w:val="24"/>
          <w:szCs w:val="24"/>
          <w:lang w:val="es-ES_tradnl"/>
        </w:rPr>
        <w:fldChar w:fldCharType="end"/>
      </w:r>
      <w:r w:rsidRPr="00F12C6E">
        <w:rPr>
          <w:rFonts w:ascii="Times New Roman" w:hAnsi="Times New Roman" w:cs="Times New Roman"/>
          <w:sz w:val="24"/>
          <w:szCs w:val="24"/>
          <w:lang w:val="es-ES_tradnl"/>
        </w:rPr>
        <w:t>.</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b/>
          <w:noProof/>
          <w:sz w:val="24"/>
          <w:szCs w:val="24"/>
          <w:lang w:eastAsia="es-ES"/>
        </w:rPr>
        <w:lastRenderedPageBreak/>
        <w:drawing>
          <wp:inline distT="0" distB="0" distL="0" distR="0" wp14:anchorId="0C73CA96" wp14:editId="512F8D7F">
            <wp:extent cx="4253947" cy="2695575"/>
            <wp:effectExtent l="57150" t="38100" r="32385" b="8572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F12C6E" w:rsidRPr="00F12C6E" w:rsidRDefault="00F12C6E" w:rsidP="00F12C6E">
      <w:pPr>
        <w:jc w:val="both"/>
        <w:rPr>
          <w:rFonts w:ascii="Times New Roman" w:hAnsi="Times New Roman" w:cs="Times New Roman"/>
          <w:sz w:val="20"/>
          <w:szCs w:val="20"/>
          <w:lang w:val="es-ES_tradnl"/>
        </w:rPr>
      </w:pPr>
      <w:r w:rsidRPr="00F12C6E">
        <w:rPr>
          <w:rFonts w:ascii="Times New Roman" w:hAnsi="Times New Roman" w:cs="Times New Roman"/>
          <w:sz w:val="20"/>
          <w:szCs w:val="20"/>
          <w:lang w:val="es-ES_tradnl"/>
        </w:rPr>
        <w:t xml:space="preserve">Figura 3. Procesos de la CS de CEE. </w:t>
      </w:r>
    </w:p>
    <w:p w:rsidR="00F12C6E" w:rsidRPr="00F12C6E" w:rsidRDefault="00F12C6E" w:rsidP="00F12C6E">
      <w:pPr>
        <w:jc w:val="both"/>
        <w:rPr>
          <w:rFonts w:ascii="Times New Roman" w:hAnsi="Times New Roman" w:cs="Times New Roman"/>
          <w:sz w:val="20"/>
          <w:szCs w:val="20"/>
          <w:lang w:val="es-ES_tradnl"/>
        </w:rPr>
      </w:pPr>
      <w:r w:rsidRPr="00F12C6E">
        <w:rPr>
          <w:rFonts w:ascii="Times New Roman" w:hAnsi="Times New Roman" w:cs="Times New Roman"/>
          <w:sz w:val="20"/>
          <w:szCs w:val="20"/>
          <w:lang w:val="es-ES_tradnl"/>
        </w:rPr>
        <w:t>Fuente: elaboración propia.</w:t>
      </w:r>
    </w:p>
    <w:p w:rsidR="00F12C6E" w:rsidRPr="00F12C6E" w:rsidRDefault="00F12C6E" w:rsidP="00F12C6E">
      <w:pPr>
        <w:spacing w:after="120"/>
        <w:jc w:val="both"/>
        <w:rPr>
          <w:rFonts w:ascii="Times New Roman" w:hAnsi="Times New Roman" w:cs="Times New Roman"/>
          <w:sz w:val="24"/>
          <w:szCs w:val="24"/>
          <w:lang w:val="es-ES_tradnl"/>
        </w:rPr>
      </w:pP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Los resultados de la aplicación de la herramienta metodológica se muestran a continuación:</w:t>
      </w:r>
    </w:p>
    <w:p w:rsidR="00F12C6E" w:rsidRPr="00F12C6E" w:rsidRDefault="00F12C6E" w:rsidP="00F12C6E">
      <w:pPr>
        <w:jc w:val="both"/>
        <w:rPr>
          <w:rFonts w:ascii="Times New Roman" w:hAnsi="Times New Roman" w:cs="Times New Roman"/>
          <w:b/>
          <w:sz w:val="24"/>
          <w:szCs w:val="24"/>
          <w:lang w:val="es-ES_tradnl"/>
        </w:rPr>
      </w:pPr>
    </w:p>
    <w:p w:rsidR="00F12C6E" w:rsidRPr="00F12C6E" w:rsidRDefault="00F12C6E" w:rsidP="00F12C6E">
      <w:pPr>
        <w:pStyle w:val="Prrafodelista"/>
        <w:numPr>
          <w:ilvl w:val="0"/>
          <w:numId w:val="5"/>
        </w:numPr>
        <w:spacing w:after="0" w:line="240" w:lineRule="auto"/>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Paso 1. Seleccionar criterios para calcular el SCPI. </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Se aplicó una encuesta a un grupo de expertos</w:t>
      </w:r>
      <w:r w:rsidRPr="00F12C6E">
        <w:rPr>
          <w:rStyle w:val="Refdenotaalpie"/>
          <w:rFonts w:ascii="Times New Roman" w:hAnsi="Times New Roman" w:cs="Times New Roman"/>
          <w:sz w:val="24"/>
          <w:szCs w:val="24"/>
        </w:rPr>
        <w:footnoteReference w:id="1"/>
      </w:r>
      <w:r w:rsidRPr="00F12C6E">
        <w:rPr>
          <w:rFonts w:ascii="Times New Roman" w:hAnsi="Times New Roman" w:cs="Times New Roman"/>
          <w:sz w:val="24"/>
          <w:szCs w:val="24"/>
          <w:lang w:val="es-ES_tradnl"/>
        </w:rPr>
        <w:t xml:space="preserve"> previamente seleccionados que dieron una puntuación según la escala de </w:t>
      </w:r>
      <w:r w:rsidRPr="00F12C6E">
        <w:rPr>
          <w:rFonts w:ascii="Times New Roman" w:hAnsi="Times New Roman" w:cs="Times New Roman"/>
          <w:sz w:val="24"/>
          <w:szCs w:val="24"/>
          <w:lang w:val="es-ES_tradnl"/>
        </w:rPr>
        <w:fldChar w:fldCharType="begin" w:fldLock="1"/>
      </w:r>
      <w:r w:rsidRPr="00F12C6E">
        <w:rPr>
          <w:rFonts w:ascii="Times New Roman" w:hAnsi="Times New Roman" w:cs="Times New Roman"/>
          <w:sz w:val="24"/>
          <w:szCs w:val="24"/>
          <w:lang w:val="es-ES_tradnl"/>
        </w:rPr>
        <w:instrText>ADDIN CSL_CITATION {"citationItems":[{"id":"ITEM-1","itemData":{"author":[{"dropping-particle":"","family":"Saaty","given":"TL","non-dropping-particle":"","parse-names":false,"suffix":""}],"id":"ITEM-1","issued":{"date-parts":[["1980"]]},"number-of-pages":"210","publisher":"McGraw-Hill","publisher-place":"New York","title":"The Analytic Hierarchical Process","type":"book"},"uris":["http://www.mendeley.com/documents/?uuid=c08988cf-4d3d-4fb1-bfa3-b2bf048fa01a"]}],"mendeley":{"formattedCitation":"(Saaty, 1980)","manualFormatting":"Saaty (1980)","plainTextFormattedCitation":"(Saaty, 1980)","previouslyFormattedCitation":"(Saaty, 1980)"},"properties":{"noteIndex":0},"schema":"https://github.com/citation-style-language/schema/raw/master/csl-citation.json"}</w:instrText>
      </w:r>
      <w:r w:rsidRPr="00F12C6E">
        <w:rPr>
          <w:rFonts w:ascii="Times New Roman" w:hAnsi="Times New Roman" w:cs="Times New Roman"/>
          <w:sz w:val="24"/>
          <w:szCs w:val="24"/>
          <w:lang w:val="es-ES_tradnl"/>
        </w:rPr>
        <w:fldChar w:fldCharType="separate"/>
      </w:r>
      <w:r w:rsidRPr="00F12C6E">
        <w:rPr>
          <w:rFonts w:ascii="Times New Roman" w:hAnsi="Times New Roman" w:cs="Times New Roman"/>
          <w:noProof/>
          <w:sz w:val="24"/>
          <w:szCs w:val="24"/>
          <w:lang w:val="es-ES_tradnl"/>
        </w:rPr>
        <w:t>Saaty (1980)</w:t>
      </w:r>
      <w:r w:rsidRPr="00F12C6E">
        <w:rPr>
          <w:rFonts w:ascii="Times New Roman" w:hAnsi="Times New Roman" w:cs="Times New Roman"/>
          <w:sz w:val="24"/>
          <w:szCs w:val="24"/>
          <w:lang w:val="es-ES_tradnl"/>
        </w:rPr>
        <w:fldChar w:fldCharType="end"/>
      </w:r>
      <w:r w:rsidRPr="00F12C6E">
        <w:rPr>
          <w:rFonts w:ascii="Times New Roman" w:hAnsi="Times New Roman" w:cs="Times New Roman"/>
          <w:sz w:val="24"/>
          <w:szCs w:val="24"/>
          <w:lang w:val="es-ES_tradnl"/>
        </w:rPr>
        <w:t>, atendiendo a sus opiniones sobre el impacto e importancia de estos criterios identificados en la literatura sobre el desempeño de la CS estudiada. Con los resultados de la encuesta se aplicó un método de clasificación (método clúster), para seleccionar los criterios que formarían el SCPI (productividad, servicio al cliente, valor agregado, la rentabilidad e impacto ambiental). El criterio relacionado con los beneficios y las ventas no fue incluido por estar contenidos en la rentabilidad, mientras que el valor agregado fue defendido con fuerza por los expertos, a pesar de no ser uno de los recomendados en la literatura especializada (Figura 2).</w:t>
      </w:r>
    </w:p>
    <w:p w:rsidR="00F12C6E" w:rsidRPr="00F12C6E" w:rsidRDefault="00F12C6E" w:rsidP="00F12C6E">
      <w:pPr>
        <w:jc w:val="both"/>
        <w:rPr>
          <w:rFonts w:ascii="Times New Roman" w:hAnsi="Times New Roman" w:cs="Times New Roman"/>
          <w:sz w:val="24"/>
          <w:szCs w:val="24"/>
          <w:lang w:val="es-ES_tradnl"/>
        </w:rPr>
      </w:pPr>
    </w:p>
    <w:p w:rsidR="00F12C6E" w:rsidRPr="00F12C6E" w:rsidRDefault="00F12C6E" w:rsidP="00F12C6E">
      <w:pPr>
        <w:pStyle w:val="Prrafodelista"/>
        <w:numPr>
          <w:ilvl w:val="0"/>
          <w:numId w:val="5"/>
        </w:numPr>
        <w:spacing w:after="0" w:line="240" w:lineRule="auto"/>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Paso 2. Establecer escala para cada criterio. </w:t>
      </w:r>
    </w:p>
    <w:p w:rsidR="00F12C6E" w:rsidRPr="00F12C6E" w:rsidRDefault="00F12C6E" w:rsidP="00F12C6E">
      <w:pPr>
        <w:autoSpaceDE w:val="0"/>
        <w:autoSpaceDN w:val="0"/>
        <w:adjustRightInd w:val="0"/>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Se realizó un trabajo en equipo para determinar la escala de evaluación de cada uno de los criterios (Tabla 1). Una vez determinada la cantidad de evaluaciones, se determinaron </w:t>
      </w:r>
      <w:r w:rsidRPr="00F12C6E">
        <w:rPr>
          <w:rFonts w:ascii="Times New Roman" w:hAnsi="Times New Roman" w:cs="Times New Roman"/>
          <w:sz w:val="24"/>
          <w:szCs w:val="24"/>
          <w:lang w:val="es-ES_tradnl"/>
        </w:rPr>
        <w:lastRenderedPageBreak/>
        <w:t>todas las posibles combinaciones para el cálculo del SCPI (5 x 5 x 5 x 4 x 5 = 2.500 SCPIs). Luego, fueron procesados cada uno de estos SCPI, clasificados según la escala de la Tabla 1 y se realizó un análisis discriminante para comprobar los límites de cada grupo de evaluación, que permitió corroborar la correcta clasificación del 83,4% de los datos. Ello permitió crear la escala para evaluar el SCPI (última columna, Tabla 1) según los resultados obtenidos del software.</w:t>
      </w:r>
    </w:p>
    <w:p w:rsidR="00F12C6E" w:rsidRPr="00F12C6E" w:rsidRDefault="00F12C6E" w:rsidP="00F12C6E">
      <w:pPr>
        <w:autoSpaceDE w:val="0"/>
        <w:autoSpaceDN w:val="0"/>
        <w:adjustRightInd w:val="0"/>
        <w:jc w:val="both"/>
        <w:rPr>
          <w:rFonts w:ascii="Times New Roman" w:hAnsi="Times New Roman" w:cs="Times New Roman"/>
          <w:sz w:val="24"/>
          <w:szCs w:val="24"/>
          <w:lang w:val="es-ES_tradnl"/>
        </w:rPr>
      </w:pP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Tabla 1. Evaluación de cada criterio. </w:t>
      </w:r>
    </w:p>
    <w:tbl>
      <w:tblPr>
        <w:tblStyle w:val="Tablaconcuadrcula"/>
        <w:tblW w:w="439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840"/>
        <w:gridCol w:w="969"/>
        <w:gridCol w:w="971"/>
        <w:gridCol w:w="971"/>
        <w:gridCol w:w="844"/>
        <w:gridCol w:w="1101"/>
      </w:tblGrid>
      <w:tr w:rsidR="00F12C6E" w:rsidRPr="00F12C6E" w:rsidTr="00033F0F">
        <w:tc>
          <w:tcPr>
            <w:tcW w:w="950" w:type="pct"/>
            <w:tcBorders>
              <w:bottom w:val="single" w:sz="4" w:space="0" w:color="auto"/>
            </w:tcBorders>
          </w:tcPr>
          <w:p w:rsidR="00F12C6E" w:rsidRPr="00F12C6E" w:rsidRDefault="00F12C6E" w:rsidP="00033F0F">
            <w:pPr>
              <w:jc w:val="both"/>
              <w:rPr>
                <w:sz w:val="24"/>
                <w:szCs w:val="24"/>
                <w:lang w:val="es-ES_tradnl"/>
              </w:rPr>
            </w:pPr>
            <w:r w:rsidRPr="00F12C6E">
              <w:rPr>
                <w:sz w:val="24"/>
                <w:szCs w:val="24"/>
                <w:lang w:val="es-ES_tradnl"/>
              </w:rPr>
              <w:t>Puntos\Criterios</w:t>
            </w:r>
          </w:p>
        </w:tc>
        <w:tc>
          <w:tcPr>
            <w:tcW w:w="602"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P</w:t>
            </w:r>
          </w:p>
        </w:tc>
        <w:tc>
          <w:tcPr>
            <w:tcW w:w="688"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NSC</w:t>
            </w:r>
          </w:p>
        </w:tc>
        <w:tc>
          <w:tcPr>
            <w:tcW w:w="689" w:type="pct"/>
            <w:tcBorders>
              <w:bottom w:val="single" w:sz="4" w:space="0" w:color="auto"/>
            </w:tcBorders>
          </w:tcPr>
          <w:p w:rsidR="00F12C6E" w:rsidRPr="00F12C6E" w:rsidRDefault="00F12C6E" w:rsidP="00033F0F">
            <w:pPr>
              <w:ind w:right="-115" w:hanging="103"/>
              <w:jc w:val="center"/>
              <w:rPr>
                <w:sz w:val="24"/>
                <w:szCs w:val="24"/>
                <w:lang w:val="es-ES_tradnl"/>
              </w:rPr>
            </w:pPr>
            <w:r w:rsidRPr="00F12C6E">
              <w:rPr>
                <w:sz w:val="24"/>
                <w:szCs w:val="24"/>
                <w:lang w:val="es-ES_tradnl"/>
              </w:rPr>
              <w:t>TVA (%)</w:t>
            </w:r>
          </w:p>
        </w:tc>
        <w:tc>
          <w:tcPr>
            <w:tcW w:w="689"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Ec. Ef</w:t>
            </w:r>
          </w:p>
        </w:tc>
        <w:tc>
          <w:tcPr>
            <w:tcW w:w="604"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ROI</w:t>
            </w:r>
          </w:p>
        </w:tc>
        <w:tc>
          <w:tcPr>
            <w:tcW w:w="776"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SCPI</w:t>
            </w:r>
          </w:p>
        </w:tc>
      </w:tr>
      <w:tr w:rsidR="00F12C6E" w:rsidRPr="00F12C6E" w:rsidTr="00033F0F">
        <w:tc>
          <w:tcPr>
            <w:tcW w:w="950" w:type="pct"/>
            <w:tcBorders>
              <w:top w:val="single" w:sz="4" w:space="0" w:color="auto"/>
              <w:bottom w:val="nil"/>
            </w:tcBorders>
          </w:tcPr>
          <w:p w:rsidR="00F12C6E" w:rsidRPr="00F12C6E" w:rsidRDefault="00F12C6E" w:rsidP="00033F0F">
            <w:pPr>
              <w:jc w:val="both"/>
              <w:rPr>
                <w:sz w:val="24"/>
                <w:szCs w:val="24"/>
                <w:lang w:val="es-ES_tradnl"/>
              </w:rPr>
            </w:pPr>
            <w:r w:rsidRPr="00F12C6E">
              <w:rPr>
                <w:sz w:val="24"/>
                <w:szCs w:val="24"/>
                <w:lang w:val="es-ES_tradnl"/>
              </w:rPr>
              <w:t>Excelente (5)</w:t>
            </w:r>
          </w:p>
        </w:tc>
        <w:tc>
          <w:tcPr>
            <w:tcW w:w="602" w:type="pct"/>
            <w:tcBorders>
              <w:top w:val="single" w:sz="4" w:space="0" w:color="auto"/>
              <w:bottom w:val="nil"/>
            </w:tcBorders>
          </w:tcPr>
          <w:p w:rsidR="00F12C6E" w:rsidRPr="00F12C6E" w:rsidRDefault="00F12C6E" w:rsidP="00033F0F">
            <w:pPr>
              <w:jc w:val="center"/>
              <w:rPr>
                <w:sz w:val="24"/>
                <w:szCs w:val="24"/>
                <w:lang w:val="es-ES_tradnl"/>
              </w:rPr>
            </w:pPr>
            <w:r w:rsidRPr="00F12C6E">
              <w:rPr>
                <w:sz w:val="24"/>
                <w:szCs w:val="24"/>
                <w:lang w:val="es-ES_tradnl"/>
              </w:rPr>
              <w:t>0,95-1,00</w:t>
            </w:r>
          </w:p>
        </w:tc>
        <w:tc>
          <w:tcPr>
            <w:tcW w:w="688" w:type="pct"/>
            <w:tcBorders>
              <w:top w:val="single" w:sz="4" w:space="0" w:color="auto"/>
              <w:bottom w:val="nil"/>
            </w:tcBorders>
          </w:tcPr>
          <w:p w:rsidR="00F12C6E" w:rsidRPr="00F12C6E" w:rsidRDefault="00F12C6E" w:rsidP="00033F0F">
            <w:pPr>
              <w:ind w:right="-108" w:hanging="93"/>
              <w:jc w:val="center"/>
              <w:rPr>
                <w:sz w:val="24"/>
                <w:szCs w:val="24"/>
                <w:lang w:val="es-ES_tradnl"/>
              </w:rPr>
            </w:pPr>
            <w:r w:rsidRPr="00F12C6E">
              <w:rPr>
                <w:sz w:val="24"/>
                <w:szCs w:val="24"/>
                <w:lang w:val="es-ES_tradnl"/>
              </w:rPr>
              <w:t>0,97-1,00</w:t>
            </w:r>
          </w:p>
        </w:tc>
        <w:tc>
          <w:tcPr>
            <w:tcW w:w="689" w:type="pct"/>
            <w:tcBorders>
              <w:top w:val="single" w:sz="4" w:space="0" w:color="auto"/>
              <w:bottom w:val="nil"/>
            </w:tcBorders>
          </w:tcPr>
          <w:p w:rsidR="00F12C6E" w:rsidRPr="00F12C6E" w:rsidRDefault="00F12C6E" w:rsidP="00033F0F">
            <w:pPr>
              <w:ind w:right="-108" w:hanging="93"/>
              <w:jc w:val="center"/>
              <w:rPr>
                <w:sz w:val="24"/>
                <w:szCs w:val="24"/>
                <w:lang w:val="es-ES_tradnl"/>
              </w:rPr>
            </w:pPr>
            <w:r w:rsidRPr="00F12C6E">
              <w:rPr>
                <w:sz w:val="24"/>
                <w:szCs w:val="24"/>
                <w:lang w:val="es-ES_tradnl"/>
              </w:rPr>
              <w:t>99,90-100</w:t>
            </w:r>
          </w:p>
        </w:tc>
        <w:tc>
          <w:tcPr>
            <w:tcW w:w="689" w:type="pct"/>
            <w:tcBorders>
              <w:top w:val="single" w:sz="4" w:space="0" w:color="auto"/>
              <w:bottom w:val="nil"/>
            </w:tcBorders>
          </w:tcPr>
          <w:p w:rsidR="00F12C6E" w:rsidRPr="00F12C6E" w:rsidRDefault="00F12C6E" w:rsidP="00033F0F">
            <w:pPr>
              <w:jc w:val="center"/>
              <w:rPr>
                <w:sz w:val="24"/>
                <w:szCs w:val="24"/>
                <w:lang w:val="es-ES_tradnl"/>
              </w:rPr>
            </w:pPr>
          </w:p>
        </w:tc>
        <w:tc>
          <w:tcPr>
            <w:tcW w:w="604" w:type="pct"/>
            <w:tcBorders>
              <w:top w:val="single" w:sz="4" w:space="0" w:color="auto"/>
              <w:bottom w:val="nil"/>
            </w:tcBorders>
          </w:tcPr>
          <w:p w:rsidR="00F12C6E" w:rsidRPr="00F12C6E" w:rsidRDefault="00F12C6E" w:rsidP="00033F0F">
            <w:pPr>
              <w:jc w:val="center"/>
              <w:rPr>
                <w:sz w:val="24"/>
                <w:szCs w:val="24"/>
                <w:lang w:val="es-ES_tradnl"/>
              </w:rPr>
            </w:pPr>
            <w:r w:rsidRPr="00F12C6E">
              <w:rPr>
                <w:sz w:val="24"/>
                <w:szCs w:val="24"/>
                <w:lang w:val="es-ES_tradnl"/>
              </w:rPr>
              <w:t>0,13-0,15</w:t>
            </w:r>
          </w:p>
        </w:tc>
        <w:tc>
          <w:tcPr>
            <w:tcW w:w="776" w:type="pct"/>
            <w:tcBorders>
              <w:top w:val="single" w:sz="4" w:space="0" w:color="auto"/>
              <w:bottom w:val="nil"/>
            </w:tcBorders>
          </w:tcPr>
          <w:p w:rsidR="00F12C6E" w:rsidRPr="00F12C6E" w:rsidRDefault="00F12C6E" w:rsidP="00033F0F">
            <w:pPr>
              <w:jc w:val="center"/>
              <w:rPr>
                <w:sz w:val="24"/>
                <w:szCs w:val="24"/>
                <w:lang w:val="es-ES_tradnl"/>
              </w:rPr>
            </w:pPr>
            <w:r w:rsidRPr="00F12C6E">
              <w:rPr>
                <w:sz w:val="24"/>
                <w:szCs w:val="24"/>
                <w:lang w:val="es-ES_tradnl"/>
              </w:rPr>
              <w:t>0,95-1,00</w:t>
            </w:r>
          </w:p>
        </w:tc>
      </w:tr>
      <w:tr w:rsidR="00F12C6E" w:rsidRPr="00F12C6E" w:rsidTr="00033F0F">
        <w:tc>
          <w:tcPr>
            <w:tcW w:w="950" w:type="pct"/>
            <w:tcBorders>
              <w:top w:val="nil"/>
            </w:tcBorders>
          </w:tcPr>
          <w:p w:rsidR="00F12C6E" w:rsidRPr="00F12C6E" w:rsidRDefault="00F12C6E" w:rsidP="00033F0F">
            <w:pPr>
              <w:jc w:val="both"/>
              <w:rPr>
                <w:sz w:val="24"/>
                <w:szCs w:val="24"/>
                <w:lang w:val="es-ES_tradnl"/>
              </w:rPr>
            </w:pPr>
            <w:r w:rsidRPr="00F12C6E">
              <w:rPr>
                <w:sz w:val="24"/>
                <w:szCs w:val="24"/>
                <w:lang w:val="es-ES_tradnl"/>
              </w:rPr>
              <w:t>Muy Buena (4)</w:t>
            </w:r>
          </w:p>
        </w:tc>
        <w:tc>
          <w:tcPr>
            <w:tcW w:w="602" w:type="pct"/>
            <w:tcBorders>
              <w:top w:val="nil"/>
            </w:tcBorders>
          </w:tcPr>
          <w:p w:rsidR="00F12C6E" w:rsidRPr="00F12C6E" w:rsidRDefault="00F12C6E" w:rsidP="00033F0F">
            <w:pPr>
              <w:jc w:val="center"/>
              <w:rPr>
                <w:sz w:val="24"/>
                <w:szCs w:val="24"/>
                <w:lang w:val="es-ES_tradnl"/>
              </w:rPr>
            </w:pPr>
            <w:r w:rsidRPr="00F12C6E">
              <w:rPr>
                <w:sz w:val="24"/>
                <w:szCs w:val="24"/>
                <w:lang w:val="es-ES_tradnl"/>
              </w:rPr>
              <w:t>0,80-0,94</w:t>
            </w:r>
          </w:p>
        </w:tc>
        <w:tc>
          <w:tcPr>
            <w:tcW w:w="688" w:type="pct"/>
            <w:tcBorders>
              <w:top w:val="nil"/>
            </w:tcBorders>
          </w:tcPr>
          <w:p w:rsidR="00F12C6E" w:rsidRPr="00F12C6E" w:rsidRDefault="00F12C6E" w:rsidP="00033F0F">
            <w:pPr>
              <w:ind w:right="-108" w:hanging="93"/>
              <w:jc w:val="center"/>
              <w:rPr>
                <w:sz w:val="24"/>
                <w:szCs w:val="24"/>
                <w:lang w:val="es-ES_tradnl"/>
              </w:rPr>
            </w:pPr>
            <w:r w:rsidRPr="00F12C6E">
              <w:rPr>
                <w:sz w:val="24"/>
                <w:szCs w:val="24"/>
                <w:lang w:val="es-ES_tradnl"/>
              </w:rPr>
              <w:t>0,9-0,96</w:t>
            </w:r>
          </w:p>
        </w:tc>
        <w:tc>
          <w:tcPr>
            <w:tcW w:w="689" w:type="pct"/>
            <w:tcBorders>
              <w:top w:val="nil"/>
            </w:tcBorders>
          </w:tcPr>
          <w:p w:rsidR="00F12C6E" w:rsidRPr="00F12C6E" w:rsidRDefault="00F12C6E" w:rsidP="00033F0F">
            <w:pPr>
              <w:ind w:right="-108" w:hanging="93"/>
              <w:jc w:val="center"/>
              <w:rPr>
                <w:sz w:val="24"/>
                <w:szCs w:val="24"/>
                <w:lang w:val="es-ES_tradnl"/>
              </w:rPr>
            </w:pPr>
            <w:r w:rsidRPr="00F12C6E">
              <w:rPr>
                <w:sz w:val="24"/>
                <w:szCs w:val="24"/>
                <w:lang w:val="es-ES_tradnl"/>
              </w:rPr>
              <w:t>99,00-99,89</w:t>
            </w:r>
          </w:p>
        </w:tc>
        <w:tc>
          <w:tcPr>
            <w:tcW w:w="689" w:type="pct"/>
            <w:tcBorders>
              <w:top w:val="nil"/>
            </w:tcBorders>
          </w:tcPr>
          <w:p w:rsidR="00F12C6E" w:rsidRPr="00F12C6E" w:rsidRDefault="00F12C6E" w:rsidP="00033F0F">
            <w:pPr>
              <w:jc w:val="center"/>
              <w:rPr>
                <w:sz w:val="24"/>
                <w:szCs w:val="24"/>
                <w:lang w:val="es-ES_tradnl"/>
              </w:rPr>
            </w:pPr>
            <w:r w:rsidRPr="00F12C6E">
              <w:rPr>
                <w:sz w:val="24"/>
                <w:szCs w:val="24"/>
                <w:lang w:val="es-ES_tradnl"/>
              </w:rPr>
              <w:t>0,95-1,00</w:t>
            </w:r>
          </w:p>
        </w:tc>
        <w:tc>
          <w:tcPr>
            <w:tcW w:w="604" w:type="pct"/>
            <w:tcBorders>
              <w:top w:val="nil"/>
            </w:tcBorders>
          </w:tcPr>
          <w:p w:rsidR="00F12C6E" w:rsidRPr="00F12C6E" w:rsidRDefault="00F12C6E" w:rsidP="00033F0F">
            <w:pPr>
              <w:jc w:val="center"/>
              <w:rPr>
                <w:color w:val="000000"/>
                <w:sz w:val="24"/>
                <w:szCs w:val="24"/>
                <w:lang w:val="es-ES_tradnl"/>
              </w:rPr>
            </w:pPr>
            <w:r w:rsidRPr="00F12C6E">
              <w:rPr>
                <w:sz w:val="24"/>
                <w:szCs w:val="24"/>
                <w:lang w:val="es-ES_tradnl"/>
              </w:rPr>
              <w:t>0,11-0,12</w:t>
            </w:r>
          </w:p>
        </w:tc>
        <w:tc>
          <w:tcPr>
            <w:tcW w:w="776" w:type="pct"/>
            <w:tcBorders>
              <w:top w:val="nil"/>
            </w:tcBorders>
          </w:tcPr>
          <w:p w:rsidR="00F12C6E" w:rsidRPr="00F12C6E" w:rsidRDefault="00F12C6E" w:rsidP="00033F0F">
            <w:pPr>
              <w:jc w:val="center"/>
              <w:rPr>
                <w:sz w:val="24"/>
                <w:szCs w:val="24"/>
                <w:lang w:val="es-ES_tradnl"/>
              </w:rPr>
            </w:pPr>
            <w:r w:rsidRPr="00F12C6E">
              <w:rPr>
                <w:color w:val="000000"/>
                <w:sz w:val="24"/>
                <w:szCs w:val="24"/>
                <w:lang w:val="es-ES_tradnl"/>
              </w:rPr>
              <w:t>0,88-0,94</w:t>
            </w:r>
          </w:p>
        </w:tc>
      </w:tr>
      <w:tr w:rsidR="00F12C6E" w:rsidRPr="00F12C6E" w:rsidTr="00033F0F">
        <w:tc>
          <w:tcPr>
            <w:tcW w:w="950" w:type="pct"/>
          </w:tcPr>
          <w:p w:rsidR="00F12C6E" w:rsidRPr="00F12C6E" w:rsidRDefault="00F12C6E" w:rsidP="00033F0F">
            <w:pPr>
              <w:jc w:val="both"/>
              <w:rPr>
                <w:sz w:val="24"/>
                <w:szCs w:val="24"/>
                <w:lang w:val="es-ES_tradnl"/>
              </w:rPr>
            </w:pPr>
            <w:r w:rsidRPr="00F12C6E">
              <w:rPr>
                <w:sz w:val="24"/>
                <w:szCs w:val="24"/>
                <w:lang w:val="es-ES_tradnl"/>
              </w:rPr>
              <w:t>Buena (3)</w:t>
            </w:r>
          </w:p>
        </w:tc>
        <w:tc>
          <w:tcPr>
            <w:tcW w:w="602" w:type="pct"/>
          </w:tcPr>
          <w:p w:rsidR="00F12C6E" w:rsidRPr="00F12C6E" w:rsidRDefault="00F12C6E" w:rsidP="00033F0F">
            <w:pPr>
              <w:jc w:val="center"/>
              <w:rPr>
                <w:sz w:val="24"/>
                <w:szCs w:val="24"/>
                <w:lang w:val="es-ES_tradnl"/>
              </w:rPr>
            </w:pPr>
            <w:r w:rsidRPr="00F12C6E">
              <w:rPr>
                <w:sz w:val="24"/>
                <w:szCs w:val="24"/>
                <w:lang w:val="es-ES_tradnl"/>
              </w:rPr>
              <w:t>0,70-0,79</w:t>
            </w:r>
          </w:p>
        </w:tc>
        <w:tc>
          <w:tcPr>
            <w:tcW w:w="688" w:type="pct"/>
          </w:tcPr>
          <w:p w:rsidR="00F12C6E" w:rsidRPr="00F12C6E" w:rsidRDefault="00F12C6E" w:rsidP="00033F0F">
            <w:pPr>
              <w:ind w:right="-108" w:hanging="93"/>
              <w:jc w:val="center"/>
              <w:rPr>
                <w:sz w:val="24"/>
                <w:szCs w:val="24"/>
                <w:lang w:val="es-ES_tradnl"/>
              </w:rPr>
            </w:pPr>
            <w:r w:rsidRPr="00F12C6E">
              <w:rPr>
                <w:sz w:val="24"/>
                <w:szCs w:val="24"/>
                <w:lang w:val="es-ES_tradnl"/>
              </w:rPr>
              <w:t>0,8-0,89</w:t>
            </w:r>
          </w:p>
        </w:tc>
        <w:tc>
          <w:tcPr>
            <w:tcW w:w="689" w:type="pct"/>
          </w:tcPr>
          <w:p w:rsidR="00F12C6E" w:rsidRPr="00F12C6E" w:rsidRDefault="00F12C6E" w:rsidP="00033F0F">
            <w:pPr>
              <w:ind w:right="-108" w:hanging="93"/>
              <w:jc w:val="center"/>
              <w:rPr>
                <w:sz w:val="24"/>
                <w:szCs w:val="24"/>
                <w:lang w:val="es-ES_tradnl"/>
              </w:rPr>
            </w:pPr>
            <w:r w:rsidRPr="00F12C6E">
              <w:rPr>
                <w:sz w:val="24"/>
                <w:szCs w:val="24"/>
                <w:lang w:val="es-ES_tradnl"/>
              </w:rPr>
              <w:t>98,50-98,99</w:t>
            </w:r>
          </w:p>
        </w:tc>
        <w:tc>
          <w:tcPr>
            <w:tcW w:w="689" w:type="pct"/>
          </w:tcPr>
          <w:p w:rsidR="00F12C6E" w:rsidRPr="00F12C6E" w:rsidRDefault="00F12C6E" w:rsidP="00033F0F">
            <w:pPr>
              <w:jc w:val="center"/>
              <w:rPr>
                <w:sz w:val="24"/>
                <w:szCs w:val="24"/>
                <w:lang w:val="es-ES_tradnl"/>
              </w:rPr>
            </w:pPr>
            <w:r w:rsidRPr="00F12C6E">
              <w:rPr>
                <w:sz w:val="24"/>
                <w:szCs w:val="24"/>
                <w:lang w:val="es-ES_tradnl"/>
              </w:rPr>
              <w:t>0,85-0,94</w:t>
            </w:r>
          </w:p>
        </w:tc>
        <w:tc>
          <w:tcPr>
            <w:tcW w:w="604" w:type="pct"/>
          </w:tcPr>
          <w:p w:rsidR="00F12C6E" w:rsidRPr="00F12C6E" w:rsidRDefault="00F12C6E" w:rsidP="00033F0F">
            <w:pPr>
              <w:jc w:val="center"/>
              <w:rPr>
                <w:color w:val="000000"/>
                <w:sz w:val="24"/>
                <w:szCs w:val="24"/>
                <w:lang w:val="es-ES_tradnl"/>
              </w:rPr>
            </w:pPr>
            <w:r w:rsidRPr="00F12C6E">
              <w:rPr>
                <w:sz w:val="24"/>
                <w:szCs w:val="24"/>
                <w:lang w:val="es-ES_tradnl"/>
              </w:rPr>
              <w:t>0,07-0,10</w:t>
            </w:r>
          </w:p>
        </w:tc>
        <w:tc>
          <w:tcPr>
            <w:tcW w:w="776" w:type="pct"/>
          </w:tcPr>
          <w:p w:rsidR="00F12C6E" w:rsidRPr="00F12C6E" w:rsidRDefault="00F12C6E" w:rsidP="00033F0F">
            <w:pPr>
              <w:jc w:val="center"/>
              <w:rPr>
                <w:sz w:val="24"/>
                <w:szCs w:val="24"/>
                <w:lang w:val="es-ES_tradnl"/>
              </w:rPr>
            </w:pPr>
            <w:r w:rsidRPr="00F12C6E">
              <w:rPr>
                <w:color w:val="000000"/>
                <w:sz w:val="24"/>
                <w:szCs w:val="24"/>
                <w:lang w:val="es-ES_tradnl"/>
              </w:rPr>
              <w:t>0,69-0,87</w:t>
            </w:r>
          </w:p>
        </w:tc>
      </w:tr>
      <w:tr w:rsidR="00F12C6E" w:rsidRPr="00F12C6E" w:rsidTr="00033F0F">
        <w:tc>
          <w:tcPr>
            <w:tcW w:w="950" w:type="pct"/>
          </w:tcPr>
          <w:p w:rsidR="00F12C6E" w:rsidRPr="00F12C6E" w:rsidRDefault="00F12C6E" w:rsidP="00033F0F">
            <w:pPr>
              <w:jc w:val="both"/>
              <w:rPr>
                <w:sz w:val="24"/>
                <w:szCs w:val="24"/>
                <w:lang w:val="es-ES_tradnl"/>
              </w:rPr>
            </w:pPr>
            <w:r w:rsidRPr="00F12C6E">
              <w:rPr>
                <w:sz w:val="24"/>
                <w:szCs w:val="24"/>
                <w:lang w:val="es-ES_tradnl"/>
              </w:rPr>
              <w:t>Regular (2)</w:t>
            </w:r>
          </w:p>
        </w:tc>
        <w:tc>
          <w:tcPr>
            <w:tcW w:w="602" w:type="pct"/>
          </w:tcPr>
          <w:p w:rsidR="00F12C6E" w:rsidRPr="00F12C6E" w:rsidRDefault="00F12C6E" w:rsidP="00033F0F">
            <w:pPr>
              <w:jc w:val="center"/>
              <w:rPr>
                <w:sz w:val="24"/>
                <w:szCs w:val="24"/>
                <w:lang w:val="es-ES_tradnl"/>
              </w:rPr>
            </w:pPr>
            <w:r w:rsidRPr="00F12C6E">
              <w:rPr>
                <w:sz w:val="24"/>
                <w:szCs w:val="24"/>
                <w:lang w:val="es-ES_tradnl"/>
              </w:rPr>
              <w:t>0,60-0,69</w:t>
            </w:r>
          </w:p>
        </w:tc>
        <w:tc>
          <w:tcPr>
            <w:tcW w:w="688" w:type="pct"/>
          </w:tcPr>
          <w:p w:rsidR="00F12C6E" w:rsidRPr="00F12C6E" w:rsidRDefault="00F12C6E" w:rsidP="00033F0F">
            <w:pPr>
              <w:ind w:right="-108" w:hanging="93"/>
              <w:jc w:val="center"/>
              <w:rPr>
                <w:sz w:val="24"/>
                <w:szCs w:val="24"/>
                <w:lang w:val="es-ES_tradnl"/>
              </w:rPr>
            </w:pPr>
            <w:r w:rsidRPr="00F12C6E">
              <w:rPr>
                <w:sz w:val="24"/>
                <w:szCs w:val="24"/>
                <w:lang w:val="es-ES_tradnl"/>
              </w:rPr>
              <w:t>0,7-0,79</w:t>
            </w:r>
          </w:p>
        </w:tc>
        <w:tc>
          <w:tcPr>
            <w:tcW w:w="689" w:type="pct"/>
          </w:tcPr>
          <w:p w:rsidR="00F12C6E" w:rsidRPr="00F12C6E" w:rsidRDefault="00F12C6E" w:rsidP="00033F0F">
            <w:pPr>
              <w:ind w:right="-108" w:hanging="93"/>
              <w:jc w:val="center"/>
              <w:rPr>
                <w:sz w:val="24"/>
                <w:szCs w:val="24"/>
                <w:lang w:val="es-ES_tradnl"/>
              </w:rPr>
            </w:pPr>
            <w:r w:rsidRPr="00F12C6E">
              <w:rPr>
                <w:sz w:val="24"/>
                <w:szCs w:val="24"/>
                <w:lang w:val="es-ES_tradnl"/>
              </w:rPr>
              <w:t>98,00-98,49</w:t>
            </w:r>
          </w:p>
        </w:tc>
        <w:tc>
          <w:tcPr>
            <w:tcW w:w="689" w:type="pct"/>
          </w:tcPr>
          <w:p w:rsidR="00F12C6E" w:rsidRPr="00F12C6E" w:rsidRDefault="00F12C6E" w:rsidP="00033F0F">
            <w:pPr>
              <w:jc w:val="center"/>
              <w:rPr>
                <w:sz w:val="24"/>
                <w:szCs w:val="24"/>
                <w:lang w:val="es-ES_tradnl"/>
              </w:rPr>
            </w:pPr>
            <w:r w:rsidRPr="00F12C6E">
              <w:rPr>
                <w:sz w:val="24"/>
                <w:szCs w:val="24"/>
                <w:lang w:val="es-ES_tradnl"/>
              </w:rPr>
              <w:t>0,75-0,84</w:t>
            </w:r>
          </w:p>
        </w:tc>
        <w:tc>
          <w:tcPr>
            <w:tcW w:w="604" w:type="pct"/>
          </w:tcPr>
          <w:p w:rsidR="00F12C6E" w:rsidRPr="00F12C6E" w:rsidRDefault="00F12C6E" w:rsidP="00033F0F">
            <w:pPr>
              <w:jc w:val="center"/>
              <w:rPr>
                <w:color w:val="000000"/>
                <w:sz w:val="24"/>
                <w:szCs w:val="24"/>
                <w:lang w:val="es-ES_tradnl"/>
              </w:rPr>
            </w:pPr>
            <w:r w:rsidRPr="00F12C6E">
              <w:rPr>
                <w:sz w:val="24"/>
                <w:szCs w:val="24"/>
                <w:lang w:val="es-ES_tradnl"/>
              </w:rPr>
              <w:t>0,03-0,06</w:t>
            </w:r>
          </w:p>
        </w:tc>
        <w:tc>
          <w:tcPr>
            <w:tcW w:w="776" w:type="pct"/>
          </w:tcPr>
          <w:p w:rsidR="00F12C6E" w:rsidRPr="00F12C6E" w:rsidRDefault="00F12C6E" w:rsidP="00033F0F">
            <w:pPr>
              <w:jc w:val="center"/>
              <w:rPr>
                <w:sz w:val="24"/>
                <w:szCs w:val="24"/>
                <w:lang w:val="es-ES_tradnl"/>
              </w:rPr>
            </w:pPr>
            <w:r w:rsidRPr="00F12C6E">
              <w:rPr>
                <w:color w:val="000000"/>
                <w:sz w:val="24"/>
                <w:szCs w:val="24"/>
                <w:lang w:val="es-ES_tradnl"/>
              </w:rPr>
              <w:t>0,55-0,68</w:t>
            </w:r>
          </w:p>
        </w:tc>
      </w:tr>
      <w:tr w:rsidR="00F12C6E" w:rsidRPr="00F12C6E" w:rsidTr="00033F0F">
        <w:tc>
          <w:tcPr>
            <w:tcW w:w="950" w:type="pct"/>
          </w:tcPr>
          <w:p w:rsidR="00F12C6E" w:rsidRPr="00F12C6E" w:rsidRDefault="00F12C6E" w:rsidP="00033F0F">
            <w:pPr>
              <w:jc w:val="both"/>
              <w:rPr>
                <w:sz w:val="24"/>
                <w:szCs w:val="24"/>
                <w:lang w:val="es-ES_tradnl"/>
              </w:rPr>
            </w:pPr>
            <w:r w:rsidRPr="00F12C6E">
              <w:rPr>
                <w:sz w:val="24"/>
                <w:szCs w:val="24"/>
                <w:lang w:val="es-ES_tradnl"/>
              </w:rPr>
              <w:t>Mala (1)</w:t>
            </w:r>
          </w:p>
        </w:tc>
        <w:tc>
          <w:tcPr>
            <w:tcW w:w="602" w:type="pct"/>
          </w:tcPr>
          <w:p w:rsidR="00F12C6E" w:rsidRPr="00F12C6E" w:rsidRDefault="00F12C6E" w:rsidP="00033F0F">
            <w:pPr>
              <w:jc w:val="center"/>
              <w:rPr>
                <w:sz w:val="24"/>
                <w:szCs w:val="24"/>
                <w:lang w:val="es-ES_tradnl"/>
              </w:rPr>
            </w:pPr>
            <w:r w:rsidRPr="00F12C6E">
              <w:rPr>
                <w:sz w:val="24"/>
                <w:szCs w:val="24"/>
                <w:lang w:val="es-ES_tradnl"/>
              </w:rPr>
              <w:t>0-0,59</w:t>
            </w:r>
          </w:p>
        </w:tc>
        <w:tc>
          <w:tcPr>
            <w:tcW w:w="688" w:type="pct"/>
          </w:tcPr>
          <w:p w:rsidR="00F12C6E" w:rsidRPr="00F12C6E" w:rsidRDefault="00F12C6E" w:rsidP="00033F0F">
            <w:pPr>
              <w:ind w:right="-108" w:hanging="93"/>
              <w:jc w:val="center"/>
              <w:rPr>
                <w:sz w:val="24"/>
                <w:szCs w:val="24"/>
                <w:lang w:val="es-ES_tradnl"/>
              </w:rPr>
            </w:pPr>
            <w:r w:rsidRPr="00F12C6E">
              <w:rPr>
                <w:sz w:val="24"/>
                <w:szCs w:val="24"/>
                <w:lang w:val="es-ES_tradnl"/>
              </w:rPr>
              <w:t>0-0,69</w:t>
            </w:r>
          </w:p>
        </w:tc>
        <w:tc>
          <w:tcPr>
            <w:tcW w:w="689" w:type="pct"/>
          </w:tcPr>
          <w:p w:rsidR="00F12C6E" w:rsidRPr="00F12C6E" w:rsidRDefault="00F12C6E" w:rsidP="00033F0F">
            <w:pPr>
              <w:ind w:right="-108" w:hanging="93"/>
              <w:jc w:val="center"/>
              <w:rPr>
                <w:sz w:val="24"/>
                <w:szCs w:val="24"/>
                <w:lang w:val="es-ES_tradnl"/>
              </w:rPr>
            </w:pPr>
            <w:r w:rsidRPr="00F12C6E">
              <w:rPr>
                <w:sz w:val="24"/>
                <w:szCs w:val="24"/>
                <w:lang w:val="es-ES_tradnl"/>
              </w:rPr>
              <w:t>0-97,00</w:t>
            </w:r>
          </w:p>
        </w:tc>
        <w:tc>
          <w:tcPr>
            <w:tcW w:w="689" w:type="pct"/>
          </w:tcPr>
          <w:p w:rsidR="00F12C6E" w:rsidRPr="00F12C6E" w:rsidRDefault="00F12C6E" w:rsidP="00033F0F">
            <w:pPr>
              <w:jc w:val="center"/>
              <w:rPr>
                <w:sz w:val="24"/>
                <w:szCs w:val="24"/>
                <w:lang w:val="es-ES_tradnl"/>
              </w:rPr>
            </w:pPr>
            <w:r w:rsidRPr="00F12C6E">
              <w:rPr>
                <w:sz w:val="24"/>
                <w:szCs w:val="24"/>
                <w:lang w:val="es-ES_tradnl"/>
              </w:rPr>
              <w:t>0-0,74</w:t>
            </w:r>
          </w:p>
        </w:tc>
        <w:tc>
          <w:tcPr>
            <w:tcW w:w="604" w:type="pct"/>
          </w:tcPr>
          <w:p w:rsidR="00F12C6E" w:rsidRPr="00F12C6E" w:rsidRDefault="00F12C6E" w:rsidP="00033F0F">
            <w:pPr>
              <w:jc w:val="center"/>
              <w:rPr>
                <w:color w:val="000000"/>
                <w:sz w:val="24"/>
                <w:szCs w:val="24"/>
                <w:lang w:val="es-ES_tradnl"/>
              </w:rPr>
            </w:pPr>
            <w:r w:rsidRPr="00F12C6E">
              <w:rPr>
                <w:sz w:val="24"/>
                <w:szCs w:val="24"/>
                <w:lang w:val="es-ES_tradnl"/>
              </w:rPr>
              <w:t>0-0,02</w:t>
            </w:r>
          </w:p>
        </w:tc>
        <w:tc>
          <w:tcPr>
            <w:tcW w:w="776" w:type="pct"/>
          </w:tcPr>
          <w:p w:rsidR="00F12C6E" w:rsidRPr="00F12C6E" w:rsidRDefault="00F12C6E" w:rsidP="00033F0F">
            <w:pPr>
              <w:jc w:val="center"/>
              <w:rPr>
                <w:sz w:val="24"/>
                <w:szCs w:val="24"/>
                <w:lang w:val="es-ES_tradnl"/>
              </w:rPr>
            </w:pPr>
            <w:r w:rsidRPr="00F12C6E">
              <w:rPr>
                <w:color w:val="000000"/>
                <w:sz w:val="24"/>
                <w:szCs w:val="24"/>
                <w:lang w:val="es-ES_tradnl"/>
              </w:rPr>
              <w:t>0-0,54</w:t>
            </w:r>
          </w:p>
        </w:tc>
      </w:tr>
    </w:tbl>
    <w:p w:rsidR="00F12C6E" w:rsidRPr="00F12C6E" w:rsidRDefault="00F12C6E" w:rsidP="00F12C6E">
      <w:pPr>
        <w:autoSpaceDE w:val="0"/>
        <w:autoSpaceDN w:val="0"/>
        <w:adjustRightInd w:val="0"/>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Nota: P: Productividad; NSC: Nivel de servicio al cliente; TVA: Tasa de valor agregado; ROI: Rentabilidad; Ec.EF: Eco-eficiencia </w:t>
      </w:r>
    </w:p>
    <w:p w:rsidR="00F12C6E" w:rsidRPr="00F12C6E" w:rsidRDefault="00F12C6E" w:rsidP="00F12C6E">
      <w:pPr>
        <w:autoSpaceDE w:val="0"/>
        <w:autoSpaceDN w:val="0"/>
        <w:adjustRightInd w:val="0"/>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Fuente: elaboración propia.</w:t>
      </w:r>
    </w:p>
    <w:p w:rsidR="00F12C6E" w:rsidRPr="00F12C6E" w:rsidRDefault="00F12C6E" w:rsidP="00F12C6E">
      <w:pPr>
        <w:autoSpaceDE w:val="0"/>
        <w:autoSpaceDN w:val="0"/>
        <w:adjustRightInd w:val="0"/>
        <w:jc w:val="both"/>
        <w:rPr>
          <w:rFonts w:ascii="Times New Roman" w:hAnsi="Times New Roman" w:cs="Times New Roman"/>
          <w:sz w:val="24"/>
          <w:szCs w:val="24"/>
          <w:lang w:val="es-ES_tradnl"/>
        </w:rPr>
      </w:pPr>
    </w:p>
    <w:p w:rsidR="00F12C6E" w:rsidRPr="00F12C6E" w:rsidRDefault="00F12C6E" w:rsidP="00F12C6E">
      <w:pPr>
        <w:pStyle w:val="Prrafodelista"/>
        <w:numPr>
          <w:ilvl w:val="0"/>
          <w:numId w:val="5"/>
        </w:numPr>
        <w:spacing w:after="0" w:line="240" w:lineRule="auto"/>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Paso 3. Calcular valor de cada criterio. </w:t>
      </w:r>
    </w:p>
    <w:p w:rsidR="00F12C6E" w:rsidRPr="00F12C6E" w:rsidRDefault="00F12C6E" w:rsidP="00F12C6E">
      <w:pPr>
        <w:pStyle w:val="Descripcin"/>
        <w:spacing w:after="0" w:line="276" w:lineRule="auto"/>
        <w:jc w:val="both"/>
        <w:rPr>
          <w:rFonts w:ascii="Times New Roman" w:hAnsi="Times New Roman"/>
          <w:b w:val="0"/>
          <w:smallCaps w:val="0"/>
          <w:color w:val="auto"/>
          <w:sz w:val="24"/>
          <w:szCs w:val="24"/>
        </w:rPr>
      </w:pPr>
      <w:r w:rsidRPr="00F12C6E">
        <w:rPr>
          <w:rFonts w:ascii="Times New Roman" w:hAnsi="Times New Roman"/>
          <w:b w:val="0"/>
          <w:smallCaps w:val="0"/>
          <w:color w:val="auto"/>
          <w:sz w:val="24"/>
          <w:szCs w:val="24"/>
        </w:rPr>
        <w:t>Como parte de este paso del procedimiento, se calcularon los valores de cada uno de los criterios para los CEE de 127v y 220v.</w:t>
      </w:r>
    </w:p>
    <w:p w:rsidR="00F12C6E" w:rsidRPr="00F12C6E" w:rsidRDefault="00F12C6E" w:rsidP="00F12C6E">
      <w:pPr>
        <w:pStyle w:val="Prrafodelista"/>
        <w:numPr>
          <w:ilvl w:val="0"/>
          <w:numId w:val="8"/>
        </w:numPr>
        <w:tabs>
          <w:tab w:val="left" w:pos="270"/>
        </w:tabs>
        <w:ind w:left="0" w:firstLine="0"/>
        <w:jc w:val="both"/>
        <w:rPr>
          <w:rFonts w:ascii="Times New Roman" w:eastAsia="Times New Roman" w:hAnsi="Times New Roman" w:cs="Times New Roman"/>
          <w:iCs/>
          <w:sz w:val="24"/>
          <w:szCs w:val="24"/>
          <w:lang w:val="es-ES_tradnl" w:eastAsia="es-ES"/>
        </w:rPr>
      </w:pPr>
      <w:r w:rsidRPr="00F12C6E">
        <w:rPr>
          <w:rFonts w:ascii="Times New Roman" w:eastAsia="Times New Roman" w:hAnsi="Times New Roman" w:cs="Times New Roman"/>
          <w:iCs/>
          <w:sz w:val="24"/>
          <w:szCs w:val="24"/>
          <w:lang w:val="es-ES_tradnl" w:eastAsia="es-ES"/>
        </w:rPr>
        <w:t xml:space="preserve">En el caso del NSC se tomó el 100% de los clientes encuestados. Una vez procesados los valores se obtuvo una evaluación para este indicador de 0,93, el cual es evaluado de Muy bueno según su escala (Tabla 2). </w:t>
      </w:r>
    </w:p>
    <w:p w:rsidR="00F12C6E" w:rsidRPr="00F12C6E" w:rsidRDefault="00F12C6E" w:rsidP="00F12C6E">
      <w:pPr>
        <w:pStyle w:val="Prrafodelista"/>
        <w:numPr>
          <w:ilvl w:val="0"/>
          <w:numId w:val="8"/>
        </w:numPr>
        <w:tabs>
          <w:tab w:val="left" w:pos="270"/>
        </w:tabs>
        <w:spacing w:after="0" w:line="240" w:lineRule="auto"/>
        <w:ind w:left="0" w:firstLine="0"/>
        <w:jc w:val="both"/>
        <w:rPr>
          <w:rFonts w:ascii="Times New Roman" w:eastAsia="Times New Roman" w:hAnsi="Times New Roman" w:cs="Times New Roman"/>
          <w:iCs/>
          <w:sz w:val="24"/>
          <w:szCs w:val="24"/>
          <w:lang w:val="es-ES_tradnl" w:eastAsia="es-ES"/>
        </w:rPr>
      </w:pPr>
      <w:r w:rsidRPr="00F12C6E">
        <w:rPr>
          <w:rFonts w:ascii="Times New Roman" w:eastAsia="Times New Roman" w:hAnsi="Times New Roman" w:cs="Times New Roman"/>
          <w:iCs/>
          <w:sz w:val="24"/>
          <w:szCs w:val="24"/>
          <w:lang w:val="es-ES_tradnl" w:eastAsia="es-ES"/>
        </w:rPr>
        <w:t xml:space="preserve">Para el cálculo de la TVA se partió de la determinación del VAij a través de las expresiones (5) y (6) obteniéndose los resultados de la Tabla 2, donde la ganancia de los CEE de 127v y de 220v es de 0,26 y 0,44 pesos por unidad, respectivamente. </w:t>
      </w:r>
    </w:p>
    <w:p w:rsidR="00F12C6E" w:rsidRPr="00F12C6E" w:rsidRDefault="00F12C6E" w:rsidP="00F12C6E">
      <w:pPr>
        <w:pStyle w:val="Prrafodelista"/>
        <w:tabs>
          <w:tab w:val="left" w:pos="270"/>
        </w:tabs>
        <w:spacing w:after="0" w:line="240" w:lineRule="auto"/>
        <w:ind w:left="0"/>
        <w:jc w:val="both"/>
        <w:rPr>
          <w:rFonts w:ascii="Times New Roman" w:eastAsia="Times New Roman" w:hAnsi="Times New Roman" w:cs="Times New Roman"/>
          <w:iCs/>
          <w:sz w:val="24"/>
          <w:szCs w:val="24"/>
          <w:lang w:val="es-ES_tradnl" w:eastAsia="es-ES"/>
        </w:rPr>
      </w:pPr>
    </w:p>
    <w:p w:rsidR="00F12C6E" w:rsidRPr="00F12C6E" w:rsidRDefault="00F12C6E" w:rsidP="00F12C6E">
      <w:pPr>
        <w:jc w:val="both"/>
        <w:rPr>
          <w:rFonts w:ascii="Times New Roman" w:hAnsi="Times New Roman" w:cs="Times New Roman"/>
          <w:iCs/>
          <w:sz w:val="24"/>
          <w:szCs w:val="24"/>
          <w:lang w:val="es-ES_tradnl"/>
        </w:rPr>
      </w:pPr>
      <w:r w:rsidRPr="00F12C6E">
        <w:rPr>
          <w:rFonts w:ascii="Times New Roman" w:hAnsi="Times New Roman" w:cs="Times New Roman"/>
          <w:iCs/>
          <w:sz w:val="24"/>
          <w:szCs w:val="24"/>
          <w:lang w:val="es-ES_tradnl"/>
        </w:rPr>
        <w:t xml:space="preserve">Tabla 2. Valor agregado de cada proceso. </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717"/>
        <w:gridCol w:w="756"/>
        <w:gridCol w:w="756"/>
        <w:gridCol w:w="750"/>
        <w:gridCol w:w="696"/>
        <w:gridCol w:w="1106"/>
        <w:gridCol w:w="875"/>
        <w:gridCol w:w="813"/>
      </w:tblGrid>
      <w:tr w:rsidR="00F12C6E" w:rsidRPr="00F12C6E" w:rsidTr="00033F0F">
        <w:trPr>
          <w:trHeight w:val="366"/>
        </w:trPr>
        <w:tc>
          <w:tcPr>
            <w:tcW w:w="0" w:type="auto"/>
            <w:vMerge w:val="restart"/>
            <w:shd w:val="clear" w:color="auto" w:fill="auto"/>
            <w:noWrap/>
            <w:hideMark/>
          </w:tcPr>
          <w:p w:rsidR="00F12C6E" w:rsidRPr="00F12C6E" w:rsidRDefault="00F12C6E" w:rsidP="00033F0F">
            <w:pPr>
              <w:ind w:left="-10" w:hanging="109"/>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Proc.</w:t>
            </w:r>
          </w:p>
        </w:tc>
        <w:tc>
          <w:tcPr>
            <w:tcW w:w="0" w:type="auto"/>
            <w:gridSpan w:val="2"/>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Sw</w:t>
            </w:r>
            <w:r w:rsidRPr="00F12C6E">
              <w:rPr>
                <w:rFonts w:ascii="Times New Roman" w:hAnsi="Times New Roman" w:cs="Times New Roman"/>
                <w:color w:val="000000"/>
                <w:sz w:val="24"/>
                <w:szCs w:val="24"/>
                <w:vertAlign w:val="subscript"/>
                <w:lang w:val="es-ES_tradnl" w:eastAsia="en-GB"/>
              </w:rPr>
              <w:t>ij</w:t>
            </w:r>
          </w:p>
        </w:tc>
        <w:tc>
          <w:tcPr>
            <w:tcW w:w="0" w:type="auto"/>
            <w:gridSpan w:val="2"/>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B</w:t>
            </w:r>
            <w:r w:rsidRPr="00F12C6E">
              <w:rPr>
                <w:rFonts w:ascii="Times New Roman" w:hAnsi="Times New Roman" w:cs="Times New Roman"/>
                <w:color w:val="000000"/>
                <w:sz w:val="24"/>
                <w:szCs w:val="24"/>
                <w:vertAlign w:val="subscript"/>
                <w:lang w:val="es-ES_tradnl" w:eastAsia="en-GB"/>
              </w:rPr>
              <w:t>j</w:t>
            </w:r>
          </w:p>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($/CEE)</w:t>
            </w:r>
          </w:p>
        </w:tc>
        <w:tc>
          <w:tcPr>
            <w:tcW w:w="0" w:type="auto"/>
            <w:vMerge w:val="restart"/>
            <w:shd w:val="clear" w:color="auto" w:fill="auto"/>
            <w:noWrap/>
            <w:hideMark/>
          </w:tcPr>
          <w:p w:rsidR="00F12C6E" w:rsidRPr="00F12C6E" w:rsidRDefault="00F12C6E" w:rsidP="00033F0F">
            <w:pPr>
              <w:jc w:val="center"/>
              <w:rPr>
                <w:rFonts w:ascii="Times New Roman" w:hAnsi="Times New Roman" w:cs="Times New Roman"/>
                <w:color w:val="000000"/>
                <w:sz w:val="24"/>
                <w:szCs w:val="24"/>
                <w:vertAlign w:val="subscript"/>
                <w:lang w:val="es-ES_tradnl" w:eastAsia="en-GB"/>
              </w:rPr>
            </w:pPr>
            <w:r w:rsidRPr="00F12C6E">
              <w:rPr>
                <w:rFonts w:ascii="Times New Roman" w:hAnsi="Times New Roman" w:cs="Times New Roman"/>
                <w:color w:val="000000"/>
                <w:sz w:val="24"/>
                <w:szCs w:val="24"/>
                <w:lang w:val="es-ES_tradnl" w:eastAsia="en-GB"/>
              </w:rPr>
              <w:t>CA</w:t>
            </w:r>
            <w:r w:rsidRPr="00F12C6E">
              <w:rPr>
                <w:rFonts w:ascii="Times New Roman" w:hAnsi="Times New Roman" w:cs="Times New Roman"/>
                <w:color w:val="000000"/>
                <w:sz w:val="24"/>
                <w:szCs w:val="24"/>
                <w:vertAlign w:val="subscript"/>
                <w:lang w:val="es-ES_tradnl" w:eastAsia="en-GB"/>
              </w:rPr>
              <w:t>ij</w:t>
            </w:r>
          </w:p>
          <w:p w:rsidR="00F12C6E" w:rsidRPr="00F12C6E" w:rsidRDefault="00F12C6E" w:rsidP="00033F0F">
            <w:pPr>
              <w:ind w:hanging="30"/>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($/CEE)</w:t>
            </w:r>
          </w:p>
        </w:tc>
        <w:tc>
          <w:tcPr>
            <w:tcW w:w="0" w:type="auto"/>
            <w:gridSpan w:val="2"/>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VA</w:t>
            </w:r>
            <w:r w:rsidRPr="00F12C6E">
              <w:rPr>
                <w:rFonts w:ascii="Times New Roman" w:hAnsi="Times New Roman" w:cs="Times New Roman"/>
                <w:color w:val="000000"/>
                <w:sz w:val="24"/>
                <w:szCs w:val="24"/>
                <w:vertAlign w:val="subscript"/>
                <w:lang w:val="es-ES_tradnl" w:eastAsia="en-GB"/>
              </w:rPr>
              <w:t xml:space="preserve">ij  </w:t>
            </w:r>
            <w:r w:rsidRPr="00F12C6E">
              <w:rPr>
                <w:rFonts w:ascii="Times New Roman" w:hAnsi="Times New Roman" w:cs="Times New Roman"/>
                <w:color w:val="000000"/>
                <w:sz w:val="24"/>
                <w:szCs w:val="24"/>
                <w:lang w:val="es-ES_tradnl" w:eastAsia="en-GB"/>
              </w:rPr>
              <w:t>($/CEE)</w:t>
            </w:r>
          </w:p>
        </w:tc>
      </w:tr>
      <w:tr w:rsidR="00F12C6E" w:rsidRPr="00F12C6E" w:rsidTr="00033F0F">
        <w:trPr>
          <w:trHeight w:val="312"/>
        </w:trPr>
        <w:tc>
          <w:tcPr>
            <w:tcW w:w="0" w:type="auto"/>
            <w:vMerge/>
            <w:tcBorders>
              <w:bottom w:val="single" w:sz="4" w:space="0" w:color="auto"/>
            </w:tcBorders>
            <w:shd w:val="clear" w:color="auto" w:fill="auto"/>
            <w:noWrap/>
          </w:tcPr>
          <w:p w:rsidR="00F12C6E" w:rsidRPr="00F12C6E" w:rsidRDefault="00F12C6E" w:rsidP="00033F0F">
            <w:pPr>
              <w:ind w:left="-10" w:hanging="109"/>
              <w:jc w:val="both"/>
              <w:rPr>
                <w:rFonts w:ascii="Times New Roman" w:hAnsi="Times New Roman" w:cs="Times New Roman"/>
                <w:color w:val="000000"/>
                <w:sz w:val="24"/>
                <w:szCs w:val="24"/>
                <w:lang w:val="es-ES_tradnl" w:eastAsia="en-GB"/>
              </w:rPr>
            </w:pPr>
          </w:p>
        </w:tc>
        <w:tc>
          <w:tcPr>
            <w:tcW w:w="756" w:type="dxa"/>
            <w:tcBorders>
              <w:bottom w:val="single" w:sz="4" w:space="0" w:color="auto"/>
            </w:tcBorders>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bCs/>
                <w:color w:val="000000"/>
                <w:sz w:val="24"/>
                <w:szCs w:val="24"/>
                <w:lang w:val="es-ES_tradnl"/>
              </w:rPr>
              <w:t>127V</w:t>
            </w:r>
          </w:p>
        </w:tc>
        <w:tc>
          <w:tcPr>
            <w:tcW w:w="756" w:type="dxa"/>
            <w:tcBorders>
              <w:bottom w:val="single" w:sz="4" w:space="0" w:color="auto"/>
            </w:tcBorders>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bCs/>
                <w:color w:val="000000"/>
                <w:sz w:val="24"/>
                <w:szCs w:val="24"/>
                <w:lang w:val="es-ES_tradnl"/>
              </w:rPr>
              <w:t>220v</w:t>
            </w:r>
          </w:p>
        </w:tc>
        <w:tc>
          <w:tcPr>
            <w:tcW w:w="750" w:type="dxa"/>
            <w:tcBorders>
              <w:bottom w:val="single" w:sz="4" w:space="0" w:color="auto"/>
            </w:tcBorders>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127V</w:t>
            </w:r>
          </w:p>
        </w:tc>
        <w:tc>
          <w:tcPr>
            <w:tcW w:w="696" w:type="dxa"/>
            <w:tcBorders>
              <w:bottom w:val="single" w:sz="4" w:space="0" w:color="auto"/>
            </w:tcBorders>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220v</w:t>
            </w:r>
          </w:p>
        </w:tc>
        <w:tc>
          <w:tcPr>
            <w:tcW w:w="0" w:type="auto"/>
            <w:vMerge/>
            <w:tcBorders>
              <w:bottom w:val="single" w:sz="4" w:space="0" w:color="auto"/>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eastAsia="en-GB"/>
              </w:rPr>
            </w:pPr>
          </w:p>
        </w:tc>
        <w:tc>
          <w:tcPr>
            <w:tcW w:w="0" w:type="auto"/>
            <w:tcBorders>
              <w:bottom w:val="single" w:sz="4" w:space="0" w:color="auto"/>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127V</w:t>
            </w:r>
          </w:p>
        </w:tc>
        <w:tc>
          <w:tcPr>
            <w:tcW w:w="0" w:type="auto"/>
            <w:tcBorders>
              <w:bottom w:val="single" w:sz="4" w:space="0" w:color="auto"/>
            </w:tcBorders>
            <w:shd w:val="clear" w:color="auto" w:fill="auto"/>
          </w:tcPr>
          <w:p w:rsidR="00F12C6E" w:rsidRPr="00F12C6E" w:rsidRDefault="00F12C6E" w:rsidP="00033F0F">
            <w:pPr>
              <w:ind w:right="-39" w:hanging="4"/>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220v</w:t>
            </w:r>
          </w:p>
        </w:tc>
      </w:tr>
      <w:tr w:rsidR="00F12C6E" w:rsidRPr="00F12C6E" w:rsidTr="00033F0F">
        <w:trPr>
          <w:trHeight w:val="300"/>
        </w:trPr>
        <w:tc>
          <w:tcPr>
            <w:tcW w:w="0" w:type="auto"/>
            <w:tcBorders>
              <w:top w:val="single" w:sz="4" w:space="0" w:color="auto"/>
              <w:bottom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lastRenderedPageBreak/>
              <w:t>P-1</w:t>
            </w:r>
          </w:p>
        </w:tc>
        <w:tc>
          <w:tcPr>
            <w:tcW w:w="756" w:type="dxa"/>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0,095</w:t>
            </w:r>
          </w:p>
        </w:tc>
        <w:tc>
          <w:tcPr>
            <w:tcW w:w="756" w:type="dxa"/>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0,098</w:t>
            </w:r>
          </w:p>
        </w:tc>
        <w:tc>
          <w:tcPr>
            <w:tcW w:w="750" w:type="dxa"/>
            <w:vMerge w:val="restart"/>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0,26</w:t>
            </w:r>
          </w:p>
        </w:tc>
        <w:tc>
          <w:tcPr>
            <w:tcW w:w="696" w:type="dxa"/>
            <w:vMerge w:val="restart"/>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0,44</w:t>
            </w:r>
          </w:p>
        </w:tc>
        <w:tc>
          <w:tcPr>
            <w:tcW w:w="0" w:type="auto"/>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0,0153</w:t>
            </w:r>
          </w:p>
        </w:tc>
        <w:tc>
          <w:tcPr>
            <w:tcW w:w="0" w:type="auto"/>
            <w:tcBorders>
              <w:top w:val="single" w:sz="4" w:space="0" w:color="auto"/>
              <w:bottom w:val="nil"/>
            </w:tcBorders>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0,114</w:t>
            </w:r>
          </w:p>
        </w:tc>
        <w:tc>
          <w:tcPr>
            <w:tcW w:w="0" w:type="auto"/>
            <w:tcBorders>
              <w:top w:val="single" w:sz="4" w:space="0" w:color="auto"/>
              <w:bottom w:val="nil"/>
            </w:tcBorders>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0,095</w:t>
            </w:r>
          </w:p>
        </w:tc>
      </w:tr>
      <w:tr w:rsidR="00F12C6E" w:rsidRPr="00F12C6E" w:rsidTr="00033F0F">
        <w:trPr>
          <w:trHeight w:val="300"/>
        </w:trPr>
        <w:tc>
          <w:tcPr>
            <w:tcW w:w="0" w:type="auto"/>
            <w:tcBorders>
              <w:top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P-2</w:t>
            </w:r>
          </w:p>
        </w:tc>
        <w:tc>
          <w:tcPr>
            <w:tcW w:w="756" w:type="dxa"/>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0,025</w:t>
            </w:r>
          </w:p>
        </w:tc>
        <w:tc>
          <w:tcPr>
            <w:tcW w:w="756" w:type="dxa"/>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0,029</w:t>
            </w:r>
          </w:p>
        </w:tc>
        <w:tc>
          <w:tcPr>
            <w:tcW w:w="750" w:type="dxa"/>
            <w:vMerge/>
            <w:tcBorders>
              <w:top w:val="nil"/>
            </w:tcBorders>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Borders>
              <w:top w:val="nil"/>
            </w:tcBorders>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0,0129</w:t>
            </w:r>
          </w:p>
        </w:tc>
        <w:tc>
          <w:tcPr>
            <w:tcW w:w="0" w:type="auto"/>
            <w:tcBorders>
              <w:top w:val="nil"/>
            </w:tcBorders>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0,063</w:t>
            </w:r>
          </w:p>
        </w:tc>
        <w:tc>
          <w:tcPr>
            <w:tcW w:w="0" w:type="auto"/>
            <w:tcBorders>
              <w:top w:val="nil"/>
            </w:tcBorders>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0,068</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P-3</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0,009</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0,013</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0,0003</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0,048</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0,049</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P-4</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0,009</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0,013</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0,0001</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0,048</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0,049</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P-5</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0,116</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0,114</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0,1745</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0,239</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0,262</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P-6</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0,194</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0,186</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0,3624</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0,438</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0,478</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P-7</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0,315</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0,309</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0,3124</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0,408</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0,472</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P-8</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0,196</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0,188</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0,3895</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0,466</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0,506</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P-9</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0,011</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0,015</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0,0087</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0,057</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0,058</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0,031</w:t>
            </w:r>
          </w:p>
        </w:tc>
        <w:tc>
          <w:tcPr>
            <w:tcW w:w="756"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bCs/>
                <w:color w:val="000000"/>
                <w:sz w:val="24"/>
                <w:szCs w:val="24"/>
                <w:lang w:val="es-ES_tradnl"/>
              </w:rPr>
              <w:t>0,035</w:t>
            </w:r>
          </w:p>
        </w:tc>
        <w:tc>
          <w:tcPr>
            <w:tcW w:w="750"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696" w:type="dxa"/>
            <w:vMerge/>
          </w:tcPr>
          <w:p w:rsidR="00F12C6E" w:rsidRPr="00F12C6E" w:rsidRDefault="00F12C6E" w:rsidP="00033F0F">
            <w:pPr>
              <w:jc w:val="both"/>
              <w:rPr>
                <w:rFonts w:ascii="Times New Roman" w:hAnsi="Times New Roman" w:cs="Times New Roman"/>
                <w:color w:val="000000"/>
                <w:sz w:val="24"/>
                <w:szCs w:val="24"/>
                <w:lang w:val="es-ES_tradnl"/>
              </w:rPr>
            </w:pP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0,0128</w:t>
            </w:r>
          </w:p>
        </w:tc>
        <w:tc>
          <w:tcPr>
            <w:tcW w:w="0" w:type="auto"/>
            <w:shd w:val="clear" w:color="auto" w:fill="auto"/>
            <w:noWrap/>
            <w:hideMark/>
          </w:tcPr>
          <w:p w:rsidR="00F12C6E" w:rsidRPr="00F12C6E" w:rsidRDefault="00F12C6E" w:rsidP="00033F0F">
            <w:pPr>
              <w:ind w:hanging="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0,064</w:t>
            </w:r>
          </w:p>
        </w:tc>
        <w:tc>
          <w:tcPr>
            <w:tcW w:w="0" w:type="auto"/>
          </w:tcPr>
          <w:p w:rsidR="00F12C6E" w:rsidRPr="00F12C6E" w:rsidRDefault="00F12C6E" w:rsidP="00033F0F">
            <w:pPr>
              <w:ind w:hanging="81"/>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0,070</w:t>
            </w:r>
          </w:p>
        </w:tc>
      </w:tr>
    </w:tbl>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Fuente: elaboración propia.</w:t>
      </w:r>
    </w:p>
    <w:p w:rsidR="00F12C6E" w:rsidRPr="00F12C6E" w:rsidRDefault="00F12C6E" w:rsidP="00F12C6E">
      <w:pPr>
        <w:spacing w:before="120"/>
        <w:jc w:val="both"/>
        <w:rPr>
          <w:rFonts w:ascii="Times New Roman" w:hAnsi="Times New Roman" w:cs="Times New Roman"/>
          <w:sz w:val="24"/>
          <w:szCs w:val="24"/>
          <w:lang w:val="es-ES_tradnl"/>
        </w:rPr>
      </w:pPr>
    </w:p>
    <w:p w:rsidR="00F12C6E" w:rsidRPr="00F12C6E" w:rsidRDefault="00F12C6E" w:rsidP="00F12C6E">
      <w:pPr>
        <w:spacing w:before="120"/>
        <w:jc w:val="both"/>
        <w:rPr>
          <w:rFonts w:ascii="Times New Roman" w:hAnsi="Times New Roman" w:cs="Times New Roman"/>
          <w:iCs/>
          <w:sz w:val="24"/>
          <w:szCs w:val="24"/>
          <w:lang w:val="es-ES_tradnl"/>
        </w:rPr>
      </w:pPr>
      <w:r w:rsidRPr="00F12C6E">
        <w:rPr>
          <w:rFonts w:ascii="Times New Roman" w:hAnsi="Times New Roman" w:cs="Times New Roman"/>
          <w:sz w:val="24"/>
          <w:szCs w:val="24"/>
          <w:lang w:val="es-ES_tradnl"/>
        </w:rPr>
        <w:t>Luego, tomando como base que el</w:t>
      </w:r>
      <w:r w:rsidRPr="00F12C6E">
        <w:rPr>
          <w:rFonts w:ascii="Times New Roman" w:hAnsi="Times New Roman" w:cs="Times New Roman"/>
          <w:iCs/>
          <w:sz w:val="24"/>
          <w:szCs w:val="24"/>
          <w:lang w:val="es-ES_tradnl"/>
        </w:rPr>
        <w:t xml:space="preserve"> volumen total de producción fue de 137.828 contadores eléctricos (CEE) de 127v y 262.172 de 220v, con 295 defectuosos (133 de 127v y 163 de 220v), de los cuales se recuperaron 133 de 127v y 113 de 220v, se obtuvo una TVA de 99,87%. Este valor es considerado como muy bueno en la Tabla 2.</w:t>
      </w:r>
    </w:p>
    <w:p w:rsidR="00F12C6E" w:rsidRPr="00F12C6E" w:rsidRDefault="00F12C6E" w:rsidP="00F12C6E">
      <w:pPr>
        <w:pStyle w:val="Prrafodelista"/>
        <w:numPr>
          <w:ilvl w:val="0"/>
          <w:numId w:val="8"/>
        </w:numPr>
        <w:tabs>
          <w:tab w:val="left" w:pos="270"/>
        </w:tabs>
        <w:ind w:left="0" w:firstLine="0"/>
        <w:jc w:val="both"/>
        <w:rPr>
          <w:rFonts w:ascii="Times New Roman" w:eastAsia="Times New Roman" w:hAnsi="Times New Roman" w:cs="Times New Roman"/>
          <w:iCs/>
          <w:sz w:val="24"/>
          <w:szCs w:val="24"/>
          <w:lang w:val="es-ES_tradnl" w:eastAsia="es-ES"/>
        </w:rPr>
      </w:pPr>
      <w:r w:rsidRPr="00F12C6E">
        <w:rPr>
          <w:rFonts w:ascii="Times New Roman" w:eastAsia="Times New Roman" w:hAnsi="Times New Roman" w:cs="Times New Roman"/>
          <w:iCs/>
          <w:sz w:val="24"/>
          <w:szCs w:val="24"/>
          <w:lang w:val="es-ES_tradnl" w:eastAsia="es-ES"/>
        </w:rPr>
        <w:t xml:space="preserve">Para la productividad, donde se utilizó el modelo DEA </w:t>
      </w:r>
      <w:r w:rsidRPr="00F12C6E">
        <w:rPr>
          <w:rFonts w:ascii="Times New Roman" w:eastAsia="Times New Roman" w:hAnsi="Times New Roman" w:cs="Times New Roman"/>
          <w:iCs/>
          <w:sz w:val="24"/>
          <w:szCs w:val="24"/>
          <w:lang w:val="es-ES_tradnl" w:eastAsia="es-ES"/>
        </w:rPr>
        <w:fldChar w:fldCharType="begin" w:fldLock="1"/>
      </w:r>
      <w:r w:rsidRPr="00F12C6E">
        <w:rPr>
          <w:rFonts w:ascii="Times New Roman" w:eastAsia="Times New Roman" w:hAnsi="Times New Roman" w:cs="Times New Roman"/>
          <w:iCs/>
          <w:sz w:val="24"/>
          <w:szCs w:val="24"/>
          <w:lang w:val="es-ES_tradnl" w:eastAsia="es-ES"/>
        </w:rPr>
        <w:instrText>ADDIN CSL_CITATION {"citationItems":[{"id":"ITEM-1","itemData":{"ISBN":"0377-2217","author":[{"dropping-particle":"","family":"Charnes","given":"Abraham","non-dropping-particle":"","parse-names":false,"suffix":""},{"dropping-particle":"","family":"Cooper","given":"William W","non-dropping-particle":"","parse-names":false,"suffix":""},{"dropping-particle":"","family":"Rhodes","given":"Edwardo","non-dropping-particle":"","parse-names":false,"suffix":""}],"container-title":"European Journal of Operational Research","id":"ITEM-1","issue":"6","issued":{"date-parts":[["1978"]]},"page":"429-444","title":"Measuring the efficiency of decision making units","type":"article-journal","volume":"2"},"uris":["http://www.mendeley.com/documents/?uuid=2dcad691-00b2-4c96-ab7e-cc5bdeaa6cb8"]}],"mendeley":{"formattedCitation":"(Charnes et al., 1978)","plainTextFormattedCitation":"(Charnes et al., 1978)","previouslyFormattedCitation":"(Charnes et al., 1978)"},"properties":{"noteIndex":0},"schema":"https://github.com/citation-style-language/schema/raw/master/csl-citation.json"}</w:instrText>
      </w:r>
      <w:r w:rsidRPr="00F12C6E">
        <w:rPr>
          <w:rFonts w:ascii="Times New Roman" w:eastAsia="Times New Roman" w:hAnsi="Times New Roman" w:cs="Times New Roman"/>
          <w:iCs/>
          <w:sz w:val="24"/>
          <w:szCs w:val="24"/>
          <w:lang w:val="es-ES_tradnl" w:eastAsia="es-ES"/>
        </w:rPr>
        <w:fldChar w:fldCharType="separate"/>
      </w:r>
      <w:r w:rsidRPr="00F12C6E">
        <w:rPr>
          <w:rFonts w:ascii="Times New Roman" w:eastAsia="Times New Roman" w:hAnsi="Times New Roman" w:cs="Times New Roman"/>
          <w:iCs/>
          <w:sz w:val="24"/>
          <w:szCs w:val="24"/>
          <w:lang w:val="es-ES_tradnl" w:eastAsia="es-ES"/>
        </w:rPr>
        <w:t>(Charnes et al., 1978)</w:t>
      </w:r>
      <w:r w:rsidRPr="00F12C6E">
        <w:rPr>
          <w:rFonts w:ascii="Times New Roman" w:eastAsia="Times New Roman" w:hAnsi="Times New Roman" w:cs="Times New Roman"/>
          <w:iCs/>
          <w:sz w:val="24"/>
          <w:szCs w:val="24"/>
          <w:lang w:val="es-ES_tradnl" w:eastAsia="es-ES"/>
        </w:rPr>
        <w:fldChar w:fldCharType="end"/>
      </w:r>
      <w:r w:rsidRPr="00F12C6E">
        <w:rPr>
          <w:rFonts w:ascii="Times New Roman" w:eastAsia="Times New Roman" w:hAnsi="Times New Roman" w:cs="Times New Roman"/>
          <w:iCs/>
          <w:sz w:val="24"/>
          <w:szCs w:val="24"/>
          <w:lang w:val="es-ES_tradnl" w:eastAsia="es-ES"/>
        </w:rPr>
        <w:t>, se tomaron como entradas las mostradas en la Tabla 3, junto con el resultado de la aplicación del modelo (última columna). Luego, aplicando la expresión (7) se obtuvo un valor de 0,766, para una evaluación de Bien en la Tabla 2.</w:t>
      </w:r>
    </w:p>
    <w:p w:rsidR="00F12C6E" w:rsidRPr="00F12C6E" w:rsidRDefault="00F12C6E" w:rsidP="00F12C6E">
      <w:pPr>
        <w:pStyle w:val="Prrafodelista"/>
        <w:numPr>
          <w:ilvl w:val="0"/>
          <w:numId w:val="8"/>
        </w:numPr>
        <w:tabs>
          <w:tab w:val="left" w:pos="270"/>
        </w:tabs>
        <w:ind w:left="0" w:firstLine="0"/>
        <w:jc w:val="both"/>
        <w:rPr>
          <w:rFonts w:ascii="Times New Roman" w:eastAsia="Times New Roman" w:hAnsi="Times New Roman" w:cs="Times New Roman"/>
          <w:iCs/>
          <w:sz w:val="24"/>
          <w:szCs w:val="24"/>
          <w:lang w:val="es-ES_tradnl" w:eastAsia="es-ES"/>
        </w:rPr>
      </w:pPr>
      <w:r w:rsidRPr="00F12C6E">
        <w:rPr>
          <w:rFonts w:ascii="Times New Roman" w:eastAsia="Times New Roman" w:hAnsi="Times New Roman" w:cs="Times New Roman"/>
          <w:iCs/>
          <w:sz w:val="24"/>
          <w:szCs w:val="24"/>
          <w:lang w:val="es-ES_tradnl" w:eastAsia="es-ES"/>
        </w:rPr>
        <w:t>La rentabilidad al igual que el NSC fue obtenida de manera global. Primeramente, se identificó el nivel de venta (7.398,9 miles de pesos), la utilidad (162,9 miles de pesos) y el total de activos (4.973,8 miles de pesos). Luego, se aplicó la expresión (8) donde se obtuvo un ROI de 0,0328 para una evaluación de regular (Tabla 2).</w:t>
      </w:r>
    </w:p>
    <w:p w:rsidR="00F12C6E" w:rsidRPr="00F12C6E" w:rsidRDefault="00F12C6E" w:rsidP="00F12C6E">
      <w:pPr>
        <w:pStyle w:val="Prrafodelista"/>
        <w:tabs>
          <w:tab w:val="left" w:pos="270"/>
        </w:tabs>
        <w:ind w:left="0"/>
        <w:jc w:val="both"/>
        <w:rPr>
          <w:rFonts w:ascii="Times New Roman" w:eastAsia="Times New Roman" w:hAnsi="Times New Roman" w:cs="Times New Roman"/>
          <w:iCs/>
          <w:sz w:val="24"/>
          <w:szCs w:val="24"/>
          <w:lang w:val="es-ES_tradnl" w:eastAsia="es-ES"/>
        </w:rPr>
      </w:pPr>
    </w:p>
    <w:p w:rsidR="00F12C6E" w:rsidRPr="00F12C6E" w:rsidRDefault="00F12C6E" w:rsidP="00F12C6E">
      <w:pPr>
        <w:jc w:val="both"/>
        <w:rPr>
          <w:rFonts w:ascii="Times New Roman" w:hAnsi="Times New Roman" w:cs="Times New Roman"/>
          <w:iCs/>
          <w:sz w:val="24"/>
          <w:szCs w:val="24"/>
          <w:lang w:val="es-ES_tradnl"/>
        </w:rPr>
      </w:pPr>
      <w:r w:rsidRPr="00F12C6E">
        <w:rPr>
          <w:rFonts w:ascii="Times New Roman" w:hAnsi="Times New Roman" w:cs="Times New Roman"/>
          <w:iCs/>
          <w:sz w:val="24"/>
          <w:szCs w:val="24"/>
          <w:lang w:val="es-ES_tradnl"/>
        </w:rPr>
        <w:t xml:space="preserve">Tabla 3. Entradas a cada proceso de la CS en 8 horas de trabajo. </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976"/>
        <w:gridCol w:w="1027"/>
        <w:gridCol w:w="1492"/>
        <w:gridCol w:w="1593"/>
        <w:gridCol w:w="604"/>
        <w:gridCol w:w="813"/>
      </w:tblGrid>
      <w:tr w:rsidR="00F12C6E" w:rsidRPr="00F12C6E" w:rsidTr="00033F0F">
        <w:trPr>
          <w:trHeight w:val="349"/>
        </w:trPr>
        <w:tc>
          <w:tcPr>
            <w:tcW w:w="0" w:type="auto"/>
            <w:tcBorders>
              <w:bottom w:val="single" w:sz="4" w:space="0" w:color="auto"/>
            </w:tcBorders>
            <w:shd w:val="clear" w:color="auto" w:fill="auto"/>
            <w:noWrap/>
            <w:hideMark/>
          </w:tcPr>
          <w:p w:rsidR="00F12C6E" w:rsidRPr="00F12C6E" w:rsidRDefault="00F12C6E" w:rsidP="00033F0F">
            <w:pPr>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Proceso</w:t>
            </w:r>
          </w:p>
        </w:tc>
        <w:tc>
          <w:tcPr>
            <w:tcW w:w="1027" w:type="dxa"/>
            <w:tcBorders>
              <w:bottom w:val="single" w:sz="4" w:space="0" w:color="auto"/>
            </w:tcBorders>
            <w:shd w:val="clear" w:color="auto" w:fill="auto"/>
            <w:noWrap/>
          </w:tcPr>
          <w:p w:rsidR="00F12C6E" w:rsidRPr="00F12C6E" w:rsidRDefault="00F12C6E" w:rsidP="00033F0F">
            <w:pPr>
              <w:ind w:hanging="284"/>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En</w:t>
            </w:r>
          </w:p>
        </w:tc>
        <w:tc>
          <w:tcPr>
            <w:tcW w:w="1492" w:type="dxa"/>
            <w:tcBorders>
              <w:bottom w:val="single" w:sz="4" w:space="0" w:color="auto"/>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t</w:t>
            </w:r>
            <w:r w:rsidRPr="00F12C6E">
              <w:rPr>
                <w:rFonts w:ascii="Times New Roman" w:hAnsi="Times New Roman" w:cs="Times New Roman"/>
                <w:color w:val="000000"/>
                <w:sz w:val="24"/>
                <w:szCs w:val="24"/>
                <w:vertAlign w:val="subscript"/>
                <w:lang w:val="es-ES_tradnl"/>
              </w:rPr>
              <w:t>ij</w:t>
            </w:r>
            <w:r w:rsidRPr="00F12C6E">
              <w:rPr>
                <w:rFonts w:ascii="Times New Roman" w:hAnsi="Times New Roman" w:cs="Times New Roman"/>
                <w:color w:val="000000"/>
                <w:sz w:val="24"/>
                <w:szCs w:val="24"/>
                <w:lang w:val="es-ES_tradnl"/>
              </w:rPr>
              <w:t xml:space="preserve"> (horas/año)</w:t>
            </w:r>
          </w:p>
        </w:tc>
        <w:tc>
          <w:tcPr>
            <w:tcW w:w="1593" w:type="dxa"/>
            <w:tcBorders>
              <w:bottom w:val="single" w:sz="4" w:space="0" w:color="auto"/>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C</w:t>
            </w:r>
            <w:r w:rsidRPr="00F12C6E">
              <w:rPr>
                <w:rFonts w:ascii="Times New Roman" w:hAnsi="Times New Roman" w:cs="Times New Roman"/>
                <w:color w:val="000000"/>
                <w:sz w:val="24"/>
                <w:szCs w:val="24"/>
                <w:vertAlign w:val="subscript"/>
                <w:lang w:val="es-ES_tradnl"/>
              </w:rPr>
              <w:t>ij</w:t>
            </w:r>
            <w:r w:rsidRPr="00F12C6E">
              <w:rPr>
                <w:rFonts w:ascii="Times New Roman" w:hAnsi="Times New Roman" w:cs="Times New Roman"/>
                <w:color w:val="000000"/>
                <w:sz w:val="24"/>
                <w:szCs w:val="24"/>
                <w:lang w:val="es-ES_tradnl"/>
              </w:rPr>
              <w:t xml:space="preserve"> ($/año)</w:t>
            </w:r>
          </w:p>
        </w:tc>
        <w:tc>
          <w:tcPr>
            <w:tcW w:w="604" w:type="dxa"/>
            <w:tcBorders>
              <w:bottom w:val="single" w:sz="4" w:space="0" w:color="auto"/>
            </w:tcBorders>
            <w:shd w:val="clear" w:color="auto" w:fill="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Ob</w:t>
            </w:r>
          </w:p>
        </w:tc>
        <w:tc>
          <w:tcPr>
            <w:tcW w:w="813" w:type="dxa"/>
            <w:tcBorders>
              <w:bottom w:val="single" w:sz="4" w:space="0" w:color="auto"/>
            </w:tcBorders>
          </w:tcPr>
          <w:p w:rsidR="00F12C6E" w:rsidRPr="00F12C6E" w:rsidRDefault="00F12C6E" w:rsidP="00033F0F">
            <w:pPr>
              <w:ind w:left="-82"/>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Pr</w:t>
            </w:r>
          </w:p>
        </w:tc>
      </w:tr>
      <w:tr w:rsidR="00F12C6E" w:rsidRPr="00F12C6E" w:rsidTr="00033F0F">
        <w:trPr>
          <w:trHeight w:val="300"/>
        </w:trPr>
        <w:tc>
          <w:tcPr>
            <w:tcW w:w="0" w:type="auto"/>
            <w:tcBorders>
              <w:top w:val="single" w:sz="4" w:space="0" w:color="auto"/>
              <w:bottom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P-1</w:t>
            </w:r>
          </w:p>
        </w:tc>
        <w:tc>
          <w:tcPr>
            <w:tcW w:w="1027" w:type="dxa"/>
            <w:tcBorders>
              <w:top w:val="single" w:sz="4" w:space="0" w:color="auto"/>
              <w:bottom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64,80</w:t>
            </w:r>
          </w:p>
        </w:tc>
        <w:tc>
          <w:tcPr>
            <w:tcW w:w="1492" w:type="dxa"/>
            <w:tcBorders>
              <w:top w:val="single" w:sz="4" w:space="0" w:color="auto"/>
              <w:bottom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3,09</w:t>
            </w:r>
          </w:p>
        </w:tc>
        <w:tc>
          <w:tcPr>
            <w:tcW w:w="1593" w:type="dxa"/>
            <w:tcBorders>
              <w:top w:val="single" w:sz="4" w:space="0" w:color="auto"/>
              <w:bottom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27,50</w:t>
            </w:r>
          </w:p>
        </w:tc>
        <w:tc>
          <w:tcPr>
            <w:tcW w:w="604" w:type="dxa"/>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813" w:type="dxa"/>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0,50</w:t>
            </w:r>
          </w:p>
        </w:tc>
      </w:tr>
      <w:tr w:rsidR="00F12C6E" w:rsidRPr="00F12C6E" w:rsidTr="00033F0F">
        <w:trPr>
          <w:trHeight w:val="300"/>
        </w:trPr>
        <w:tc>
          <w:tcPr>
            <w:tcW w:w="0" w:type="auto"/>
            <w:tcBorders>
              <w:top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P-2</w:t>
            </w:r>
          </w:p>
        </w:tc>
        <w:tc>
          <w:tcPr>
            <w:tcW w:w="1027" w:type="dxa"/>
            <w:tcBorders>
              <w:top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40,80</w:t>
            </w:r>
          </w:p>
        </w:tc>
        <w:tc>
          <w:tcPr>
            <w:tcW w:w="1492" w:type="dxa"/>
            <w:tcBorders>
              <w:top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0,51</w:t>
            </w:r>
          </w:p>
        </w:tc>
        <w:tc>
          <w:tcPr>
            <w:tcW w:w="1593" w:type="dxa"/>
            <w:tcBorders>
              <w:top w:val="nil"/>
            </w:tcBorders>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23,22</w:t>
            </w:r>
          </w:p>
        </w:tc>
        <w:tc>
          <w:tcPr>
            <w:tcW w:w="604" w:type="dxa"/>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w:t>
            </w:r>
          </w:p>
        </w:tc>
        <w:tc>
          <w:tcPr>
            <w:tcW w:w="813" w:type="dxa"/>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lastRenderedPageBreak/>
              <w:t>P-3</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60,00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0,00</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0,54</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P-4</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82,40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0,01</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0,13</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1,05</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P-5</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76,80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2,74</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314,10</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P-6</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121,60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5,30</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652,32</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0,33</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P-7</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140,16</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8,00</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562,32</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0,20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P-8</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126,40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5,95</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701,10</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0,50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P-9</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25,60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0,01</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15,66</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1,05</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1027"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15,20</w:t>
            </w:r>
          </w:p>
        </w:tc>
        <w:tc>
          <w:tcPr>
            <w:tcW w:w="1492"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0,73</w:t>
            </w:r>
          </w:p>
        </w:tc>
        <w:tc>
          <w:tcPr>
            <w:tcW w:w="1593" w:type="dxa"/>
            <w:shd w:val="clear" w:color="auto" w:fill="auto"/>
            <w:noWrap/>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23,04</w:t>
            </w:r>
          </w:p>
        </w:tc>
        <w:tc>
          <w:tcPr>
            <w:tcW w:w="604"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813"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1,07</w:t>
            </w:r>
          </w:p>
        </w:tc>
      </w:tr>
    </w:tbl>
    <w:p w:rsidR="00F12C6E" w:rsidRPr="00F12C6E" w:rsidRDefault="00F12C6E" w:rsidP="00F12C6E">
      <w:pPr>
        <w:pStyle w:val="Prrafodelista"/>
        <w:tabs>
          <w:tab w:val="left" w:pos="180"/>
        </w:tabs>
        <w:spacing w:after="120" w:line="240" w:lineRule="auto"/>
        <w:ind w:left="0" w:right="158"/>
        <w:jc w:val="both"/>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 xml:space="preserve">En: energía (kw-h); Ob: cantidad de obreros (u); Pr: Productividad (valor entre 0 y 1). </w:t>
      </w:r>
    </w:p>
    <w:p w:rsidR="00F12C6E" w:rsidRPr="00F12C6E" w:rsidRDefault="00F12C6E" w:rsidP="00F12C6E">
      <w:pPr>
        <w:pStyle w:val="Prrafodelista"/>
        <w:tabs>
          <w:tab w:val="left" w:pos="180"/>
        </w:tabs>
        <w:spacing w:after="120" w:line="240" w:lineRule="auto"/>
        <w:ind w:left="0" w:right="158"/>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Fuente: elaboración propia.</w:t>
      </w:r>
    </w:p>
    <w:p w:rsidR="00F12C6E" w:rsidRPr="00F12C6E" w:rsidRDefault="00F12C6E" w:rsidP="00F12C6E">
      <w:pPr>
        <w:pStyle w:val="Prrafodelista"/>
        <w:tabs>
          <w:tab w:val="left" w:pos="180"/>
        </w:tabs>
        <w:spacing w:before="120" w:after="120"/>
        <w:ind w:left="0" w:right="158"/>
        <w:jc w:val="both"/>
        <w:rPr>
          <w:rFonts w:ascii="Times New Roman" w:eastAsia="Times New Roman" w:hAnsi="Times New Roman" w:cs="Times New Roman"/>
          <w:iCs/>
          <w:sz w:val="24"/>
          <w:szCs w:val="24"/>
          <w:lang w:val="es-ES_tradnl" w:eastAsia="es-ES"/>
        </w:rPr>
      </w:pPr>
    </w:p>
    <w:p w:rsidR="00F12C6E" w:rsidRPr="00F12C6E" w:rsidRDefault="00F12C6E" w:rsidP="00F12C6E">
      <w:pPr>
        <w:pStyle w:val="Prrafodelista"/>
        <w:numPr>
          <w:ilvl w:val="0"/>
          <w:numId w:val="7"/>
        </w:numPr>
        <w:tabs>
          <w:tab w:val="left" w:pos="180"/>
        </w:tabs>
        <w:spacing w:before="120" w:after="120"/>
        <w:ind w:left="0" w:right="158" w:firstLine="0"/>
        <w:jc w:val="both"/>
        <w:rPr>
          <w:rFonts w:ascii="Times New Roman" w:eastAsia="Times New Roman" w:hAnsi="Times New Roman" w:cs="Times New Roman"/>
          <w:iCs/>
          <w:sz w:val="24"/>
          <w:szCs w:val="24"/>
          <w:lang w:val="es-ES_tradnl" w:eastAsia="es-ES"/>
        </w:rPr>
      </w:pPr>
      <w:r w:rsidRPr="00F12C6E">
        <w:rPr>
          <w:rFonts w:ascii="Times New Roman" w:eastAsia="Times New Roman" w:hAnsi="Times New Roman" w:cs="Times New Roman"/>
          <w:iCs/>
          <w:sz w:val="24"/>
          <w:szCs w:val="24"/>
          <w:lang w:val="es-ES_tradnl" w:eastAsia="es-ES"/>
        </w:rPr>
        <w:t xml:space="preserve">En la evaluación del impacto ambiental, se comenzó por determinar el inventario del ciclo de vida para toda la CS analizada (Tabla 4). </w:t>
      </w:r>
    </w:p>
    <w:p w:rsidR="00F12C6E" w:rsidRPr="00F12C6E" w:rsidRDefault="00F12C6E" w:rsidP="00F12C6E">
      <w:pPr>
        <w:pStyle w:val="Prrafodelista"/>
        <w:tabs>
          <w:tab w:val="left" w:pos="180"/>
        </w:tabs>
        <w:spacing w:before="120" w:after="120"/>
        <w:ind w:left="0" w:right="158"/>
        <w:jc w:val="both"/>
        <w:rPr>
          <w:rFonts w:ascii="Times New Roman" w:eastAsia="Times New Roman" w:hAnsi="Times New Roman" w:cs="Times New Roman"/>
          <w:iCs/>
          <w:sz w:val="24"/>
          <w:szCs w:val="24"/>
          <w:lang w:val="es-ES_tradnl" w:eastAsia="es-ES"/>
        </w:rPr>
      </w:pP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iCs/>
          <w:sz w:val="24"/>
          <w:szCs w:val="24"/>
          <w:lang w:val="es-ES_tradnl"/>
        </w:rPr>
        <w:t xml:space="preserve">Tabla 4. Inventario del ciclo de vida de cada uno de los procesos. </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857"/>
        <w:gridCol w:w="834"/>
        <w:gridCol w:w="756"/>
        <w:gridCol w:w="756"/>
        <w:gridCol w:w="652"/>
      </w:tblGrid>
      <w:tr w:rsidR="00F12C6E" w:rsidRPr="00F12C6E" w:rsidTr="00033F0F">
        <w:trPr>
          <w:trHeight w:val="315"/>
        </w:trPr>
        <w:tc>
          <w:tcPr>
            <w:tcW w:w="731" w:type="dxa"/>
            <w:tcBorders>
              <w:bottom w:val="single" w:sz="4" w:space="0" w:color="auto"/>
            </w:tcBorders>
            <w:shd w:val="clear" w:color="auto" w:fill="auto"/>
            <w:noWrap/>
            <w:hideMark/>
          </w:tcPr>
          <w:p w:rsidR="00F12C6E" w:rsidRPr="00F12C6E" w:rsidRDefault="00F12C6E" w:rsidP="00033F0F">
            <w:pPr>
              <w:ind w:left="-10" w:hanging="109"/>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Proceso</w:t>
            </w:r>
          </w:p>
        </w:tc>
        <w:tc>
          <w:tcPr>
            <w:tcW w:w="834" w:type="dxa"/>
            <w:tcBorders>
              <w:bottom w:val="single" w:sz="4" w:space="0" w:color="auto"/>
            </w:tcBorders>
            <w:shd w:val="clear" w:color="auto" w:fill="auto"/>
            <w:noWrap/>
            <w:hideMark/>
          </w:tcPr>
          <w:p w:rsidR="00F12C6E" w:rsidRPr="00F12C6E" w:rsidRDefault="00F12C6E" w:rsidP="00033F0F">
            <w:pPr>
              <w:ind w:hanging="284"/>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En</w:t>
            </w:r>
          </w:p>
        </w:tc>
        <w:tc>
          <w:tcPr>
            <w:tcW w:w="666" w:type="dxa"/>
            <w:tcBorders>
              <w:bottom w:val="single" w:sz="4" w:space="0" w:color="auto"/>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In</w:t>
            </w:r>
          </w:p>
        </w:tc>
        <w:tc>
          <w:tcPr>
            <w:tcW w:w="666" w:type="dxa"/>
            <w:tcBorders>
              <w:bottom w:val="single" w:sz="4" w:space="0" w:color="auto"/>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P</w:t>
            </w:r>
          </w:p>
        </w:tc>
        <w:tc>
          <w:tcPr>
            <w:tcW w:w="652" w:type="dxa"/>
            <w:tcBorders>
              <w:bottom w:val="single" w:sz="4" w:space="0" w:color="auto"/>
            </w:tcBorders>
            <w:shd w:val="clear" w:color="auto" w:fill="auto"/>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D</w:t>
            </w:r>
          </w:p>
        </w:tc>
      </w:tr>
      <w:tr w:rsidR="00F12C6E" w:rsidRPr="00F12C6E" w:rsidTr="00033F0F">
        <w:trPr>
          <w:trHeight w:val="300"/>
        </w:trPr>
        <w:tc>
          <w:tcPr>
            <w:tcW w:w="731" w:type="dxa"/>
            <w:tcBorders>
              <w:top w:val="single" w:sz="4" w:space="0" w:color="auto"/>
              <w:bottom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P-1</w:t>
            </w:r>
          </w:p>
        </w:tc>
        <w:tc>
          <w:tcPr>
            <w:tcW w:w="834" w:type="dxa"/>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18144</w:t>
            </w:r>
          </w:p>
        </w:tc>
        <w:tc>
          <w:tcPr>
            <w:tcW w:w="666" w:type="dxa"/>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0,86</w:t>
            </w:r>
          </w:p>
        </w:tc>
        <w:tc>
          <w:tcPr>
            <w:tcW w:w="666" w:type="dxa"/>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0,225</w:t>
            </w:r>
          </w:p>
        </w:tc>
        <w:tc>
          <w:tcPr>
            <w:tcW w:w="652" w:type="dxa"/>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tcBorders>
              <w:top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P-2</w:t>
            </w:r>
          </w:p>
        </w:tc>
        <w:tc>
          <w:tcPr>
            <w:tcW w:w="834" w:type="dxa"/>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12544</w:t>
            </w:r>
          </w:p>
        </w:tc>
        <w:tc>
          <w:tcPr>
            <w:tcW w:w="666" w:type="dxa"/>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0,79</w:t>
            </w:r>
          </w:p>
        </w:tc>
        <w:tc>
          <w:tcPr>
            <w:tcW w:w="666" w:type="dxa"/>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0,004</w:t>
            </w:r>
          </w:p>
        </w:tc>
        <w:tc>
          <w:tcPr>
            <w:tcW w:w="652" w:type="dxa"/>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P-3</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16800</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2,86</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0,001</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P-4</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23072</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17,14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0,001</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2,6</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P-5</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21504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3,82</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P-6</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34048</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1,72</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P-7</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39245</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39,2</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P-8</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35392</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2,14</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3,85</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P-9</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7168</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0,86</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731" w:type="dxa"/>
            <w:shd w:val="clear" w:color="auto" w:fill="auto"/>
            <w:noWrap/>
            <w:hideMark/>
          </w:tcPr>
          <w:p w:rsidR="00F12C6E" w:rsidRPr="00F12C6E" w:rsidRDefault="00F12C6E" w:rsidP="00033F0F">
            <w:pPr>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834"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4256</w:t>
            </w:r>
          </w:p>
        </w:tc>
        <w:tc>
          <w:tcPr>
            <w:tcW w:w="666" w:type="dxa"/>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1,20</w:t>
            </w:r>
          </w:p>
        </w:tc>
        <w:tc>
          <w:tcPr>
            <w:tcW w:w="652" w:type="dxa"/>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1,15</w:t>
            </w:r>
          </w:p>
        </w:tc>
      </w:tr>
    </w:tbl>
    <w:p w:rsidR="00F12C6E" w:rsidRPr="00F12C6E" w:rsidRDefault="00F12C6E" w:rsidP="00F12C6E">
      <w:pPr>
        <w:jc w:val="both"/>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En: Energía (kw-h / año); In: Infraestructura; (m</w:t>
      </w:r>
      <w:r w:rsidRPr="00F12C6E">
        <w:rPr>
          <w:rFonts w:ascii="Times New Roman" w:hAnsi="Times New Roman" w:cs="Times New Roman"/>
          <w:color w:val="000000"/>
          <w:sz w:val="24"/>
          <w:szCs w:val="24"/>
          <w:vertAlign w:val="superscript"/>
          <w:lang w:val="es-ES_tradnl"/>
        </w:rPr>
        <w:t>2</w:t>
      </w:r>
      <w:r w:rsidRPr="00F12C6E">
        <w:rPr>
          <w:rFonts w:ascii="Times New Roman" w:hAnsi="Times New Roman" w:cs="Times New Roman"/>
          <w:color w:val="000000"/>
          <w:sz w:val="24"/>
          <w:szCs w:val="24"/>
          <w:lang w:val="es-ES_tradnl"/>
        </w:rPr>
        <w:t xml:space="preserve">/año); P: papel (kg/año); D: Diesel (Kg/año). </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lastRenderedPageBreak/>
        <w:t>Fuente: elaboración propia.</w:t>
      </w:r>
    </w:p>
    <w:p w:rsidR="00F12C6E" w:rsidRPr="00F12C6E" w:rsidRDefault="00F12C6E" w:rsidP="00F12C6E">
      <w:pPr>
        <w:spacing w:before="120"/>
        <w:jc w:val="both"/>
        <w:rPr>
          <w:rFonts w:ascii="Times New Roman" w:hAnsi="Times New Roman" w:cs="Times New Roman"/>
          <w:sz w:val="24"/>
          <w:szCs w:val="24"/>
          <w:lang w:val="es-ES_tradnl"/>
        </w:rPr>
      </w:pPr>
    </w:p>
    <w:p w:rsidR="00F12C6E" w:rsidRPr="00F12C6E" w:rsidRDefault="00F12C6E" w:rsidP="00F12C6E">
      <w:pPr>
        <w:spacing w:before="120"/>
        <w:jc w:val="both"/>
        <w:rPr>
          <w:rFonts w:ascii="Times New Roman" w:hAnsi="Times New Roman" w:cs="Times New Roman"/>
          <w:iCs/>
          <w:sz w:val="24"/>
          <w:szCs w:val="24"/>
          <w:lang w:val="es-ES_tradnl"/>
        </w:rPr>
      </w:pPr>
      <w:r w:rsidRPr="00F12C6E">
        <w:rPr>
          <w:rFonts w:ascii="Times New Roman" w:hAnsi="Times New Roman" w:cs="Times New Roman"/>
          <w:sz w:val="24"/>
          <w:szCs w:val="24"/>
          <w:lang w:val="es-ES_tradnl"/>
        </w:rPr>
        <w:t xml:space="preserve">Luego, </w:t>
      </w:r>
      <w:r w:rsidRPr="00F12C6E">
        <w:rPr>
          <w:rFonts w:ascii="Times New Roman" w:hAnsi="Times New Roman" w:cs="Times New Roman"/>
          <w:iCs/>
          <w:sz w:val="24"/>
          <w:szCs w:val="24"/>
          <w:lang w:val="es-ES_tradnl"/>
        </w:rPr>
        <w:t>se calcularon las categorías de impacto ambiental según el Eco-Indicador 99 y se aplicó el modelo mostrado por el conjunto de ecuaciones (9), hasta obtener la eco-eficiencia para cada proceso (última columna, Tabla 5). Por último, se aplicó la expresión (10), siendo el resultado final de la eco-eficiencia de la CS de 0.726, para una evaluación de Mal (Tabla 2).</w:t>
      </w:r>
    </w:p>
    <w:p w:rsidR="00F12C6E" w:rsidRPr="00F12C6E" w:rsidRDefault="00F12C6E" w:rsidP="00F12C6E">
      <w:pPr>
        <w:spacing w:before="120"/>
        <w:jc w:val="both"/>
        <w:rPr>
          <w:rFonts w:ascii="Times New Roman" w:hAnsi="Times New Roman" w:cs="Times New Roman"/>
          <w:iCs/>
          <w:sz w:val="24"/>
          <w:szCs w:val="24"/>
          <w:lang w:val="es-ES_tradnl"/>
        </w:rPr>
      </w:pPr>
    </w:p>
    <w:p w:rsidR="00F12C6E" w:rsidRPr="00F12C6E" w:rsidRDefault="00F12C6E" w:rsidP="00F12C6E">
      <w:pPr>
        <w:jc w:val="both"/>
        <w:rPr>
          <w:rFonts w:ascii="Times New Roman" w:hAnsi="Times New Roman" w:cs="Times New Roman"/>
          <w:iCs/>
          <w:sz w:val="24"/>
          <w:szCs w:val="24"/>
          <w:lang w:val="es-ES_tradnl"/>
        </w:rPr>
      </w:pPr>
      <w:r w:rsidRPr="00F12C6E">
        <w:rPr>
          <w:rFonts w:ascii="Times New Roman" w:hAnsi="Times New Roman" w:cs="Times New Roman"/>
          <w:iCs/>
          <w:sz w:val="24"/>
          <w:szCs w:val="24"/>
          <w:lang w:val="es-ES_tradnl"/>
        </w:rPr>
        <w:t xml:space="preserve">Tabla 5. Impacto ambiental anual de los procesos considerados. </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977"/>
        <w:gridCol w:w="1429"/>
        <w:gridCol w:w="1429"/>
        <w:gridCol w:w="1429"/>
        <w:gridCol w:w="1429"/>
      </w:tblGrid>
      <w:tr w:rsidR="00F12C6E" w:rsidRPr="00F12C6E" w:rsidTr="00033F0F">
        <w:trPr>
          <w:trHeight w:val="548"/>
        </w:trPr>
        <w:tc>
          <w:tcPr>
            <w:tcW w:w="0" w:type="auto"/>
            <w:tcBorders>
              <w:bottom w:val="single" w:sz="4" w:space="0" w:color="auto"/>
            </w:tcBorders>
            <w:shd w:val="clear" w:color="auto" w:fill="auto"/>
            <w:noWrap/>
            <w:hideMark/>
          </w:tcPr>
          <w:p w:rsidR="00F12C6E" w:rsidRPr="00F12C6E" w:rsidRDefault="00F12C6E" w:rsidP="00033F0F">
            <w:pPr>
              <w:ind w:left="-10" w:hanging="109"/>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Proceso</w:t>
            </w:r>
          </w:p>
        </w:tc>
        <w:tc>
          <w:tcPr>
            <w:tcW w:w="0" w:type="auto"/>
            <w:tcBorders>
              <w:bottom w:val="single" w:sz="4" w:space="0" w:color="auto"/>
            </w:tcBorders>
            <w:shd w:val="clear" w:color="auto" w:fill="auto"/>
            <w:noWrap/>
            <w:hideMark/>
          </w:tcPr>
          <w:p w:rsidR="00F12C6E" w:rsidRPr="00F12C6E" w:rsidRDefault="00F12C6E" w:rsidP="00033F0F">
            <w:pPr>
              <w:ind w:hanging="284"/>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CE</w:t>
            </w:r>
          </w:p>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iCs/>
                <w:sz w:val="24"/>
                <w:szCs w:val="24"/>
                <w:lang w:val="es-ES_tradnl"/>
              </w:rPr>
              <w:t>(eco-puntos)</w:t>
            </w:r>
          </w:p>
        </w:tc>
        <w:tc>
          <w:tcPr>
            <w:tcW w:w="0" w:type="auto"/>
            <w:tcBorders>
              <w:bottom w:val="single" w:sz="4" w:space="0" w:color="auto"/>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SH</w:t>
            </w:r>
          </w:p>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iCs/>
                <w:sz w:val="24"/>
                <w:szCs w:val="24"/>
                <w:lang w:val="es-ES_tradnl"/>
              </w:rPr>
              <w:t>(eco-puntos)</w:t>
            </w:r>
          </w:p>
        </w:tc>
        <w:tc>
          <w:tcPr>
            <w:tcW w:w="0" w:type="auto"/>
            <w:tcBorders>
              <w:bottom w:val="single" w:sz="4" w:space="0" w:color="auto"/>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R</w:t>
            </w:r>
          </w:p>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iCs/>
                <w:sz w:val="24"/>
                <w:szCs w:val="24"/>
                <w:lang w:val="es-ES_tradnl"/>
              </w:rPr>
              <w:t>(eco-puntos)</w:t>
            </w:r>
          </w:p>
        </w:tc>
        <w:tc>
          <w:tcPr>
            <w:tcW w:w="0" w:type="auto"/>
            <w:tcBorders>
              <w:bottom w:val="single" w:sz="4" w:space="0" w:color="auto"/>
            </w:tcBorders>
            <w:shd w:val="clear" w:color="auto" w:fill="auto"/>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eastAsia="en-GB"/>
              </w:rPr>
              <w:t>Ec</w:t>
            </w:r>
          </w:p>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iCs/>
                <w:sz w:val="24"/>
                <w:szCs w:val="24"/>
                <w:lang w:val="es-ES_tradnl"/>
              </w:rPr>
              <w:t>(eco-puntos)</w:t>
            </w:r>
          </w:p>
        </w:tc>
      </w:tr>
      <w:tr w:rsidR="00F12C6E" w:rsidRPr="00F12C6E" w:rsidTr="00033F0F">
        <w:trPr>
          <w:trHeight w:val="300"/>
        </w:trPr>
        <w:tc>
          <w:tcPr>
            <w:tcW w:w="0" w:type="auto"/>
            <w:tcBorders>
              <w:top w:val="single" w:sz="4" w:space="0" w:color="auto"/>
              <w:bottom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P-1</w:t>
            </w:r>
          </w:p>
        </w:tc>
        <w:tc>
          <w:tcPr>
            <w:tcW w:w="0" w:type="auto"/>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11</w:t>
            </w:r>
          </w:p>
        </w:tc>
        <w:tc>
          <w:tcPr>
            <w:tcW w:w="0" w:type="auto"/>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34</w:t>
            </w:r>
          </w:p>
        </w:tc>
        <w:tc>
          <w:tcPr>
            <w:tcW w:w="0" w:type="auto"/>
            <w:tcBorders>
              <w:top w:val="single" w:sz="4" w:space="0" w:color="auto"/>
              <w:bottom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18</w:t>
            </w:r>
          </w:p>
        </w:tc>
        <w:tc>
          <w:tcPr>
            <w:tcW w:w="0" w:type="auto"/>
            <w:tcBorders>
              <w:top w:val="single" w:sz="4" w:space="0" w:color="auto"/>
              <w:bottom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0" w:type="auto"/>
            <w:tcBorders>
              <w:top w:val="nil"/>
            </w:tcBorders>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P-2</w:t>
            </w:r>
          </w:p>
        </w:tc>
        <w:tc>
          <w:tcPr>
            <w:tcW w:w="0" w:type="auto"/>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0" w:type="auto"/>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49</w:t>
            </w:r>
          </w:p>
        </w:tc>
        <w:tc>
          <w:tcPr>
            <w:tcW w:w="0" w:type="auto"/>
            <w:tcBorders>
              <w:top w:val="nil"/>
            </w:tcBorders>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59</w:t>
            </w:r>
          </w:p>
        </w:tc>
        <w:tc>
          <w:tcPr>
            <w:tcW w:w="0" w:type="auto"/>
            <w:tcBorders>
              <w:top w:val="nil"/>
            </w:tcBorders>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64</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P-3</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70</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59</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P-4</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22</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5660</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377</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6017</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P-5</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114</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39854</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215</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39999</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P-6</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179</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63079</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315</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63236</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P-7</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208</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72702</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358</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72908</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P-8</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313</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46</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sz w:val="24"/>
                <w:szCs w:val="24"/>
                <w:lang w:val="es-ES_tradnl"/>
              </w:rPr>
            </w:pPr>
            <w:r w:rsidRPr="00F12C6E">
              <w:rPr>
                <w:rFonts w:ascii="Times New Roman" w:hAnsi="Times New Roman" w:cs="Times New Roman"/>
                <w:color w:val="000000"/>
                <w:sz w:val="24"/>
                <w:szCs w:val="24"/>
                <w:lang w:val="es-ES_tradnl"/>
              </w:rPr>
              <w:t>P-9</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0.3</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23</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18</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0</w:t>
            </w:r>
          </w:p>
        </w:tc>
      </w:tr>
      <w:tr w:rsidR="00F12C6E" w:rsidRPr="00F12C6E" w:rsidTr="00033F0F">
        <w:trPr>
          <w:trHeight w:val="300"/>
        </w:trPr>
        <w:tc>
          <w:tcPr>
            <w:tcW w:w="0" w:type="auto"/>
            <w:shd w:val="clear" w:color="auto" w:fill="auto"/>
            <w:noWrap/>
            <w:hideMark/>
          </w:tcPr>
          <w:p w:rsidR="00F12C6E" w:rsidRPr="00F12C6E" w:rsidRDefault="00F12C6E" w:rsidP="00033F0F">
            <w:pPr>
              <w:jc w:val="both"/>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eastAsia="en-GB"/>
              </w:rPr>
            </w:pPr>
            <w:r w:rsidRPr="00F12C6E">
              <w:rPr>
                <w:rFonts w:ascii="Times New Roman" w:hAnsi="Times New Roman" w:cs="Times New Roman"/>
                <w:color w:val="000000"/>
                <w:sz w:val="24"/>
                <w:szCs w:val="24"/>
                <w:lang w:val="es-ES_tradnl"/>
              </w:rPr>
              <w:t>P-10</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4256</w:t>
            </w:r>
          </w:p>
        </w:tc>
        <w:tc>
          <w:tcPr>
            <w:tcW w:w="0" w:type="auto"/>
            <w:shd w:val="clear" w:color="auto" w:fill="auto"/>
            <w:noWrap/>
            <w:hideMark/>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1,20</w:t>
            </w:r>
          </w:p>
        </w:tc>
        <w:tc>
          <w:tcPr>
            <w:tcW w:w="0" w:type="auto"/>
          </w:tcPr>
          <w:p w:rsidR="00F12C6E" w:rsidRPr="00F12C6E" w:rsidRDefault="00F12C6E" w:rsidP="00033F0F">
            <w:pPr>
              <w:jc w:val="center"/>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1,15</w:t>
            </w:r>
          </w:p>
        </w:tc>
      </w:tr>
    </w:tbl>
    <w:p w:rsidR="00F12C6E" w:rsidRPr="00F12C6E" w:rsidRDefault="00F12C6E" w:rsidP="00F12C6E">
      <w:pPr>
        <w:jc w:val="both"/>
        <w:rPr>
          <w:rFonts w:ascii="Times New Roman" w:hAnsi="Times New Roman" w:cs="Times New Roman"/>
          <w:color w:val="000000"/>
          <w:sz w:val="24"/>
          <w:szCs w:val="24"/>
          <w:lang w:val="es-ES_tradnl"/>
        </w:rPr>
      </w:pPr>
      <w:r w:rsidRPr="00F12C6E">
        <w:rPr>
          <w:rFonts w:ascii="Times New Roman" w:hAnsi="Times New Roman" w:cs="Times New Roman"/>
          <w:color w:val="000000"/>
          <w:sz w:val="24"/>
          <w:szCs w:val="24"/>
          <w:lang w:val="es-ES_tradnl"/>
        </w:rPr>
        <w:t xml:space="preserve">CE: calidad del ecosistema; SH: Salud humana; R: recursos; Ec: eco-eficiencia. </w:t>
      </w:r>
    </w:p>
    <w:p w:rsidR="00F12C6E" w:rsidRPr="00F12C6E" w:rsidRDefault="00F12C6E" w:rsidP="00F12C6E">
      <w:pPr>
        <w:jc w:val="both"/>
        <w:rPr>
          <w:rFonts w:ascii="Times New Roman" w:hAnsi="Times New Roman" w:cs="Times New Roman"/>
          <w:b/>
          <w:sz w:val="24"/>
          <w:szCs w:val="24"/>
          <w:lang w:val="es-ES_tradnl"/>
        </w:rPr>
      </w:pPr>
      <w:r w:rsidRPr="00F12C6E">
        <w:rPr>
          <w:rFonts w:ascii="Times New Roman" w:hAnsi="Times New Roman" w:cs="Times New Roman"/>
          <w:sz w:val="24"/>
          <w:szCs w:val="24"/>
          <w:lang w:val="es-ES_tradnl"/>
        </w:rPr>
        <w:t>Fuente: elaboración propia.</w:t>
      </w:r>
    </w:p>
    <w:p w:rsidR="00F12C6E" w:rsidRPr="00F12C6E" w:rsidRDefault="00F12C6E" w:rsidP="00F12C6E">
      <w:pPr>
        <w:spacing w:before="120"/>
        <w:jc w:val="both"/>
        <w:rPr>
          <w:rFonts w:ascii="Times New Roman" w:hAnsi="Times New Roman" w:cs="Times New Roman"/>
          <w:b/>
          <w:sz w:val="24"/>
          <w:szCs w:val="24"/>
          <w:lang w:val="es-ES_tradnl"/>
        </w:rPr>
      </w:pPr>
    </w:p>
    <w:p w:rsidR="00F12C6E" w:rsidRPr="00F12C6E" w:rsidRDefault="00F12C6E" w:rsidP="00F12C6E">
      <w:pPr>
        <w:pStyle w:val="Prrafodelista"/>
        <w:numPr>
          <w:ilvl w:val="0"/>
          <w:numId w:val="5"/>
        </w:numPr>
        <w:spacing w:after="0" w:line="240" w:lineRule="auto"/>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Paso 4. Determinar el peso de cada criterio</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Para el cálculo del peso de cada criterio se aplicó el método de </w:t>
      </w:r>
      <w:r w:rsidRPr="00F12C6E">
        <w:rPr>
          <w:rFonts w:ascii="Times New Roman" w:hAnsi="Times New Roman" w:cs="Times New Roman"/>
          <w:sz w:val="24"/>
          <w:szCs w:val="24"/>
          <w:lang w:val="es-ES_tradnl"/>
        </w:rPr>
        <w:fldChar w:fldCharType="begin" w:fldLock="1"/>
      </w:r>
      <w:r w:rsidRPr="00F12C6E">
        <w:rPr>
          <w:rFonts w:ascii="Times New Roman" w:hAnsi="Times New Roman" w:cs="Times New Roman"/>
          <w:sz w:val="24"/>
          <w:szCs w:val="24"/>
          <w:lang w:val="es-ES_tradnl"/>
        </w:rPr>
        <w:instrText>ADDIN CSL_CITATION {"citationItems":[{"id":"ITEM-1","itemData":{"author":[{"dropping-particle":"","family":"Diakoulaki","given":"D","non-dropping-particle":"","parse-names":false,"suffix":""},{"dropping-particle":"","family":"Mavrotas","given":"G","non-dropping-particle":"","parse-names":false,"suffix":""},{"dropping-particle":"","family":"Papayannakis","given":"L","non-dropping-particle":"","parse-names":false,"suffix":""}],"container-title":"Computers &amp; Operations Research","id":"ITEM-1","issue":"7","issued":{"date-parts":[["1995"]]},"page":"763-770","title":"Determining objective weights in multiple criteria problems: the CRITIC method","type":"article-journal","volume":"22"},"uris":["http://www.mendeley.com/documents/?uuid=6b9464c6-d24f-4146-a5e1-f415c33a7e79"]}],"mendeley":{"formattedCitation":"(Diakoulaki et al., 1995)","plainTextFormattedCitation":"(Diakoulaki et al., 1995)","previouslyFormattedCitation":"(Diakoulaki et al., 1995)"},"properties":{"noteIndex":0},"schema":"https://github.com/citation-style-language/schema/raw/master/csl-citation.json"}</w:instrText>
      </w:r>
      <w:r w:rsidRPr="00F12C6E">
        <w:rPr>
          <w:rFonts w:ascii="Times New Roman" w:hAnsi="Times New Roman" w:cs="Times New Roman"/>
          <w:sz w:val="24"/>
          <w:szCs w:val="24"/>
          <w:lang w:val="es-ES_tradnl"/>
        </w:rPr>
        <w:fldChar w:fldCharType="end"/>
      </w:r>
      <w:r w:rsidRPr="00F12C6E">
        <w:rPr>
          <w:rFonts w:ascii="Times New Roman" w:hAnsi="Times New Roman" w:cs="Times New Roman"/>
          <w:sz w:val="24"/>
          <w:szCs w:val="24"/>
          <w:lang w:val="es-ES_tradnl"/>
        </w:rPr>
        <w:fldChar w:fldCharType="begin" w:fldLock="1"/>
      </w:r>
      <w:r w:rsidRPr="00F12C6E">
        <w:rPr>
          <w:rFonts w:ascii="Times New Roman" w:hAnsi="Times New Roman" w:cs="Times New Roman"/>
          <w:sz w:val="24"/>
          <w:szCs w:val="24"/>
          <w:lang w:val="es-ES_tradnl"/>
        </w:rPr>
        <w:instrText>ADDIN CSL_CITATION {"citationItems":[{"id":"ITEM-1","itemData":{"author":[{"dropping-particle":"","family":"Saaty","given":"TL","non-dropping-particle":"","parse-names":false,"suffix":""}],"id":"ITEM-1","issued":{"date-parts":[["1980"]]},"number-of-pages":"210","publisher":"McGraw-Hill","publisher-place":"New York","title":"The Analytic Hierarchical Process","type":"book"},"uris":["http://www.mendeley.com/documents/?uuid=c08988cf-4d3d-4fb1-bfa3-b2bf048fa01a"]}],"mendeley":{"formattedCitation":"(Saaty, 1980)","manualFormatting":"Saaty (1980)","plainTextFormattedCitation":"(Saaty, 1980)","previouslyFormattedCitation":"(Saaty, 1980)"},"properties":{"noteIndex":0},"schema":"https://github.com/citation-style-language/schema/raw/master/csl-citation.json"}</w:instrText>
      </w:r>
      <w:r w:rsidRPr="00F12C6E">
        <w:rPr>
          <w:rFonts w:ascii="Times New Roman" w:hAnsi="Times New Roman" w:cs="Times New Roman"/>
          <w:sz w:val="24"/>
          <w:szCs w:val="24"/>
          <w:lang w:val="es-ES_tradnl"/>
        </w:rPr>
        <w:fldChar w:fldCharType="separate"/>
      </w:r>
      <w:r w:rsidRPr="00F12C6E">
        <w:rPr>
          <w:rFonts w:ascii="Times New Roman" w:hAnsi="Times New Roman" w:cs="Times New Roman"/>
          <w:noProof/>
          <w:sz w:val="24"/>
          <w:szCs w:val="24"/>
          <w:lang w:val="es-ES_tradnl"/>
        </w:rPr>
        <w:t>Saaty (1980)</w:t>
      </w:r>
      <w:r w:rsidRPr="00F12C6E">
        <w:rPr>
          <w:rFonts w:ascii="Times New Roman" w:hAnsi="Times New Roman" w:cs="Times New Roman"/>
          <w:sz w:val="24"/>
          <w:szCs w:val="24"/>
          <w:lang w:val="es-ES_tradnl"/>
        </w:rPr>
        <w:fldChar w:fldCharType="end"/>
      </w:r>
      <w:r w:rsidRPr="00F12C6E">
        <w:rPr>
          <w:rFonts w:ascii="Times New Roman" w:hAnsi="Times New Roman" w:cs="Times New Roman"/>
          <w:sz w:val="24"/>
          <w:szCs w:val="24"/>
          <w:lang w:val="es-ES_tradnl"/>
        </w:rPr>
        <w:t>. En la Tabla 6 se muestra el valor de los criterios de la CS estudiada y los pesos calculados para cada uno de ellos. Los resultados de cada criterio, se corresponden con los obtenidos en el paso 3 de la herramienta metodológica.</w:t>
      </w:r>
    </w:p>
    <w:p w:rsidR="00F12C6E" w:rsidRPr="00F12C6E" w:rsidRDefault="00F12C6E" w:rsidP="00F12C6E">
      <w:pPr>
        <w:jc w:val="both"/>
        <w:rPr>
          <w:rFonts w:ascii="Times New Roman" w:hAnsi="Times New Roman" w:cs="Times New Roman"/>
          <w:sz w:val="24"/>
          <w:szCs w:val="24"/>
          <w:lang w:val="es-ES_tradnl"/>
        </w:rPr>
      </w:pP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Tabla 6. Cálculo del peso de cada criterio. </w:t>
      </w:r>
    </w:p>
    <w:tbl>
      <w:tblPr>
        <w:tblStyle w:val="Tablaconcuadrcula"/>
        <w:tblW w:w="379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876"/>
        <w:gridCol w:w="876"/>
        <w:gridCol w:w="876"/>
        <w:gridCol w:w="876"/>
        <w:gridCol w:w="876"/>
      </w:tblGrid>
      <w:tr w:rsidR="00F12C6E" w:rsidRPr="00F12C6E" w:rsidTr="00033F0F">
        <w:tc>
          <w:tcPr>
            <w:tcW w:w="1984" w:type="pct"/>
            <w:tcBorders>
              <w:bottom w:val="single" w:sz="4" w:space="0" w:color="auto"/>
            </w:tcBorders>
          </w:tcPr>
          <w:p w:rsidR="00F12C6E" w:rsidRPr="00F12C6E" w:rsidRDefault="00F12C6E" w:rsidP="00033F0F">
            <w:pPr>
              <w:jc w:val="both"/>
              <w:rPr>
                <w:sz w:val="24"/>
                <w:szCs w:val="24"/>
                <w:lang w:val="es-ES_tradnl"/>
              </w:rPr>
            </w:pPr>
            <w:r w:rsidRPr="00F12C6E">
              <w:rPr>
                <w:sz w:val="24"/>
                <w:szCs w:val="24"/>
                <w:lang w:val="es-ES_tradnl"/>
              </w:rPr>
              <w:t>Productos/Criterios</w:t>
            </w:r>
          </w:p>
        </w:tc>
        <w:tc>
          <w:tcPr>
            <w:tcW w:w="540"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P</w:t>
            </w:r>
          </w:p>
        </w:tc>
        <w:tc>
          <w:tcPr>
            <w:tcW w:w="567"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NSC</w:t>
            </w:r>
          </w:p>
        </w:tc>
        <w:tc>
          <w:tcPr>
            <w:tcW w:w="697" w:type="pct"/>
            <w:tcBorders>
              <w:bottom w:val="single" w:sz="4" w:space="0" w:color="auto"/>
            </w:tcBorders>
          </w:tcPr>
          <w:p w:rsidR="00F12C6E" w:rsidRPr="00F12C6E" w:rsidRDefault="00F12C6E" w:rsidP="00033F0F">
            <w:pPr>
              <w:ind w:right="-30" w:hanging="59"/>
              <w:jc w:val="center"/>
              <w:rPr>
                <w:sz w:val="24"/>
                <w:szCs w:val="24"/>
                <w:lang w:val="es-ES_tradnl"/>
              </w:rPr>
            </w:pPr>
            <w:r w:rsidRPr="00F12C6E">
              <w:rPr>
                <w:sz w:val="24"/>
                <w:szCs w:val="24"/>
                <w:lang w:val="es-ES_tradnl"/>
              </w:rPr>
              <w:t>TVA (%)</w:t>
            </w:r>
          </w:p>
        </w:tc>
        <w:tc>
          <w:tcPr>
            <w:tcW w:w="551"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Ec. Ef</w:t>
            </w:r>
          </w:p>
        </w:tc>
        <w:tc>
          <w:tcPr>
            <w:tcW w:w="660" w:type="pct"/>
            <w:tcBorders>
              <w:bottom w:val="single" w:sz="4" w:space="0" w:color="auto"/>
            </w:tcBorders>
          </w:tcPr>
          <w:p w:rsidR="00F12C6E" w:rsidRPr="00F12C6E" w:rsidRDefault="00F12C6E" w:rsidP="00033F0F">
            <w:pPr>
              <w:jc w:val="center"/>
              <w:rPr>
                <w:sz w:val="24"/>
                <w:szCs w:val="24"/>
                <w:lang w:val="es-ES_tradnl"/>
              </w:rPr>
            </w:pPr>
            <w:r w:rsidRPr="00F12C6E">
              <w:rPr>
                <w:sz w:val="24"/>
                <w:szCs w:val="24"/>
                <w:lang w:val="es-ES_tradnl"/>
              </w:rPr>
              <w:t>ROI</w:t>
            </w:r>
          </w:p>
        </w:tc>
      </w:tr>
      <w:tr w:rsidR="00F12C6E" w:rsidRPr="00F12C6E" w:rsidTr="00033F0F">
        <w:tc>
          <w:tcPr>
            <w:tcW w:w="1984" w:type="pct"/>
            <w:tcBorders>
              <w:top w:val="single" w:sz="4" w:space="0" w:color="auto"/>
              <w:bottom w:val="nil"/>
            </w:tcBorders>
            <w:vAlign w:val="bottom"/>
          </w:tcPr>
          <w:p w:rsidR="00F12C6E" w:rsidRPr="00F12C6E" w:rsidRDefault="00F12C6E" w:rsidP="00033F0F">
            <w:pPr>
              <w:jc w:val="both"/>
              <w:rPr>
                <w:sz w:val="24"/>
                <w:szCs w:val="24"/>
                <w:lang w:val="es-ES_tradnl"/>
              </w:rPr>
            </w:pPr>
            <w:r w:rsidRPr="00F12C6E">
              <w:rPr>
                <w:color w:val="000000"/>
                <w:sz w:val="24"/>
                <w:szCs w:val="24"/>
                <w:lang w:val="es-ES_tradnl"/>
              </w:rPr>
              <w:t>Contadores de energía eléctrica</w:t>
            </w:r>
          </w:p>
        </w:tc>
        <w:tc>
          <w:tcPr>
            <w:tcW w:w="540" w:type="pct"/>
            <w:tcBorders>
              <w:top w:val="single" w:sz="4" w:space="0" w:color="auto"/>
              <w:bottom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0,766</w:t>
            </w:r>
          </w:p>
        </w:tc>
        <w:tc>
          <w:tcPr>
            <w:tcW w:w="567" w:type="pct"/>
            <w:tcBorders>
              <w:top w:val="single" w:sz="4" w:space="0" w:color="auto"/>
              <w:bottom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0,930</w:t>
            </w:r>
          </w:p>
        </w:tc>
        <w:tc>
          <w:tcPr>
            <w:tcW w:w="697" w:type="pct"/>
            <w:tcBorders>
              <w:top w:val="single" w:sz="4" w:space="0" w:color="auto"/>
              <w:bottom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0,998</w:t>
            </w:r>
          </w:p>
        </w:tc>
        <w:tc>
          <w:tcPr>
            <w:tcW w:w="551" w:type="pct"/>
            <w:tcBorders>
              <w:top w:val="single" w:sz="4" w:space="0" w:color="auto"/>
              <w:bottom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0,726</w:t>
            </w:r>
          </w:p>
        </w:tc>
        <w:tc>
          <w:tcPr>
            <w:tcW w:w="660" w:type="pct"/>
            <w:tcBorders>
              <w:top w:val="single" w:sz="4" w:space="0" w:color="auto"/>
              <w:bottom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0,0328</w:t>
            </w:r>
          </w:p>
        </w:tc>
      </w:tr>
      <w:tr w:rsidR="00F12C6E" w:rsidRPr="00F12C6E" w:rsidTr="00033F0F">
        <w:tc>
          <w:tcPr>
            <w:tcW w:w="1984" w:type="pct"/>
            <w:tcBorders>
              <w:top w:val="nil"/>
            </w:tcBorders>
            <w:vAlign w:val="bottom"/>
          </w:tcPr>
          <w:p w:rsidR="00F12C6E" w:rsidRPr="00F12C6E" w:rsidRDefault="00F12C6E" w:rsidP="00033F0F">
            <w:pPr>
              <w:jc w:val="both"/>
              <w:rPr>
                <w:color w:val="000000"/>
                <w:sz w:val="24"/>
                <w:szCs w:val="24"/>
                <w:lang w:val="es-ES_tradnl"/>
              </w:rPr>
            </w:pPr>
            <w:r w:rsidRPr="00F12C6E">
              <w:rPr>
                <w:color w:val="000000"/>
                <w:sz w:val="24"/>
                <w:szCs w:val="24"/>
                <w:lang w:val="es-ES_tradnl"/>
              </w:rPr>
              <w:t>Pesos</w:t>
            </w:r>
          </w:p>
        </w:tc>
        <w:tc>
          <w:tcPr>
            <w:tcW w:w="540" w:type="pct"/>
            <w:tcBorders>
              <w:top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0,2391</w:t>
            </w:r>
          </w:p>
        </w:tc>
        <w:tc>
          <w:tcPr>
            <w:tcW w:w="567" w:type="pct"/>
            <w:tcBorders>
              <w:top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0,2552</w:t>
            </w:r>
          </w:p>
        </w:tc>
        <w:tc>
          <w:tcPr>
            <w:tcW w:w="697" w:type="pct"/>
            <w:tcBorders>
              <w:top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0,1015</w:t>
            </w:r>
          </w:p>
        </w:tc>
        <w:tc>
          <w:tcPr>
            <w:tcW w:w="551" w:type="pct"/>
            <w:tcBorders>
              <w:top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0,1934</w:t>
            </w:r>
          </w:p>
        </w:tc>
        <w:tc>
          <w:tcPr>
            <w:tcW w:w="660" w:type="pct"/>
            <w:tcBorders>
              <w:top w:val="nil"/>
            </w:tcBorders>
            <w:vAlign w:val="bottom"/>
          </w:tcPr>
          <w:p w:rsidR="00F12C6E" w:rsidRPr="00F12C6E" w:rsidRDefault="00F12C6E" w:rsidP="00033F0F">
            <w:pPr>
              <w:jc w:val="center"/>
              <w:rPr>
                <w:color w:val="000000"/>
                <w:sz w:val="24"/>
                <w:szCs w:val="24"/>
                <w:lang w:val="es-ES_tradnl"/>
              </w:rPr>
            </w:pPr>
            <w:r w:rsidRPr="00F12C6E">
              <w:rPr>
                <w:color w:val="000000"/>
                <w:sz w:val="24"/>
                <w:szCs w:val="24"/>
                <w:lang w:val="es-ES_tradnl"/>
              </w:rPr>
              <w:t>0,2107</w:t>
            </w:r>
          </w:p>
        </w:tc>
      </w:tr>
    </w:tbl>
    <w:p w:rsidR="00F12C6E" w:rsidRPr="00F12C6E" w:rsidRDefault="00F12C6E" w:rsidP="00F12C6E">
      <w:pPr>
        <w:spacing w:before="120"/>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Fuente: elaboración propia.</w:t>
      </w:r>
    </w:p>
    <w:p w:rsidR="00F12C6E" w:rsidRPr="00F12C6E" w:rsidRDefault="00F12C6E" w:rsidP="00F12C6E">
      <w:pPr>
        <w:spacing w:before="120"/>
        <w:jc w:val="both"/>
        <w:rPr>
          <w:rFonts w:ascii="Times New Roman" w:hAnsi="Times New Roman" w:cs="Times New Roman"/>
          <w:b/>
          <w:sz w:val="24"/>
          <w:szCs w:val="24"/>
          <w:lang w:val="es-ES_tradnl"/>
        </w:rPr>
      </w:pPr>
    </w:p>
    <w:p w:rsidR="00F12C6E" w:rsidRPr="00F12C6E" w:rsidRDefault="00F12C6E" w:rsidP="00F12C6E">
      <w:pPr>
        <w:pStyle w:val="Prrafodelista"/>
        <w:numPr>
          <w:ilvl w:val="0"/>
          <w:numId w:val="5"/>
        </w:numPr>
        <w:spacing w:after="0" w:line="240" w:lineRule="auto"/>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Paso 5. Calcular SCPI</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Se procede al cálculo del SCPI que integra todos los criterios considerando el aporte de cada uno a la sostenibilidad de la CS. La Figura 4 muestra este resultado. Se puede observar para cada criterio el peso ponderado y el valor obtenido del criterio en los pasos anteriores (Tabla 6), conjuntamente con su evaluación. </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noProof/>
          <w:sz w:val="24"/>
          <w:szCs w:val="24"/>
          <w:lang w:eastAsia="es-ES"/>
        </w:rPr>
        <w:drawing>
          <wp:inline distT="0" distB="0" distL="0" distR="0" wp14:anchorId="28541309" wp14:editId="3C6B0834">
            <wp:extent cx="6105525" cy="29337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F12C6E" w:rsidRPr="00F12C6E" w:rsidRDefault="00F12C6E" w:rsidP="00F12C6E">
      <w:pPr>
        <w:spacing w:line="240" w:lineRule="auto"/>
        <w:jc w:val="both"/>
        <w:rPr>
          <w:rFonts w:ascii="Times New Roman" w:hAnsi="Times New Roman" w:cs="Times New Roman"/>
          <w:sz w:val="20"/>
          <w:szCs w:val="20"/>
          <w:lang w:val="es-ES_tradnl"/>
        </w:rPr>
      </w:pPr>
      <w:r w:rsidRPr="00F12C6E">
        <w:rPr>
          <w:rFonts w:ascii="Times New Roman" w:hAnsi="Times New Roman" w:cs="Times New Roman"/>
          <w:sz w:val="20"/>
          <w:szCs w:val="20"/>
          <w:lang w:val="es-ES_tradnl"/>
        </w:rPr>
        <w:t xml:space="preserve">Figura 4. Datos para el cálculo del SCPI. </w:t>
      </w:r>
    </w:p>
    <w:p w:rsidR="00F12C6E" w:rsidRPr="00F12C6E" w:rsidRDefault="00F12C6E" w:rsidP="00F12C6E">
      <w:pPr>
        <w:spacing w:line="240" w:lineRule="auto"/>
        <w:jc w:val="both"/>
        <w:rPr>
          <w:rFonts w:ascii="Times New Roman" w:hAnsi="Times New Roman" w:cs="Times New Roman"/>
          <w:sz w:val="20"/>
          <w:szCs w:val="20"/>
          <w:lang w:val="es-ES_tradnl"/>
        </w:rPr>
      </w:pPr>
      <w:r w:rsidRPr="00F12C6E">
        <w:rPr>
          <w:rFonts w:ascii="Times New Roman" w:hAnsi="Times New Roman" w:cs="Times New Roman"/>
          <w:sz w:val="20"/>
          <w:szCs w:val="20"/>
          <w:lang w:val="es-ES_tradnl"/>
        </w:rPr>
        <w:t>Fuente: elaboración propia.</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 xml:space="preserve">Aplicando la expresión (12) se obtuvo un valor de SCPI de 0,561. Según la escala propuesta (Tabla 1) el desempeño de la CS es Regular. Este resultado refleja la necesidad de buscar las causas y aplicar mejoras para toda la CS. El peor comportamiento lo muestran los criterios eco-eficiencia y rentabilidad. Luego de propuestas las mejoras, se aplica nuevamente la metodología y de ser positivo su impacto se pone en práctica. En un estudio posterior realizado por </w:t>
      </w:r>
      <w:r w:rsidRPr="00F12C6E">
        <w:rPr>
          <w:rFonts w:ascii="Times New Roman" w:hAnsi="Times New Roman" w:cs="Times New Roman"/>
          <w:sz w:val="24"/>
          <w:szCs w:val="24"/>
          <w:lang w:val="es-ES_tradnl"/>
        </w:rPr>
        <w:fldChar w:fldCharType="begin" w:fldLock="1"/>
      </w:r>
      <w:r w:rsidRPr="00F12C6E">
        <w:rPr>
          <w:rFonts w:ascii="Times New Roman" w:hAnsi="Times New Roman" w:cs="Times New Roman"/>
          <w:sz w:val="24"/>
          <w:szCs w:val="24"/>
          <w:lang w:val="es-ES_tradnl"/>
        </w:rPr>
        <w:instrText>ADDIN CSL_CITATION {"citationItems":[{"id":"ITEM-1","itemData":{"author":[{"dropping-particle":"","family":"Vinajera-Zamora","given":"Andrey","non-dropping-particle":"","parse-names":false,"suffix":""},{"dropping-particle":"","family":"Sarache-Castro","given":"William","non-dropping-particle":"","parse-names":false,"suffix":""},{"dropping-particle":"","family":"Cespón-Castro","given":"Roberto","non-dropping-particle":"","parse-names":false,"suffix":""},{"dropping-particle":"","family":"Marrero-Delgado","given":"Fernando","non-dropping-particle":"","parse-names":false,"suffix":""}],"container-title":"IX Conferencia Internacional de Ciencias Empresariales","id":"ITEM-1","issued":{"date-parts":[["2014"]]},"page":"1-11","publisher":"Editorial Feijoo","publisher-place":"Santa Clara,Cuba","title":"Diagnóstico del desempeño de la cadena de suministro de productos electromecanicos. Estudio de casos","type":"paper-conference"},"uris":["http://www.mendeley.com/documents/?uuid=81eaa665-bcab-45f5-a45d-11f8042f28b5"]}],"mendeley":{"formattedCitation":"(Vinajera-Zamora, Sarache-Castro, Cespón-Castro, &amp; Marrero-Delgado, 2014)","manualFormatting":"Vinajera-Zamora, Sarache-Castro,  Cespón-Castro y Marrero-Delgado (2014)","plainTextFormattedCitation":"(Vinajera-Zamora, Sarache-Castro, Cespón-Castro, &amp; Marrero-Delgado, 2014)","previouslyFormattedCitation":"(Vinajera-Zamora, Sarache-Castro, Cespón-Castro, &amp; Marrero-Delgado, 2014)"},"properties":{"noteIndex":0},"schema":"https://github.com/citation-style-language/schema/raw/master/csl-citation.json"}</w:instrText>
      </w:r>
      <w:r w:rsidRPr="00F12C6E">
        <w:rPr>
          <w:rFonts w:ascii="Times New Roman" w:hAnsi="Times New Roman" w:cs="Times New Roman"/>
          <w:sz w:val="24"/>
          <w:szCs w:val="24"/>
          <w:lang w:val="es-ES_tradnl"/>
        </w:rPr>
        <w:fldChar w:fldCharType="separate"/>
      </w:r>
      <w:r w:rsidRPr="00F12C6E">
        <w:rPr>
          <w:rFonts w:ascii="Times New Roman" w:hAnsi="Times New Roman" w:cs="Times New Roman"/>
          <w:noProof/>
          <w:sz w:val="24"/>
          <w:szCs w:val="24"/>
          <w:lang w:val="es-ES_tradnl"/>
        </w:rPr>
        <w:t xml:space="preserve">Vinajera-Zamora, Sarache-Castro,  Cespón-Castro y </w:t>
      </w:r>
      <w:r w:rsidRPr="00F12C6E">
        <w:rPr>
          <w:rFonts w:ascii="Times New Roman" w:hAnsi="Times New Roman" w:cs="Times New Roman"/>
          <w:noProof/>
          <w:sz w:val="24"/>
          <w:szCs w:val="24"/>
          <w:lang w:val="es-ES_tradnl"/>
        </w:rPr>
        <w:lastRenderedPageBreak/>
        <w:t>Marrero-Delgado (2014)</w:t>
      </w:r>
      <w:r w:rsidRPr="00F12C6E">
        <w:rPr>
          <w:rFonts w:ascii="Times New Roman" w:hAnsi="Times New Roman" w:cs="Times New Roman"/>
          <w:sz w:val="24"/>
          <w:szCs w:val="24"/>
          <w:lang w:val="es-ES_tradnl"/>
        </w:rPr>
        <w:fldChar w:fldCharType="end"/>
      </w:r>
      <w:r w:rsidRPr="00F12C6E">
        <w:rPr>
          <w:rFonts w:ascii="Times New Roman" w:hAnsi="Times New Roman" w:cs="Times New Roman"/>
          <w:sz w:val="24"/>
          <w:szCs w:val="24"/>
          <w:lang w:val="es-ES_tradnl"/>
        </w:rPr>
        <w:t>, se detectaron las principales causas de este comportamiento y las acciones de mejora emprendidas fueron:</w:t>
      </w:r>
    </w:p>
    <w:p w:rsidR="00F12C6E" w:rsidRP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-La cantidad de productos que se deben recuperar por fallas humanas y del equipo. Esto implicó el comienzo de un programa de capacitación, de revisión del sistema de mantenimiento implantado y adecuación de los puntos de control de la calidad.</w:t>
      </w:r>
    </w:p>
    <w:p w:rsidR="00F12C6E" w:rsidRDefault="00F12C6E" w:rsidP="00F12C6E">
      <w:pPr>
        <w:jc w:val="both"/>
        <w:rPr>
          <w:rFonts w:ascii="Times New Roman" w:hAnsi="Times New Roman" w:cs="Times New Roman"/>
          <w:sz w:val="24"/>
          <w:szCs w:val="24"/>
          <w:lang w:val="es-ES_tradnl"/>
        </w:rPr>
      </w:pPr>
      <w:r w:rsidRPr="00F12C6E">
        <w:rPr>
          <w:rFonts w:ascii="Times New Roman" w:hAnsi="Times New Roman" w:cs="Times New Roman"/>
          <w:sz w:val="24"/>
          <w:szCs w:val="24"/>
          <w:lang w:val="es-ES_tradnl"/>
        </w:rPr>
        <w:t>-La existencia de reservas de capacidad tanto de equipos como de obreros, unido a dificultades de financiamiento para la compra de nuevos insumos. Como acción de mejora, se inició un estudio para el desarrollo de la CS inversa, que permitió la recuperación de los productos dañados utilizados por la población.</w:t>
      </w:r>
    </w:p>
    <w:p w:rsidR="00F12C6E" w:rsidRPr="00F9373E" w:rsidRDefault="00F12C6E" w:rsidP="00F12C6E">
      <w:pPr>
        <w:ind w:left="-90"/>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t xml:space="preserve">La herramienta metodológica y el SCPI propuestos permitieron medir el desempeño de la CS tomada como objeto de estudio práctico, utilizando métodos basados en múltiples criterios, con orientación a procesos y considerando las dimensiones económica, ambiental y social. Con ello, se logra llenar el vacío de conocimiento dejado por las metodologías y aplicaciones que lo precedieron planteados en la figura 1. </w:t>
      </w:r>
    </w:p>
    <w:p w:rsidR="00F12C6E" w:rsidRPr="00F9373E" w:rsidRDefault="00F12C6E" w:rsidP="00F12C6E">
      <w:pPr>
        <w:ind w:left="-90"/>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t>La CS estudiada fue evaluada de regular, según el SCPI propuesto, siendo los criterios de eco-eficiencia y rentabilidad los principales responsables de este comportamiento. Además, fue posible medir el acierto en las acciones de mejora emprendidas, no solo en los mencionados criterios, sino sobre la sostenibilidad de toda la CSS.  Los resultados mostrados, son flexibles de aplicar en otras CS con las modificaciones correspondientes, garantizando su mejora continua.</w:t>
      </w:r>
    </w:p>
    <w:p w:rsidR="00F12C6E" w:rsidRPr="00F9373E" w:rsidRDefault="00F12C6E" w:rsidP="00F12C6E">
      <w:pPr>
        <w:ind w:left="-90"/>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t xml:space="preserve">Este trabajo, al igual que otros desarrollados con fines similares, tiene como limitante que, a nivel mundial, la mayor parte de las CS miden su desempeño considerando esencialmente el criterio económico, lo que dificulta realizar comparaciones en el corto plazo. Sin embargo, todo apunta a que las CSS terminarán predominando. </w:t>
      </w:r>
    </w:p>
    <w:p w:rsidR="00F12C6E" w:rsidRPr="00F12C6E" w:rsidRDefault="00F12C6E" w:rsidP="00F12C6E">
      <w:pPr>
        <w:jc w:val="both"/>
        <w:rPr>
          <w:rFonts w:ascii="Times New Roman" w:hAnsi="Times New Roman" w:cs="Times New Roman"/>
          <w:sz w:val="24"/>
          <w:szCs w:val="24"/>
          <w:lang w:val="es-ES_tradnl"/>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9373E" w:rsidRPr="00F9373E" w:rsidRDefault="00F9373E" w:rsidP="00F9373E">
      <w:pPr>
        <w:autoSpaceDE w:val="0"/>
        <w:autoSpaceDN w:val="0"/>
        <w:adjustRightInd w:val="0"/>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t>La literatura especializada y la práctica empresarial, reconocen la importancia de medir el desempeño de las CS y transitar hacia CSS. Al respecto, existen</w:t>
      </w:r>
      <w:r w:rsidRPr="00F9373E">
        <w:rPr>
          <w:rFonts w:ascii="Times New Roman" w:hAnsi="Times New Roman" w:cs="Times New Roman"/>
          <w:color w:val="FF0000"/>
          <w:sz w:val="24"/>
          <w:szCs w:val="24"/>
          <w:highlight w:val="yellow"/>
          <w:lang w:val="es-ES_tradnl"/>
        </w:rPr>
        <w:t xml:space="preserve"> </w:t>
      </w:r>
      <w:r w:rsidRPr="00F9373E">
        <w:rPr>
          <w:rFonts w:ascii="Times New Roman" w:hAnsi="Times New Roman" w:cs="Times New Roman"/>
          <w:sz w:val="24"/>
          <w:szCs w:val="24"/>
          <w:highlight w:val="yellow"/>
          <w:lang w:val="es-ES_tradnl"/>
        </w:rPr>
        <w:t>aportes</w:t>
      </w:r>
      <w:r w:rsidRPr="00F9373E">
        <w:rPr>
          <w:rFonts w:ascii="Times New Roman" w:hAnsi="Times New Roman" w:cs="Times New Roman"/>
          <w:sz w:val="24"/>
          <w:szCs w:val="24"/>
          <w:lang w:val="es-ES_tradnl"/>
        </w:rPr>
        <w:t xml:space="preserve"> importantes que constituyeron el punto de partida del presente trabajo, conjuntamente con la situación problemática definida en la CS estudiada.  </w:t>
      </w:r>
    </w:p>
    <w:p w:rsidR="00F9373E" w:rsidRPr="00F9373E" w:rsidRDefault="00F9373E" w:rsidP="00F9373E">
      <w:pPr>
        <w:autoSpaceDE w:val="0"/>
        <w:autoSpaceDN w:val="0"/>
        <w:adjustRightInd w:val="0"/>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t xml:space="preserve">Esta investigación cubre el vacío de conocimiento dejado por los autores consultados en la bibliografía especializada en la medición del desempeño de CSS, facilitando su monitoreo y mejoramiento continuo.  Presenta como novedad la integración del enfoque a procesos, los métodos basados en múltiples criterios y la sostenibilidad. Además, el SCPI obtenido permite tomar decisiones sobre toda la CS de forma integral, considerando las situaciones de conflicto que se puedan presentar. </w:t>
      </w:r>
    </w:p>
    <w:p w:rsidR="00F9373E" w:rsidRPr="00F9373E" w:rsidRDefault="00F9373E" w:rsidP="00F9373E">
      <w:pPr>
        <w:jc w:val="both"/>
        <w:rPr>
          <w:rFonts w:ascii="Times New Roman" w:hAnsi="Times New Roman" w:cs="Times New Roman"/>
          <w:sz w:val="24"/>
          <w:szCs w:val="24"/>
          <w:lang w:val="es-ES_tradnl"/>
        </w:rPr>
      </w:pPr>
      <w:r w:rsidRPr="00F9373E">
        <w:rPr>
          <w:rFonts w:ascii="Times New Roman" w:hAnsi="Times New Roman" w:cs="Times New Roman"/>
          <w:sz w:val="24"/>
          <w:szCs w:val="24"/>
          <w:lang w:val="es-ES_tradnl"/>
        </w:rPr>
        <w:lastRenderedPageBreak/>
        <w:t xml:space="preserve">Resultaría interesante, el desarrollo de trabajos similares para evaluar CSS con enfoque a procesos, con el empleo de otros métodos como los estadísticos y la lógica difusa por solo citar algunos. Sin embargo, conjuntamente con la necesaria generalización de trabajos como el presentado, el mayor reto se encuentra en las investigaciones de la dimensión social de la CS, pues posee aún muchas aristas en las que se debe profundizar. </w:t>
      </w:r>
    </w:p>
    <w:p w:rsidR="00FF3346" w:rsidRPr="00F9373E" w:rsidRDefault="00FF3346" w:rsidP="00FF3346">
      <w:pPr>
        <w:spacing w:after="0" w:line="360" w:lineRule="auto"/>
        <w:jc w:val="both"/>
        <w:rPr>
          <w:rFonts w:ascii="Times New Roman" w:hAnsi="Times New Roman" w:cs="Times New Roman"/>
          <w:sz w:val="24"/>
          <w:szCs w:val="24"/>
          <w:lang w:val="es-ES_tradnl"/>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highlight w:val="yellow"/>
          <w:lang w:val="en-US"/>
        </w:rPr>
      </w:pPr>
      <w:r w:rsidRPr="00F9373E">
        <w:rPr>
          <w:rFonts w:ascii="Times New Roman" w:hAnsi="Times New Roman" w:cs="Times New Roman"/>
          <w:sz w:val="24"/>
          <w:szCs w:val="24"/>
          <w:highlight w:val="yellow"/>
          <w:lang w:val="es-ES_tradnl"/>
        </w:rPr>
        <w:fldChar w:fldCharType="begin" w:fldLock="1"/>
      </w:r>
      <w:r w:rsidRPr="00F56AEF">
        <w:rPr>
          <w:rFonts w:ascii="Times New Roman" w:hAnsi="Times New Roman" w:cs="Times New Roman"/>
          <w:sz w:val="24"/>
          <w:szCs w:val="24"/>
          <w:highlight w:val="yellow"/>
        </w:rPr>
        <w:instrText xml:space="preserve">ADDIN Mendeley Bibliography CSL_BIBLIOGRAPHY </w:instrText>
      </w:r>
      <w:r w:rsidRPr="00F9373E">
        <w:rPr>
          <w:rFonts w:ascii="Times New Roman" w:hAnsi="Times New Roman" w:cs="Times New Roman"/>
          <w:sz w:val="24"/>
          <w:szCs w:val="24"/>
          <w:highlight w:val="yellow"/>
          <w:lang w:val="es-ES_tradnl"/>
        </w:rPr>
        <w:fldChar w:fldCharType="separate"/>
      </w:r>
      <w:r w:rsidRPr="00F56AEF">
        <w:rPr>
          <w:rFonts w:ascii="Times New Roman" w:hAnsi="Times New Roman" w:cs="Times New Roman"/>
          <w:noProof/>
          <w:sz w:val="24"/>
          <w:szCs w:val="24"/>
        </w:rPr>
        <w:t xml:space="preserve">Acquaye, A., Ibn-Mohammed, T., Genovese, A., Afrifa, G. A., Yamoah, F. A. y Oppon, E. (2017). </w:t>
      </w:r>
      <w:r w:rsidRPr="00F9373E">
        <w:rPr>
          <w:rFonts w:ascii="Times New Roman" w:hAnsi="Times New Roman" w:cs="Times New Roman"/>
          <w:noProof/>
          <w:sz w:val="24"/>
          <w:szCs w:val="24"/>
          <w:lang w:val="en-US"/>
        </w:rPr>
        <w:t xml:space="preserve">A quantitative model for environmentally sustainable supply chain performance measurement. </w:t>
      </w:r>
      <w:r w:rsidRPr="00F9373E">
        <w:rPr>
          <w:rFonts w:ascii="Times New Roman" w:hAnsi="Times New Roman" w:cs="Times New Roman"/>
          <w:i/>
          <w:iCs/>
          <w:noProof/>
          <w:sz w:val="24"/>
          <w:szCs w:val="24"/>
          <w:lang w:val="en-US"/>
        </w:rPr>
        <w:t>European Journal of Operational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268</w:t>
      </w:r>
      <w:r w:rsidRPr="00F9373E">
        <w:rPr>
          <w:rFonts w:ascii="Times New Roman" w:hAnsi="Times New Roman" w:cs="Times New Roman"/>
          <w:noProof/>
          <w:sz w:val="24"/>
          <w:szCs w:val="24"/>
          <w:lang w:val="en-US"/>
        </w:rPr>
        <w:t>(1), 188–205. https://doi.org/10.1016/j.ejor.2017.10.057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Ahi, P. y Searcy, C. (2015). </w:t>
      </w:r>
      <w:r w:rsidRPr="00F9373E">
        <w:rPr>
          <w:rFonts w:ascii="Times New Roman" w:hAnsi="Times New Roman" w:cs="Times New Roman"/>
          <w:noProof/>
          <w:sz w:val="24"/>
          <w:szCs w:val="24"/>
          <w:lang w:val="en-US"/>
        </w:rPr>
        <w:t xml:space="preserve">An analysis of metrics used to measure performance in green and sustainable supply chains. </w:t>
      </w:r>
      <w:r w:rsidRPr="00F9373E">
        <w:rPr>
          <w:rFonts w:ascii="Times New Roman" w:hAnsi="Times New Roman" w:cs="Times New Roman"/>
          <w:i/>
          <w:iCs/>
          <w:noProof/>
          <w:sz w:val="24"/>
          <w:szCs w:val="24"/>
          <w:lang w:val="en-US"/>
        </w:rPr>
        <w:t>Journal of Cleaner Production</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86</w:t>
      </w:r>
      <w:r w:rsidRPr="00F9373E">
        <w:rPr>
          <w:rFonts w:ascii="Times New Roman" w:hAnsi="Times New Roman" w:cs="Times New Roman"/>
          <w:noProof/>
          <w:sz w:val="24"/>
          <w:szCs w:val="24"/>
          <w:lang w:val="en-US"/>
        </w:rPr>
        <w:t xml:space="preserve">(1), 360–377. https://doi.org/10.1016/j.jclepro.2014.08.005 </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Ala-Harja, H. y Helo, P. (2016). Food supply chain sustainable performance in plant decision. </w:t>
      </w:r>
      <w:r w:rsidRPr="00F9373E">
        <w:rPr>
          <w:rFonts w:ascii="Times New Roman" w:hAnsi="Times New Roman" w:cs="Times New Roman"/>
          <w:i/>
          <w:iCs/>
          <w:noProof/>
          <w:sz w:val="24"/>
          <w:szCs w:val="24"/>
          <w:lang w:val="en-US"/>
        </w:rPr>
        <w:t>International Journal of Advanced Logistics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5</w:t>
      </w:r>
      <w:r w:rsidRPr="00F9373E">
        <w:rPr>
          <w:rFonts w:ascii="Times New Roman" w:hAnsi="Times New Roman" w:cs="Times New Roman"/>
          <w:noProof/>
          <w:sz w:val="24"/>
          <w:szCs w:val="24"/>
          <w:lang w:val="en-US"/>
        </w:rPr>
        <w:t>(1), 1–18. https://doi.org/10.1080/2287108X.2015.1103542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Amad-Saeed, M. y Kersten, W. (2017). Supply chain sustainability performance indicators - a content analysis based on published standards and guidelines. </w:t>
      </w:r>
      <w:r w:rsidRPr="00F9373E">
        <w:rPr>
          <w:rFonts w:ascii="Times New Roman" w:hAnsi="Times New Roman" w:cs="Times New Roman"/>
          <w:i/>
          <w:iCs/>
          <w:noProof/>
          <w:sz w:val="24"/>
          <w:szCs w:val="24"/>
          <w:lang w:val="en-US"/>
        </w:rPr>
        <w:t>Logistics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10</w:t>
      </w:r>
      <w:r w:rsidRPr="00F9373E">
        <w:rPr>
          <w:rFonts w:ascii="Times New Roman" w:hAnsi="Times New Roman" w:cs="Times New Roman"/>
          <w:noProof/>
          <w:sz w:val="24"/>
          <w:szCs w:val="24"/>
          <w:lang w:val="en-US"/>
        </w:rPr>
        <w:t>(12), 1-19. https://doi.org/10.23773/2017_12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Anand, N. y Grover, N. (2015). Measuring retail supply chain performance: Theoretical model using key performance indicators (KPIs). </w:t>
      </w:r>
      <w:r w:rsidRPr="00F9373E">
        <w:rPr>
          <w:rFonts w:ascii="Times New Roman" w:hAnsi="Times New Roman" w:cs="Times New Roman"/>
          <w:i/>
          <w:iCs/>
          <w:noProof/>
          <w:sz w:val="24"/>
          <w:szCs w:val="24"/>
          <w:lang w:val="es-ES_tradnl"/>
        </w:rPr>
        <w:t>Benchmarking</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22</w:t>
      </w:r>
      <w:r w:rsidRPr="00F9373E">
        <w:rPr>
          <w:rFonts w:ascii="Times New Roman" w:hAnsi="Times New Roman" w:cs="Times New Roman"/>
          <w:noProof/>
          <w:sz w:val="24"/>
          <w:szCs w:val="24"/>
          <w:lang w:val="es-ES_tradnl"/>
        </w:rPr>
        <w:t>(1), 135–166. https://doi.org/10.1108/BIJ-05-2012-0034</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s-ES_tradnl"/>
        </w:rPr>
        <w:t xml:space="preserve">Avelar-Sosa, L., García-Alcaraz, J. L. y Maldonado-Macías, A. A. (2019). </w:t>
      </w:r>
      <w:r w:rsidRPr="00F9373E">
        <w:rPr>
          <w:rFonts w:ascii="Times New Roman" w:hAnsi="Times New Roman" w:cs="Times New Roman"/>
          <w:noProof/>
          <w:sz w:val="24"/>
          <w:szCs w:val="24"/>
          <w:lang w:val="en-US"/>
        </w:rPr>
        <w:t xml:space="preserve">Conceptualization of Supply Chain Performance. In </w:t>
      </w:r>
      <w:r w:rsidRPr="00F9373E">
        <w:rPr>
          <w:rFonts w:ascii="Times New Roman" w:hAnsi="Times New Roman" w:cs="Times New Roman"/>
          <w:i/>
          <w:iCs/>
          <w:noProof/>
          <w:sz w:val="24"/>
          <w:szCs w:val="24"/>
          <w:lang w:val="en-US"/>
        </w:rPr>
        <w:t>Evaluation of Supply Chain Performance: A Manufacturing Industry Approach</w:t>
      </w:r>
      <w:r w:rsidRPr="00F9373E">
        <w:rPr>
          <w:rFonts w:ascii="Times New Roman" w:hAnsi="Times New Roman" w:cs="Times New Roman"/>
          <w:noProof/>
          <w:sz w:val="24"/>
          <w:szCs w:val="24"/>
          <w:lang w:val="en-US"/>
        </w:rPr>
        <w:t xml:space="preserve"> (pp. 69–89). </w:t>
      </w:r>
      <w:r w:rsidRPr="00F9373E">
        <w:rPr>
          <w:rFonts w:ascii="Times New Roman" w:hAnsi="Times New Roman" w:cs="Times New Roman"/>
          <w:noProof/>
          <w:sz w:val="24"/>
          <w:szCs w:val="24"/>
          <w:lang w:val="es-ES_tradnl"/>
        </w:rPr>
        <w:t>Cham: Spinger. https://doi.org/10.1007/978-3-319-93876-9_5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Barba-Gutiérrez, Y., Adenso-Díaz, B. y Lozano, S. (2009). </w:t>
      </w:r>
      <w:r w:rsidRPr="00F9373E">
        <w:rPr>
          <w:rFonts w:ascii="Times New Roman" w:hAnsi="Times New Roman" w:cs="Times New Roman"/>
          <w:noProof/>
          <w:sz w:val="24"/>
          <w:szCs w:val="24"/>
          <w:lang w:val="en-US"/>
        </w:rPr>
        <w:t xml:space="preserve">Eco-efficiency of electric and electronic appliances: A data envelopment analysis (DEA). </w:t>
      </w:r>
      <w:r w:rsidRPr="00F9373E">
        <w:rPr>
          <w:rFonts w:ascii="Times New Roman" w:hAnsi="Times New Roman" w:cs="Times New Roman"/>
          <w:i/>
          <w:iCs/>
          <w:noProof/>
          <w:sz w:val="24"/>
          <w:szCs w:val="24"/>
          <w:lang w:val="en-US"/>
        </w:rPr>
        <w:t>Environmental Modeling and Assessment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14</w:t>
      </w:r>
      <w:r w:rsidRPr="00F9373E">
        <w:rPr>
          <w:rFonts w:ascii="Times New Roman" w:hAnsi="Times New Roman" w:cs="Times New Roman"/>
          <w:noProof/>
          <w:sz w:val="24"/>
          <w:szCs w:val="24"/>
          <w:lang w:val="en-US"/>
        </w:rPr>
        <w:t>(4), 439–447. https://doi.org/10.1007/s10666-007-9134-2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Chacón Vargas, J. R. y Moreno Mantilla, C. E. (2016). Organizational antecedents and capabilities for sustainable supply chain management in developing economies: The case of Colombian focal firms. </w:t>
      </w:r>
      <w:r w:rsidRPr="00F9373E">
        <w:rPr>
          <w:rFonts w:ascii="Times New Roman" w:hAnsi="Times New Roman" w:cs="Times New Roman"/>
          <w:i/>
          <w:iCs/>
          <w:noProof/>
          <w:sz w:val="24"/>
          <w:szCs w:val="24"/>
          <w:lang w:val="es-ES_tradnl"/>
        </w:rPr>
        <w:t>Cuadernos de Administración</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29</w:t>
      </w:r>
      <w:r w:rsidRPr="00F9373E">
        <w:rPr>
          <w:rFonts w:ascii="Times New Roman" w:hAnsi="Times New Roman" w:cs="Times New Roman"/>
          <w:iCs/>
          <w:noProof/>
          <w:sz w:val="24"/>
          <w:szCs w:val="24"/>
          <w:lang w:val="es-ES_tradnl"/>
        </w:rPr>
        <w:t>(53), 101-146</w:t>
      </w:r>
      <w:r w:rsidRPr="00F9373E">
        <w:rPr>
          <w:rFonts w:ascii="Times New Roman" w:hAnsi="Times New Roman" w:cs="Times New Roman"/>
          <w:noProof/>
          <w:sz w:val="24"/>
          <w:szCs w:val="24"/>
          <w:lang w:val="es-ES_tradnl"/>
        </w:rPr>
        <w:t>. https://doi.org/10.11144/Javeriana.cao29-53.oacs</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lastRenderedPageBreak/>
        <w:t xml:space="preserve">Charnes, A., Cooper, W. W. y Rhodes, E. (1978). </w:t>
      </w:r>
      <w:r w:rsidRPr="00F9373E">
        <w:rPr>
          <w:rFonts w:ascii="Times New Roman" w:hAnsi="Times New Roman" w:cs="Times New Roman"/>
          <w:noProof/>
          <w:sz w:val="24"/>
          <w:szCs w:val="24"/>
          <w:lang w:val="en-US"/>
        </w:rPr>
        <w:t xml:space="preserve">Measuring the efficiency of decision making units. </w:t>
      </w:r>
      <w:r w:rsidRPr="00F9373E">
        <w:rPr>
          <w:rFonts w:ascii="Times New Roman" w:hAnsi="Times New Roman" w:cs="Times New Roman"/>
          <w:i/>
          <w:iCs/>
          <w:noProof/>
          <w:sz w:val="24"/>
          <w:szCs w:val="24"/>
          <w:lang w:val="en-US"/>
        </w:rPr>
        <w:t>European Journal of Operational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w:t>
      </w:r>
      <w:r w:rsidRPr="00F9373E">
        <w:rPr>
          <w:rFonts w:ascii="Times New Roman" w:hAnsi="Times New Roman" w:cs="Times New Roman"/>
          <w:noProof/>
          <w:sz w:val="24"/>
          <w:szCs w:val="24"/>
          <w:lang w:val="en-US"/>
        </w:rPr>
        <w:t>(6), 429–444.</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Chin, T. A., Tat, H. H. y Sulaiman, Z. (2015). Green Supply Chain Management, Environmental Collaboration and Sustainability Performance. </w:t>
      </w:r>
      <w:r w:rsidRPr="00F9373E">
        <w:rPr>
          <w:rFonts w:ascii="Times New Roman" w:hAnsi="Times New Roman" w:cs="Times New Roman"/>
          <w:i/>
          <w:iCs/>
          <w:noProof/>
          <w:sz w:val="24"/>
          <w:szCs w:val="24"/>
          <w:lang w:val="es-ES_tradnl"/>
        </w:rPr>
        <w:t>Procedia CIRP</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26</w:t>
      </w:r>
      <w:r w:rsidRPr="00F9373E">
        <w:rPr>
          <w:rFonts w:ascii="Times New Roman" w:hAnsi="Times New Roman" w:cs="Times New Roman"/>
          <w:noProof/>
          <w:sz w:val="24"/>
          <w:szCs w:val="24"/>
          <w:lang w:val="es-ES_tradnl"/>
        </w:rPr>
        <w:t>, 695–699. https://doi.org/10.1016/j.procir.2014.07.035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Dey, P. K. y Cheffi, W. (2013). </w:t>
      </w:r>
      <w:r w:rsidRPr="00F9373E">
        <w:rPr>
          <w:rFonts w:ascii="Times New Roman" w:hAnsi="Times New Roman" w:cs="Times New Roman"/>
          <w:noProof/>
          <w:sz w:val="24"/>
          <w:szCs w:val="24"/>
          <w:lang w:val="en-US"/>
        </w:rPr>
        <w:t xml:space="preserve">Green supply chain performance measurement using the analytic hierarchy process: A comparative analysis of manufacturing organisations. </w:t>
      </w:r>
      <w:r w:rsidRPr="00F9373E">
        <w:rPr>
          <w:rFonts w:ascii="Times New Roman" w:hAnsi="Times New Roman" w:cs="Times New Roman"/>
          <w:i/>
          <w:iCs/>
          <w:noProof/>
          <w:sz w:val="24"/>
          <w:szCs w:val="24"/>
          <w:lang w:val="en-US"/>
        </w:rPr>
        <w:t>Production Planning and Control</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24</w:t>
      </w:r>
      <w:r w:rsidRPr="00F9373E">
        <w:rPr>
          <w:rFonts w:ascii="Times New Roman" w:hAnsi="Times New Roman" w:cs="Times New Roman"/>
          <w:noProof/>
          <w:sz w:val="24"/>
          <w:szCs w:val="24"/>
          <w:lang w:val="en-US"/>
        </w:rPr>
        <w:t>(8–9), 702–720. https://doi.org/10.1080/09537287.2012.666859</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Dossou, P. E. y Nachidi, M. (2017). Modeling Supply Chain Performance. </w:t>
      </w:r>
      <w:r w:rsidRPr="00F9373E">
        <w:rPr>
          <w:rFonts w:ascii="Times New Roman" w:hAnsi="Times New Roman" w:cs="Times New Roman"/>
          <w:i/>
          <w:iCs/>
          <w:noProof/>
          <w:sz w:val="24"/>
          <w:szCs w:val="24"/>
          <w:lang w:val="en-US"/>
        </w:rPr>
        <w:t>Procedia Manufacturing</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11</w:t>
      </w:r>
      <w:r w:rsidRPr="00F9373E">
        <w:rPr>
          <w:rFonts w:ascii="Times New Roman" w:hAnsi="Times New Roman" w:cs="Times New Roman"/>
          <w:noProof/>
          <w:sz w:val="24"/>
          <w:szCs w:val="24"/>
          <w:lang w:val="en-US"/>
        </w:rPr>
        <w:t>, 838–845. https://doi.org/10.1016/j.promfg.2017.07.186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Dushyanth Kumar, K. R., Shivashankar, G. S. y Kadadevaramath, R. S. (2017). Lean Supply Chain Performance Metrics for the better Manufacturing Process. </w:t>
      </w:r>
      <w:r w:rsidRPr="00F9373E">
        <w:rPr>
          <w:rFonts w:ascii="Times New Roman" w:hAnsi="Times New Roman" w:cs="Times New Roman"/>
          <w:i/>
          <w:iCs/>
          <w:noProof/>
          <w:sz w:val="24"/>
          <w:szCs w:val="24"/>
          <w:lang w:val="en-US"/>
        </w:rPr>
        <w:t>Indian Journal of Science and Technology</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10</w:t>
      </w:r>
      <w:r w:rsidRPr="00F9373E">
        <w:rPr>
          <w:rFonts w:ascii="Times New Roman" w:hAnsi="Times New Roman" w:cs="Times New Roman"/>
          <w:noProof/>
          <w:sz w:val="24"/>
          <w:szCs w:val="24"/>
          <w:lang w:val="en-US"/>
        </w:rPr>
        <w:t>(11), 1–7. https://doi.org/10.17485/ijst/2017/v10i11/106135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s-ES_tradnl"/>
        </w:rPr>
        <w:t xml:space="preserve">Egiguren, J. A. E. y  Elordi, A. G. (2011). Diseño, aplicación y evaluación de un modelo para la mejora de procesos en sectores industriales maduros. Estudio del caso. </w:t>
      </w:r>
      <w:r w:rsidRPr="00F9373E">
        <w:rPr>
          <w:rFonts w:ascii="Times New Roman" w:hAnsi="Times New Roman" w:cs="Times New Roman"/>
          <w:i/>
          <w:iCs/>
          <w:noProof/>
          <w:sz w:val="24"/>
          <w:szCs w:val="24"/>
          <w:lang w:val="es-ES_tradnl"/>
        </w:rPr>
        <w:t>DYNA</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86</w:t>
      </w:r>
      <w:r w:rsidRPr="00F9373E">
        <w:rPr>
          <w:rFonts w:ascii="Times New Roman" w:hAnsi="Times New Roman" w:cs="Times New Roman"/>
          <w:noProof/>
          <w:sz w:val="24"/>
          <w:szCs w:val="24"/>
          <w:lang w:val="es-ES_tradnl"/>
        </w:rPr>
        <w:t xml:space="preserve">(1), 59–73. </w:t>
      </w:r>
      <w:hyperlink r:id="rId42" w:history="1">
        <w:r w:rsidRPr="00F9373E">
          <w:rPr>
            <w:rFonts w:ascii="Times New Roman" w:hAnsi="Times New Roman" w:cs="Times New Roman"/>
            <w:noProof/>
            <w:sz w:val="24"/>
            <w:szCs w:val="24"/>
            <w:lang w:val="es-ES_tradnl"/>
          </w:rPr>
          <w:t>http://dx.doi.org/10.6036/3734</w:t>
        </w:r>
      </w:hyperlink>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Elgazzar, S., Tipi, N. y Jones, G. (2019). </w:t>
      </w:r>
      <w:r w:rsidRPr="00F9373E">
        <w:rPr>
          <w:rFonts w:ascii="Times New Roman" w:hAnsi="Times New Roman" w:cs="Times New Roman"/>
          <w:noProof/>
          <w:sz w:val="24"/>
          <w:szCs w:val="24"/>
          <w:lang w:val="en-US"/>
        </w:rPr>
        <w:t xml:space="preserve">Key characteristics for designing a supply chain performance measurement system. </w:t>
      </w:r>
      <w:r w:rsidRPr="00F9373E">
        <w:rPr>
          <w:rFonts w:ascii="Times New Roman" w:hAnsi="Times New Roman" w:cs="Times New Roman"/>
          <w:i/>
          <w:iCs/>
          <w:noProof/>
          <w:sz w:val="24"/>
          <w:szCs w:val="24"/>
          <w:lang w:val="en-US"/>
        </w:rPr>
        <w:t>International Journal of Productivity and Performance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68</w:t>
      </w:r>
      <w:r w:rsidRPr="00F9373E">
        <w:rPr>
          <w:rFonts w:ascii="Times New Roman" w:hAnsi="Times New Roman" w:cs="Times New Roman"/>
          <w:noProof/>
          <w:sz w:val="24"/>
          <w:szCs w:val="24"/>
          <w:lang w:val="en-US"/>
        </w:rPr>
        <w:t>(2), 296–318. https://doi.org/10.1108/IJPPM-04-2018-0147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s-ES_tradnl"/>
        </w:rPr>
        <w:t xml:space="preserve">Feitó Cespón, M., Cespón Castro, R., Rubio Rodríguez, M. A. (2016). Modelos de optimización para el diseño sostenible de cadenas de suministros de reciclaje de múltiples productos. </w:t>
      </w:r>
      <w:r w:rsidRPr="00F9373E">
        <w:rPr>
          <w:rFonts w:ascii="Times New Roman" w:hAnsi="Times New Roman" w:cs="Times New Roman"/>
          <w:i/>
          <w:iCs/>
          <w:noProof/>
          <w:sz w:val="24"/>
          <w:szCs w:val="24"/>
          <w:lang w:val="es-ES_tradnl"/>
        </w:rPr>
        <w:t>Ingeniare. Revista Chilena de Ingeniería</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24</w:t>
      </w:r>
      <w:r w:rsidRPr="00F9373E">
        <w:rPr>
          <w:rFonts w:ascii="Times New Roman" w:hAnsi="Times New Roman" w:cs="Times New Roman"/>
          <w:noProof/>
          <w:sz w:val="24"/>
          <w:szCs w:val="24"/>
          <w:lang w:val="es-ES_tradnl"/>
        </w:rPr>
        <w:t>(1), 135–148. https://doi.org/10.4067/S0718-33052016000100013</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Gao, Y., Li, J. y Song, Y. (2009). </w:t>
      </w:r>
      <w:r w:rsidRPr="00F9373E">
        <w:rPr>
          <w:rFonts w:ascii="Times New Roman" w:hAnsi="Times New Roman" w:cs="Times New Roman"/>
          <w:noProof/>
          <w:sz w:val="24"/>
          <w:szCs w:val="24"/>
          <w:lang w:val="en-US"/>
        </w:rPr>
        <w:t xml:space="preserve">Performance evaluation of green supply chain management based on membership conversion algorithm. </w:t>
      </w:r>
      <w:r w:rsidRPr="00F9373E">
        <w:rPr>
          <w:rFonts w:ascii="Times New Roman" w:hAnsi="Times New Roman" w:cs="Times New Roman"/>
          <w:iCs/>
          <w:noProof/>
          <w:sz w:val="24"/>
          <w:szCs w:val="24"/>
          <w:lang w:val="en-US"/>
        </w:rPr>
        <w:t>In</w:t>
      </w:r>
      <w:r w:rsidRPr="00F9373E">
        <w:rPr>
          <w:rFonts w:ascii="Times New Roman" w:hAnsi="Times New Roman" w:cs="Times New Roman"/>
          <w:i/>
          <w:iCs/>
          <w:noProof/>
          <w:sz w:val="24"/>
          <w:szCs w:val="24"/>
          <w:lang w:val="en-US"/>
        </w:rPr>
        <w:t xml:space="preserve"> Proceeding: IEEE International Colloquium on Computing, Communication, Control and Management </w:t>
      </w:r>
      <w:r w:rsidRPr="00F9373E">
        <w:rPr>
          <w:rFonts w:ascii="Times New Roman" w:hAnsi="Times New Roman" w:cs="Times New Roman"/>
          <w:iCs/>
          <w:noProof/>
          <w:sz w:val="24"/>
          <w:szCs w:val="24"/>
          <w:lang w:val="en-US"/>
        </w:rPr>
        <w:t xml:space="preserve">(p. </w:t>
      </w:r>
      <w:r w:rsidRPr="00F9373E">
        <w:rPr>
          <w:rFonts w:ascii="Times New Roman" w:hAnsi="Times New Roman" w:cs="Times New Roman"/>
          <w:noProof/>
          <w:sz w:val="24"/>
          <w:szCs w:val="24"/>
          <w:lang w:val="en-US"/>
        </w:rPr>
        <w:t>237–240). Sanya, China. https://doi.org/10.1109/CCCM.2009.5267895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Gey, D. G., Yusuf, Y., Menhat, M. S., Abubakar, T., y Ogbuke, N. J. (2020). Agile capabilities as necessary conditions for maximising sustainable supply chain performance: An empirical investigation. </w:t>
      </w:r>
      <w:r w:rsidRPr="00F9373E">
        <w:rPr>
          <w:rFonts w:ascii="Times New Roman" w:hAnsi="Times New Roman" w:cs="Times New Roman"/>
          <w:i/>
          <w:iCs/>
          <w:noProof/>
          <w:sz w:val="24"/>
          <w:szCs w:val="24"/>
          <w:lang w:val="en-US"/>
        </w:rPr>
        <w:t>International Journal of Production Economics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222</w:t>
      </w:r>
      <w:r w:rsidRPr="00F9373E">
        <w:rPr>
          <w:rFonts w:ascii="Times New Roman" w:hAnsi="Times New Roman" w:cs="Times New Roman"/>
          <w:noProof/>
          <w:sz w:val="24"/>
          <w:szCs w:val="24"/>
          <w:lang w:val="en-US"/>
        </w:rPr>
        <w:t>, 107501. https://doi.org/10.1016/j.ijpe.2019.09.022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lastRenderedPageBreak/>
        <w:t xml:space="preserve">Golghate, C. D. y Pawar, M. S. (2013). </w:t>
      </w:r>
      <w:r w:rsidRPr="00F9373E">
        <w:rPr>
          <w:rFonts w:ascii="Times New Roman" w:hAnsi="Times New Roman" w:cs="Times New Roman"/>
          <w:noProof/>
          <w:sz w:val="24"/>
          <w:szCs w:val="24"/>
          <w:lang w:val="en-US"/>
        </w:rPr>
        <w:t xml:space="preserve">Measurement and analysis of the plastic films green supply chain performance. </w:t>
      </w:r>
      <w:r w:rsidRPr="00F9373E">
        <w:rPr>
          <w:rFonts w:ascii="Times New Roman" w:hAnsi="Times New Roman" w:cs="Times New Roman"/>
          <w:i/>
          <w:iCs/>
          <w:noProof/>
          <w:sz w:val="24"/>
          <w:szCs w:val="24"/>
          <w:lang w:val="en-US"/>
        </w:rPr>
        <w:t>International Journal of Intelligent Enterprise</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w:t>
      </w:r>
      <w:r w:rsidRPr="00F9373E">
        <w:rPr>
          <w:rFonts w:ascii="Times New Roman" w:hAnsi="Times New Roman" w:cs="Times New Roman"/>
          <w:noProof/>
          <w:sz w:val="24"/>
          <w:szCs w:val="24"/>
          <w:lang w:val="en-US"/>
        </w:rPr>
        <w:t>(1), 21–45. https://doi.org/10.1504/IJIE.2013.057332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Gopal, P. R. C. y Thakkar, J. (2015). Development of composite sustainable supply chain performance index for the automobile industry. </w:t>
      </w:r>
      <w:r w:rsidRPr="00F9373E">
        <w:rPr>
          <w:rFonts w:ascii="Times New Roman" w:hAnsi="Times New Roman" w:cs="Times New Roman"/>
          <w:i/>
          <w:iCs/>
          <w:noProof/>
          <w:sz w:val="24"/>
          <w:szCs w:val="24"/>
          <w:lang w:val="en-US"/>
        </w:rPr>
        <w:t>International Journal of Sustainable Engineering</w:t>
      </w:r>
      <w:r w:rsidRPr="00F9373E">
        <w:rPr>
          <w:rFonts w:ascii="Times New Roman" w:hAnsi="Times New Roman" w:cs="Times New Roman"/>
          <w:noProof/>
          <w:sz w:val="24"/>
          <w:szCs w:val="24"/>
          <w:lang w:val="en-US"/>
        </w:rPr>
        <w:t>, 8(6), 366-385. https://doi.org/10.1080/19397038.2014.947392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Guan, Y. H., Cheng, H. F. y Ye, Y. (2010). Performance Evaluation of Sustainable Supply Chain Based on AHP and Fuzzy Comprehensive Evaluation. </w:t>
      </w:r>
      <w:r w:rsidRPr="00F9373E">
        <w:rPr>
          <w:rFonts w:ascii="Times New Roman" w:hAnsi="Times New Roman" w:cs="Times New Roman"/>
          <w:i/>
          <w:iCs/>
          <w:noProof/>
          <w:sz w:val="24"/>
          <w:szCs w:val="24"/>
          <w:lang w:val="en-US"/>
        </w:rPr>
        <w:t>Applied Mechanics and Materials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26</w:t>
      </w:r>
      <w:r w:rsidRPr="00F9373E">
        <w:rPr>
          <w:rFonts w:ascii="Times New Roman" w:hAnsi="Times New Roman" w:cs="Times New Roman"/>
          <w:noProof/>
          <w:sz w:val="24"/>
          <w:szCs w:val="24"/>
          <w:lang w:val="en-US"/>
        </w:rPr>
        <w:t>–</w:t>
      </w:r>
      <w:r w:rsidRPr="00F9373E">
        <w:rPr>
          <w:rFonts w:ascii="Times New Roman" w:hAnsi="Times New Roman" w:cs="Times New Roman"/>
          <w:i/>
          <w:iCs/>
          <w:noProof/>
          <w:sz w:val="24"/>
          <w:szCs w:val="24"/>
          <w:lang w:val="en-US"/>
        </w:rPr>
        <w:t>28</w:t>
      </w:r>
      <w:r w:rsidRPr="00F9373E">
        <w:rPr>
          <w:rFonts w:ascii="Times New Roman" w:hAnsi="Times New Roman" w:cs="Times New Roman"/>
          <w:noProof/>
          <w:sz w:val="24"/>
          <w:szCs w:val="24"/>
          <w:lang w:val="en-US"/>
        </w:rPr>
        <w:t>, 1004–1007. https://doi.org/10.4028/www.scientific.net/AMM.26-28.1004</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Hemalatha, S., Rao, K. N., Rambabu, G. y Venkatasubbaiah, K. (2017). </w:t>
      </w:r>
      <w:r w:rsidRPr="00F9373E">
        <w:rPr>
          <w:rFonts w:ascii="Times New Roman" w:hAnsi="Times New Roman" w:cs="Times New Roman"/>
          <w:noProof/>
          <w:sz w:val="24"/>
          <w:szCs w:val="24"/>
          <w:lang w:val="en-US"/>
        </w:rPr>
        <w:t xml:space="preserve">Supply chain performance evaluation through AHM and Membership degree transformation. </w:t>
      </w:r>
      <w:r w:rsidRPr="00F9373E">
        <w:rPr>
          <w:rFonts w:ascii="Times New Roman" w:hAnsi="Times New Roman" w:cs="Times New Roman"/>
          <w:i/>
          <w:iCs/>
          <w:noProof/>
          <w:sz w:val="24"/>
          <w:szCs w:val="24"/>
          <w:lang w:val="en-US"/>
        </w:rPr>
        <w:t>Materials Today: Proceedings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4</w:t>
      </w:r>
      <w:r w:rsidRPr="00F9373E">
        <w:rPr>
          <w:rFonts w:ascii="Times New Roman" w:hAnsi="Times New Roman" w:cs="Times New Roman"/>
          <w:noProof/>
          <w:sz w:val="24"/>
          <w:szCs w:val="24"/>
          <w:lang w:val="en-US"/>
        </w:rPr>
        <w:t>(8), 7848–7858. https://doi.org/10.1016/j.matpr.2017.07.120</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Icarte-Ahumada, G. A. (2016). </w:t>
      </w:r>
      <w:r w:rsidRPr="00F9373E">
        <w:rPr>
          <w:rFonts w:ascii="Times New Roman" w:hAnsi="Times New Roman" w:cs="Times New Roman"/>
          <w:noProof/>
          <w:sz w:val="24"/>
          <w:szCs w:val="24"/>
          <w:lang w:val="es-ES_tradnl"/>
        </w:rPr>
        <w:t xml:space="preserve">Aplicaciones de inteligencia artificial en procesos de cadenas de suministros: una revisión sistemática Applications of artificial intelligence in supply chain process : a systematic review. </w:t>
      </w:r>
      <w:r w:rsidRPr="00F9373E">
        <w:rPr>
          <w:rFonts w:ascii="Times New Roman" w:hAnsi="Times New Roman" w:cs="Times New Roman"/>
          <w:i/>
          <w:iCs/>
          <w:noProof/>
          <w:sz w:val="24"/>
          <w:szCs w:val="24"/>
          <w:lang w:val="es-ES_tradnl"/>
        </w:rPr>
        <w:t>Ingeniare. Revista Chilena de Ingeniería</w:t>
      </w:r>
      <w:r w:rsidRPr="00F9373E">
        <w:rPr>
          <w:rFonts w:ascii="Times New Roman" w:hAnsi="Times New Roman" w:cs="Times New Roman"/>
          <w:noProof/>
          <w:sz w:val="24"/>
          <w:szCs w:val="24"/>
          <w:lang w:val="es-ES_tradnl"/>
        </w:rPr>
        <w:t>, 24(4), 663–679. http://dx.doi.org/10.4067/S0718-33052016000400011</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Jakhar, S. K. (2015). Performance evaluation and a flow allocation decision model for a sustainable supply chain of an apparel industry. </w:t>
      </w:r>
      <w:r w:rsidRPr="00F9373E">
        <w:rPr>
          <w:rFonts w:ascii="Times New Roman" w:hAnsi="Times New Roman" w:cs="Times New Roman"/>
          <w:i/>
          <w:iCs/>
          <w:noProof/>
          <w:sz w:val="24"/>
          <w:szCs w:val="24"/>
          <w:lang w:val="en-US"/>
        </w:rPr>
        <w:t>Journal of Cleaner Production</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87</w:t>
      </w:r>
      <w:r w:rsidRPr="00F9373E">
        <w:rPr>
          <w:rFonts w:ascii="Times New Roman" w:hAnsi="Times New Roman" w:cs="Times New Roman"/>
          <w:noProof/>
          <w:sz w:val="24"/>
          <w:szCs w:val="24"/>
          <w:lang w:val="en-US"/>
        </w:rPr>
        <w:t>(15), 391–413. https://doi.org/10.1016/j.jclepro.2014.09.089</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Jamehshooran, B. G., Shaharoun, A. M. y Haron, H. N. (2015). Assessing Supply Chain Performance through Applying the SCOR Model. </w:t>
      </w:r>
      <w:r w:rsidRPr="00F9373E">
        <w:rPr>
          <w:rFonts w:ascii="Times New Roman" w:hAnsi="Times New Roman" w:cs="Times New Roman"/>
          <w:i/>
          <w:iCs/>
          <w:noProof/>
          <w:sz w:val="24"/>
          <w:szCs w:val="24"/>
          <w:lang w:val="en-US"/>
        </w:rPr>
        <w:t>International Journal of Supply Chain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4</w:t>
      </w:r>
      <w:r w:rsidRPr="00F9373E">
        <w:rPr>
          <w:rFonts w:ascii="Times New Roman" w:hAnsi="Times New Roman" w:cs="Times New Roman"/>
          <w:noProof/>
          <w:sz w:val="24"/>
          <w:szCs w:val="24"/>
          <w:lang w:val="en-US"/>
        </w:rPr>
        <w:t xml:space="preserve">(1), 1–11. </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Jellali, A. y Benaissa, M. (2015). Sustainable performance evaluation of the supply chain. </w:t>
      </w:r>
      <w:r w:rsidRPr="00F9373E">
        <w:rPr>
          <w:rFonts w:ascii="Times New Roman" w:hAnsi="Times New Roman" w:cs="Times New Roman"/>
          <w:i/>
          <w:iCs/>
          <w:noProof/>
          <w:sz w:val="24"/>
          <w:szCs w:val="24"/>
          <w:lang w:val="en-US"/>
        </w:rPr>
        <w:t>Advanced Logistics and Transport (ICALT), 2015 4th International Conference On</w:t>
      </w:r>
      <w:r w:rsidRPr="00F9373E">
        <w:rPr>
          <w:rFonts w:ascii="Times New Roman" w:hAnsi="Times New Roman" w:cs="Times New Roman"/>
          <w:iCs/>
          <w:noProof/>
          <w:sz w:val="24"/>
          <w:szCs w:val="24"/>
          <w:lang w:val="en-US"/>
        </w:rPr>
        <w:t xml:space="preserve"> (p. </w:t>
      </w:r>
      <w:r w:rsidRPr="00F9373E">
        <w:rPr>
          <w:rFonts w:ascii="Times New Roman" w:hAnsi="Times New Roman" w:cs="Times New Roman"/>
          <w:noProof/>
          <w:sz w:val="24"/>
          <w:szCs w:val="24"/>
          <w:lang w:val="en-US"/>
        </w:rPr>
        <w:t>151–156). Valenciennes, France. https://doi.org/10.1109/ICAdLT.2015.7136612</w:t>
      </w:r>
    </w:p>
    <w:p w:rsidR="00F9373E" w:rsidRPr="00F9373E" w:rsidRDefault="00F9373E" w:rsidP="00F9373E">
      <w:pPr>
        <w:widowControl w:val="0"/>
        <w:autoSpaceDE w:val="0"/>
        <w:autoSpaceDN w:val="0"/>
        <w:adjustRightInd w:val="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Kaido, B. y Katsuhito, F. (2020) Supply chain and value-added distribution of pineapple fruit in Muaro Jambi Regency, Jambi province, Indonesia. International Journal of Research in Economics and Social Sciences (IJRESS), 10(2).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Katiyar, R., Meena, P. L., Barua, M. K., Tibrewala, R. y Kumar, G. (2018). </w:t>
      </w:r>
      <w:r w:rsidRPr="00F9373E">
        <w:rPr>
          <w:rFonts w:ascii="Times New Roman" w:hAnsi="Times New Roman" w:cs="Times New Roman"/>
          <w:noProof/>
          <w:sz w:val="24"/>
          <w:szCs w:val="24"/>
          <w:lang w:val="en-US"/>
        </w:rPr>
        <w:t xml:space="preserve">Impact of sustainability and manufacturing practices on supply chain performance: Findings from an emerging economy. </w:t>
      </w:r>
      <w:r w:rsidRPr="00F9373E">
        <w:rPr>
          <w:rFonts w:ascii="Times New Roman" w:hAnsi="Times New Roman" w:cs="Times New Roman"/>
          <w:i/>
          <w:iCs/>
          <w:noProof/>
          <w:sz w:val="24"/>
          <w:szCs w:val="24"/>
          <w:lang w:val="en-US"/>
        </w:rPr>
        <w:t>International Journal of Production Economics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197</w:t>
      </w:r>
      <w:r w:rsidRPr="00F9373E">
        <w:rPr>
          <w:rFonts w:ascii="Times New Roman" w:hAnsi="Times New Roman" w:cs="Times New Roman"/>
          <w:noProof/>
          <w:sz w:val="24"/>
          <w:szCs w:val="24"/>
          <w:lang w:val="en-US"/>
        </w:rPr>
        <w:t>, 303–316. https://doi.org/10.1016/j.ijpe.2017.12.007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lastRenderedPageBreak/>
        <w:t xml:space="preserve">Kumar, V., Kumar, V., Rao, Y. y Veeramalla, S. (2019). </w:t>
      </w:r>
      <w:r w:rsidRPr="00F9373E">
        <w:rPr>
          <w:rFonts w:ascii="Times New Roman" w:hAnsi="Times New Roman" w:cs="Times New Roman"/>
          <w:noProof/>
          <w:sz w:val="24"/>
          <w:szCs w:val="24"/>
          <w:lang w:val="en-US"/>
        </w:rPr>
        <w:t xml:space="preserve">Supply Chain Performance Influencer in Construction Domain: A Key Factor Analysis. </w:t>
      </w:r>
      <w:r w:rsidRPr="00F9373E">
        <w:rPr>
          <w:rFonts w:ascii="Times New Roman" w:hAnsi="Times New Roman" w:cs="Times New Roman"/>
          <w:i/>
          <w:iCs/>
          <w:noProof/>
          <w:sz w:val="24"/>
          <w:szCs w:val="24"/>
          <w:lang w:val="en-US"/>
        </w:rPr>
        <w:t>International Journal of Supply Chain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4</w:t>
      </w:r>
      <w:r w:rsidRPr="00F9373E">
        <w:rPr>
          <w:rFonts w:ascii="Times New Roman" w:hAnsi="Times New Roman" w:cs="Times New Roman"/>
          <w:noProof/>
          <w:sz w:val="24"/>
          <w:szCs w:val="24"/>
          <w:lang w:val="en-US"/>
        </w:rPr>
        <w:t>(1), 1–7. https://doi.org/10.14419/ijet.v7i4.26.27938</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iCs/>
          <w:noProof/>
          <w:sz w:val="24"/>
          <w:szCs w:val="24"/>
          <w:lang w:val="en-US"/>
        </w:rPr>
      </w:pPr>
      <w:r w:rsidRPr="00F9373E">
        <w:rPr>
          <w:rFonts w:ascii="Times New Roman" w:hAnsi="Times New Roman" w:cs="Times New Roman"/>
          <w:noProof/>
          <w:sz w:val="24"/>
          <w:szCs w:val="24"/>
          <w:lang w:val="es-ES_tradnl"/>
        </w:rPr>
        <w:t xml:space="preserve">Liu, X. y Wang, Z. (2011). </w:t>
      </w:r>
      <w:r w:rsidRPr="00F9373E">
        <w:rPr>
          <w:rFonts w:ascii="Times New Roman" w:hAnsi="Times New Roman" w:cs="Times New Roman"/>
          <w:noProof/>
          <w:sz w:val="24"/>
          <w:szCs w:val="24"/>
          <w:lang w:val="en-US"/>
        </w:rPr>
        <w:t xml:space="preserve">The Performance Evaluation of Green Supply Chain of Enterprise. </w:t>
      </w:r>
      <w:r w:rsidRPr="00F9373E">
        <w:rPr>
          <w:rFonts w:ascii="Times New Roman" w:hAnsi="Times New Roman" w:cs="Times New Roman"/>
          <w:iCs/>
          <w:noProof/>
          <w:sz w:val="24"/>
          <w:szCs w:val="24"/>
          <w:lang w:val="en-US"/>
        </w:rPr>
        <w:t>In: Zhou Q. (eds),</w:t>
      </w:r>
      <w:r w:rsidRPr="00F9373E">
        <w:rPr>
          <w:rFonts w:ascii="Times New Roman" w:hAnsi="Times New Roman" w:cs="Times New Roman"/>
          <w:i/>
          <w:iCs/>
          <w:noProof/>
          <w:sz w:val="24"/>
          <w:szCs w:val="24"/>
          <w:lang w:val="en-US"/>
        </w:rPr>
        <w:t xml:space="preserve"> Applied Economics, Business and Development.</w:t>
      </w:r>
      <w:r w:rsidRPr="00F9373E">
        <w:rPr>
          <w:rFonts w:ascii="Times New Roman" w:hAnsi="Times New Roman" w:cs="Times New Roman"/>
          <w:iCs/>
          <w:noProof/>
          <w:sz w:val="24"/>
          <w:szCs w:val="24"/>
          <w:lang w:val="en-US"/>
        </w:rPr>
        <w:t xml:space="preserve"> ISAEBD 2011. Communications in Computer and Information Science (vol. 208, pp. 304-309). Berlin:  Springer. https://doi.org/10.1007/978-3-642-23023-3_46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Mani, V., Gunasekaran, A. y Delgado, C. (2018). </w:t>
      </w:r>
      <w:r w:rsidRPr="00F9373E">
        <w:rPr>
          <w:rFonts w:ascii="Times New Roman" w:hAnsi="Times New Roman" w:cs="Times New Roman"/>
          <w:noProof/>
          <w:sz w:val="24"/>
          <w:szCs w:val="24"/>
          <w:lang w:val="en-US"/>
        </w:rPr>
        <w:t xml:space="preserve">Enhancing supply chain performance through supplier social sustainability: An emerging economy perspective. </w:t>
      </w:r>
      <w:r w:rsidRPr="00F9373E">
        <w:rPr>
          <w:rFonts w:ascii="Times New Roman" w:hAnsi="Times New Roman" w:cs="Times New Roman"/>
          <w:i/>
          <w:iCs/>
          <w:noProof/>
          <w:sz w:val="24"/>
          <w:szCs w:val="24"/>
          <w:lang w:val="en-US"/>
        </w:rPr>
        <w:t>International Journal of Production Economics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195</w:t>
      </w:r>
      <w:r w:rsidRPr="00F9373E">
        <w:rPr>
          <w:rFonts w:ascii="Times New Roman" w:hAnsi="Times New Roman" w:cs="Times New Roman"/>
          <w:noProof/>
          <w:sz w:val="24"/>
          <w:szCs w:val="24"/>
          <w:lang w:val="en-US"/>
        </w:rPr>
        <w:t>, 259–272. https://doi.org/10.1016/j.ijpe.2017.10.025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Mathivathanan, D., Govindan, K. y Haq, A.N. (2017). </w:t>
      </w:r>
      <w:r w:rsidRPr="00F9373E">
        <w:rPr>
          <w:rFonts w:ascii="Times New Roman" w:hAnsi="Times New Roman" w:cs="Times New Roman"/>
          <w:noProof/>
          <w:sz w:val="24"/>
          <w:szCs w:val="24"/>
          <w:lang w:val="en-US"/>
        </w:rPr>
        <w:t xml:space="preserve">Exploring the impact of dynamic capabilities on sustainable supply chain firm’s performance using Grey-Analytical Hierarchy Process. </w:t>
      </w:r>
      <w:r w:rsidRPr="00F9373E">
        <w:rPr>
          <w:rFonts w:ascii="Times New Roman" w:hAnsi="Times New Roman" w:cs="Times New Roman"/>
          <w:i/>
          <w:iCs/>
          <w:noProof/>
          <w:sz w:val="24"/>
          <w:szCs w:val="24"/>
          <w:lang w:val="en-US"/>
        </w:rPr>
        <w:t>Journal of Cleaner Production</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147</w:t>
      </w:r>
      <w:r w:rsidRPr="00F9373E">
        <w:rPr>
          <w:rFonts w:ascii="Times New Roman" w:hAnsi="Times New Roman" w:cs="Times New Roman"/>
          <w:noProof/>
          <w:sz w:val="24"/>
          <w:szCs w:val="24"/>
          <w:lang w:val="en-US"/>
        </w:rPr>
        <w:t>, 637–653. https://doi.org/10.1016/j.jclepro.2017.01.018</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Mediavilla, A., Errasti, A. y Domingo, R. (2011). </w:t>
      </w:r>
      <w:r w:rsidRPr="00F9373E">
        <w:rPr>
          <w:rFonts w:ascii="Times New Roman" w:hAnsi="Times New Roman" w:cs="Times New Roman"/>
          <w:noProof/>
          <w:sz w:val="24"/>
          <w:szCs w:val="24"/>
          <w:lang w:val="es-ES_tradnl"/>
        </w:rPr>
        <w:t xml:space="preserve">Modelo para la evaluación y mejora del rol estratégico de plantas productivas. Caso de una red global de operaciones. </w:t>
      </w:r>
      <w:r w:rsidRPr="00F9373E">
        <w:rPr>
          <w:rFonts w:ascii="Times New Roman" w:hAnsi="Times New Roman" w:cs="Times New Roman"/>
          <w:i/>
          <w:iCs/>
          <w:noProof/>
          <w:sz w:val="24"/>
          <w:szCs w:val="24"/>
          <w:lang w:val="es-ES_tradnl"/>
        </w:rPr>
        <w:t>DYNA</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86</w:t>
      </w:r>
      <w:r w:rsidRPr="00F9373E">
        <w:rPr>
          <w:rFonts w:ascii="Times New Roman" w:hAnsi="Times New Roman" w:cs="Times New Roman"/>
          <w:noProof/>
          <w:sz w:val="24"/>
          <w:szCs w:val="24"/>
          <w:lang w:val="es-ES_tradnl"/>
        </w:rPr>
        <w:t>(4), 405–412.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Miri-Lavassani, K. (2018). </w:t>
      </w:r>
      <w:r w:rsidRPr="00F9373E">
        <w:rPr>
          <w:rFonts w:ascii="Times New Roman" w:hAnsi="Times New Roman" w:cs="Times New Roman"/>
          <w:noProof/>
          <w:sz w:val="24"/>
          <w:szCs w:val="24"/>
          <w:lang w:val="en-US"/>
        </w:rPr>
        <w:t xml:space="preserve">Achieving Higher Supply Chain Performance via Business Process Orientation. </w:t>
      </w:r>
      <w:r w:rsidRPr="00F9373E">
        <w:rPr>
          <w:rFonts w:ascii="Times New Roman" w:hAnsi="Times New Roman" w:cs="Times New Roman"/>
          <w:i/>
          <w:iCs/>
          <w:noProof/>
          <w:sz w:val="24"/>
          <w:szCs w:val="24"/>
          <w:lang w:val="en-US"/>
        </w:rPr>
        <w:t>Business Process Management Journal</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24</w:t>
      </w:r>
      <w:r w:rsidRPr="00F9373E">
        <w:rPr>
          <w:rFonts w:ascii="Times New Roman" w:hAnsi="Times New Roman" w:cs="Times New Roman"/>
          <w:noProof/>
          <w:sz w:val="24"/>
          <w:szCs w:val="24"/>
          <w:lang w:val="en-US"/>
        </w:rPr>
        <w:t>(3), 671–694. https://doi.org/10.1108/BPMJ-07-2016-0140</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Mishra, D., Gunasekaran, A., Papadopoulos, T. y Hazen, B. (2017). Green supply chain performance measures: A review and bibliometric analysis. </w:t>
      </w:r>
      <w:r w:rsidRPr="00F9373E">
        <w:rPr>
          <w:rFonts w:ascii="Times New Roman" w:hAnsi="Times New Roman" w:cs="Times New Roman"/>
          <w:i/>
          <w:iCs/>
          <w:noProof/>
          <w:sz w:val="24"/>
          <w:szCs w:val="24"/>
          <w:lang w:val="en-US"/>
        </w:rPr>
        <w:t>Sustainable Production and Consumption</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10</w:t>
      </w:r>
      <w:r w:rsidRPr="00F9373E">
        <w:rPr>
          <w:rFonts w:ascii="Times New Roman" w:hAnsi="Times New Roman" w:cs="Times New Roman"/>
          <w:noProof/>
          <w:sz w:val="24"/>
          <w:szCs w:val="24"/>
          <w:lang w:val="en-US"/>
        </w:rPr>
        <w:t>, 85–99. https://doi.org/10.1016/j.spc.2017.01.003</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Mohaghar, A. (2014). Performance Evaluation of Green Supply Chain based on LFPP and Balanced Scorecard Approach. </w:t>
      </w:r>
      <w:r w:rsidRPr="00F9373E">
        <w:rPr>
          <w:rFonts w:ascii="Times New Roman" w:hAnsi="Times New Roman" w:cs="Times New Roman"/>
          <w:i/>
          <w:iCs/>
          <w:noProof/>
          <w:sz w:val="24"/>
          <w:szCs w:val="24"/>
          <w:lang w:val="en-US"/>
        </w:rPr>
        <w:t>Global Journal of Management Studies and Researches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w:t>
      </w:r>
      <w:r w:rsidRPr="00F9373E">
        <w:rPr>
          <w:rFonts w:ascii="Times New Roman" w:hAnsi="Times New Roman" w:cs="Times New Roman"/>
          <w:noProof/>
          <w:sz w:val="24"/>
          <w:szCs w:val="24"/>
          <w:lang w:val="en-US"/>
        </w:rPr>
        <w:t>(3), 158–163.</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56AEF">
        <w:rPr>
          <w:rFonts w:ascii="Times New Roman" w:hAnsi="Times New Roman" w:cs="Times New Roman"/>
          <w:noProof/>
          <w:sz w:val="24"/>
          <w:szCs w:val="24"/>
          <w:lang w:val="en-US"/>
        </w:rPr>
        <w:t xml:space="preserve">Moharamkhani, A., Amiri, A. B. y Mina, H. (2017). </w:t>
      </w:r>
      <w:r w:rsidRPr="00F9373E">
        <w:rPr>
          <w:rFonts w:ascii="Times New Roman" w:hAnsi="Times New Roman" w:cs="Times New Roman"/>
          <w:noProof/>
          <w:sz w:val="24"/>
          <w:szCs w:val="24"/>
          <w:lang w:val="en-US"/>
        </w:rPr>
        <w:t xml:space="preserve">Supply chain performance measurement using SCOR model based on interval-valued fuzzy TOPSIS. </w:t>
      </w:r>
      <w:r w:rsidRPr="00F9373E">
        <w:rPr>
          <w:rFonts w:ascii="Times New Roman" w:hAnsi="Times New Roman" w:cs="Times New Roman"/>
          <w:i/>
          <w:iCs/>
          <w:noProof/>
          <w:sz w:val="24"/>
          <w:szCs w:val="24"/>
          <w:lang w:val="en-US"/>
        </w:rPr>
        <w:t>International Journal of Logistics Systems and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27</w:t>
      </w:r>
      <w:r w:rsidRPr="00F9373E">
        <w:rPr>
          <w:rFonts w:ascii="Times New Roman" w:hAnsi="Times New Roman" w:cs="Times New Roman"/>
          <w:noProof/>
          <w:sz w:val="24"/>
          <w:szCs w:val="24"/>
          <w:lang w:val="en-US"/>
        </w:rPr>
        <w:t>(1), 115-132. https://doi.org/10.1504/IJLSM.2017.083225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Montero, M., Schmalenberg, A.-C., Quirós, O. y Doluschitz, R. (2018). </w:t>
      </w:r>
      <w:r w:rsidRPr="00F9373E">
        <w:rPr>
          <w:rFonts w:ascii="Times New Roman" w:hAnsi="Times New Roman" w:cs="Times New Roman"/>
          <w:noProof/>
          <w:sz w:val="24"/>
          <w:szCs w:val="24"/>
          <w:lang w:val="en-US"/>
        </w:rPr>
        <w:t xml:space="preserve">Identification of Supply Chain Performance Indicators: Case Study of Costa Rican Coffee Production. </w:t>
      </w:r>
      <w:r w:rsidRPr="00F9373E">
        <w:rPr>
          <w:rFonts w:ascii="Times New Roman" w:hAnsi="Times New Roman" w:cs="Times New Roman"/>
          <w:i/>
          <w:iCs/>
          <w:noProof/>
          <w:sz w:val="24"/>
          <w:szCs w:val="24"/>
          <w:lang w:val="en-US"/>
        </w:rPr>
        <w:t>Universal Journal of Industrial and Business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6</w:t>
      </w:r>
      <w:r w:rsidRPr="00F9373E">
        <w:rPr>
          <w:rFonts w:ascii="Times New Roman" w:hAnsi="Times New Roman" w:cs="Times New Roman"/>
          <w:noProof/>
          <w:sz w:val="24"/>
          <w:szCs w:val="24"/>
          <w:lang w:val="en-US"/>
        </w:rPr>
        <w:t>(1), 1–10. https://doi.org/10.13189/ujibm.2018.060101</w:t>
      </w:r>
    </w:p>
    <w:p w:rsidR="00F9373E" w:rsidRPr="00F9373E" w:rsidRDefault="00F9373E" w:rsidP="00F9373E">
      <w:pPr>
        <w:widowControl w:val="0"/>
        <w:autoSpaceDE w:val="0"/>
        <w:autoSpaceDN w:val="0"/>
        <w:adjustRightInd w:val="0"/>
        <w:spacing w:after="160"/>
        <w:ind w:left="480" w:hanging="480"/>
        <w:rPr>
          <w:rFonts w:ascii="Times New Roman" w:hAnsi="Times New Roman" w:cs="Times New Roman"/>
          <w:noProof/>
          <w:sz w:val="24"/>
          <w:szCs w:val="24"/>
        </w:rPr>
      </w:pPr>
      <w:r w:rsidRPr="00F9373E">
        <w:rPr>
          <w:rFonts w:ascii="Times New Roman" w:hAnsi="Times New Roman" w:cs="Times New Roman"/>
          <w:noProof/>
          <w:sz w:val="24"/>
          <w:szCs w:val="24"/>
        </w:rPr>
        <w:lastRenderedPageBreak/>
        <w:t xml:space="preserve">Narimissa, O., Kangarani-Farahani, A., y Molla-Alizadeh-Zavardehi, S. (2020a). </w:t>
      </w:r>
      <w:r w:rsidRPr="00F9373E">
        <w:rPr>
          <w:rFonts w:ascii="Times New Roman" w:hAnsi="Times New Roman" w:cs="Times New Roman"/>
          <w:noProof/>
          <w:sz w:val="24"/>
          <w:szCs w:val="24"/>
          <w:lang w:val="en-US"/>
        </w:rPr>
        <w:t xml:space="preserve">Evaluation of sustainable supply chain management performance: Dimensions and aspects. </w:t>
      </w:r>
      <w:r w:rsidRPr="00F9373E">
        <w:rPr>
          <w:rFonts w:ascii="Times New Roman" w:hAnsi="Times New Roman" w:cs="Times New Roman"/>
          <w:i/>
          <w:iCs/>
          <w:noProof/>
          <w:sz w:val="24"/>
          <w:szCs w:val="24"/>
        </w:rPr>
        <w:t>Sustainable Development</w:t>
      </w:r>
      <w:r w:rsidRPr="00F9373E">
        <w:rPr>
          <w:rFonts w:ascii="Times New Roman" w:hAnsi="Times New Roman" w:cs="Times New Roman"/>
          <w:noProof/>
          <w:sz w:val="24"/>
          <w:szCs w:val="24"/>
        </w:rPr>
        <w:t xml:space="preserve">, </w:t>
      </w:r>
      <w:r w:rsidRPr="00F9373E">
        <w:rPr>
          <w:rFonts w:ascii="Times New Roman" w:hAnsi="Times New Roman" w:cs="Times New Roman"/>
          <w:i/>
          <w:iCs/>
          <w:noProof/>
          <w:sz w:val="24"/>
          <w:szCs w:val="24"/>
        </w:rPr>
        <w:t>28</w:t>
      </w:r>
      <w:r w:rsidRPr="00F9373E">
        <w:rPr>
          <w:rFonts w:ascii="Times New Roman" w:hAnsi="Times New Roman" w:cs="Times New Roman"/>
          <w:noProof/>
          <w:sz w:val="24"/>
          <w:szCs w:val="24"/>
        </w:rPr>
        <w:t>(1), 1–12. https://doi.org/10.1002/sd.1959</w:t>
      </w:r>
    </w:p>
    <w:p w:rsidR="00F9373E" w:rsidRPr="00F9373E" w:rsidRDefault="00F9373E" w:rsidP="00F9373E">
      <w:pPr>
        <w:widowControl w:val="0"/>
        <w:autoSpaceDE w:val="0"/>
        <w:autoSpaceDN w:val="0"/>
        <w:adjustRightInd w:val="0"/>
        <w:spacing w:after="160"/>
        <w:ind w:left="480" w:hanging="480"/>
        <w:rPr>
          <w:rFonts w:ascii="Times New Roman" w:hAnsi="Times New Roman" w:cs="Times New Roman"/>
          <w:noProof/>
          <w:sz w:val="24"/>
          <w:szCs w:val="24"/>
          <w:lang w:val="en-US"/>
        </w:rPr>
      </w:pPr>
      <w:r w:rsidRPr="00F9373E">
        <w:rPr>
          <w:rFonts w:ascii="Times New Roman" w:hAnsi="Times New Roman" w:cs="Times New Roman"/>
          <w:noProof/>
          <w:sz w:val="24"/>
          <w:szCs w:val="24"/>
        </w:rPr>
        <w:t xml:space="preserve">Narimissa, O., Kangarani-Farahani, A., y Molla-Alizadeh-Zavardehi, S. (2020b). </w:t>
      </w:r>
      <w:r w:rsidRPr="00F9373E">
        <w:rPr>
          <w:rFonts w:ascii="Times New Roman" w:hAnsi="Times New Roman" w:cs="Times New Roman"/>
          <w:noProof/>
          <w:sz w:val="24"/>
          <w:szCs w:val="24"/>
          <w:lang w:val="en-US"/>
        </w:rPr>
        <w:t xml:space="preserve">Evaluation of sustainable supply chain management performance: Indicators. </w:t>
      </w:r>
      <w:r w:rsidRPr="00F9373E">
        <w:rPr>
          <w:rFonts w:ascii="Times New Roman" w:hAnsi="Times New Roman" w:cs="Times New Roman"/>
          <w:i/>
          <w:iCs/>
          <w:noProof/>
          <w:sz w:val="24"/>
          <w:szCs w:val="24"/>
          <w:lang w:val="en-US"/>
        </w:rPr>
        <w:t>Sustainable Development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28</w:t>
      </w:r>
      <w:r w:rsidRPr="00F9373E">
        <w:rPr>
          <w:rFonts w:ascii="Times New Roman" w:hAnsi="Times New Roman" w:cs="Times New Roman"/>
          <w:noProof/>
          <w:sz w:val="24"/>
          <w:szCs w:val="24"/>
          <w:lang w:val="en-US"/>
        </w:rPr>
        <w:t>(1), 118–131. https://doi.org/10.1002/sd.1976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Pang, Y. (2013). Construction of Green Supply Chain Performance Evaluation System Based On the Balanced Scorecard. </w:t>
      </w:r>
      <w:r w:rsidRPr="00F9373E">
        <w:rPr>
          <w:rFonts w:ascii="Times New Roman" w:hAnsi="Times New Roman" w:cs="Times New Roman"/>
          <w:i/>
          <w:iCs/>
          <w:noProof/>
          <w:sz w:val="24"/>
          <w:szCs w:val="24"/>
          <w:lang w:val="en-US"/>
        </w:rPr>
        <w:t>Advances in Information Sciences and Service Sciences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5</w:t>
      </w:r>
      <w:r w:rsidRPr="00F9373E">
        <w:rPr>
          <w:rFonts w:ascii="Times New Roman" w:hAnsi="Times New Roman" w:cs="Times New Roman"/>
          <w:noProof/>
          <w:sz w:val="24"/>
          <w:szCs w:val="24"/>
          <w:lang w:val="en-US"/>
        </w:rPr>
        <w:t>(8), 655–662.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Parmenter, D. (2015). </w:t>
      </w:r>
      <w:r w:rsidRPr="00F9373E">
        <w:rPr>
          <w:rFonts w:ascii="Times New Roman" w:hAnsi="Times New Roman" w:cs="Times New Roman"/>
          <w:i/>
          <w:iCs/>
          <w:noProof/>
          <w:sz w:val="24"/>
          <w:szCs w:val="24"/>
          <w:lang w:val="en-US"/>
        </w:rPr>
        <w:t>Key performance indicators: developing, implementing, and using winning KPIs</w:t>
      </w:r>
      <w:r w:rsidRPr="00F9373E">
        <w:rPr>
          <w:rFonts w:ascii="Times New Roman" w:hAnsi="Times New Roman" w:cs="Times New Roman"/>
          <w:noProof/>
          <w:sz w:val="24"/>
          <w:szCs w:val="24"/>
          <w:lang w:val="en-US"/>
        </w:rPr>
        <w:t>. New Jersey: John Wiley &amp; Sons, Inc.</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Rujema, S. W., Richu, S. y Aquilars, K. (2015). Effects of Green Purchasing Strategies on Sustainable Supply Chain Performance at Unilever Tea Kenya Limited. </w:t>
      </w:r>
      <w:r w:rsidRPr="00F9373E">
        <w:rPr>
          <w:rFonts w:ascii="Times New Roman" w:hAnsi="Times New Roman" w:cs="Times New Roman"/>
          <w:i/>
          <w:iCs/>
          <w:noProof/>
          <w:sz w:val="24"/>
          <w:szCs w:val="24"/>
          <w:lang w:val="en-US"/>
        </w:rPr>
        <w:t>International Journal of Innovation and Scientific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15</w:t>
      </w:r>
      <w:r w:rsidRPr="00F9373E">
        <w:rPr>
          <w:rFonts w:ascii="Times New Roman" w:hAnsi="Times New Roman" w:cs="Times New Roman"/>
          <w:noProof/>
          <w:sz w:val="24"/>
          <w:szCs w:val="24"/>
          <w:lang w:val="en-US"/>
        </w:rPr>
        <w:t>(2), 296–306.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n-US"/>
        </w:rPr>
        <w:t xml:space="preserve">Saaty, T. (1980). </w:t>
      </w:r>
      <w:r w:rsidRPr="00F9373E">
        <w:rPr>
          <w:rFonts w:ascii="Times New Roman" w:hAnsi="Times New Roman" w:cs="Times New Roman"/>
          <w:i/>
          <w:iCs/>
          <w:noProof/>
          <w:sz w:val="24"/>
          <w:szCs w:val="24"/>
          <w:lang w:val="en-US"/>
        </w:rPr>
        <w:t>The Analytic Hierarchical Process</w:t>
      </w:r>
      <w:r w:rsidRPr="00F9373E">
        <w:rPr>
          <w:rFonts w:ascii="Times New Roman" w:hAnsi="Times New Roman" w:cs="Times New Roman"/>
          <w:noProof/>
          <w:sz w:val="24"/>
          <w:szCs w:val="24"/>
          <w:lang w:val="en-US"/>
        </w:rPr>
        <w:t xml:space="preserve">. </w:t>
      </w:r>
      <w:r w:rsidRPr="00F9373E">
        <w:rPr>
          <w:rFonts w:ascii="Times New Roman" w:hAnsi="Times New Roman" w:cs="Times New Roman"/>
          <w:noProof/>
          <w:sz w:val="24"/>
          <w:szCs w:val="24"/>
          <w:lang w:val="es-ES_tradnl"/>
        </w:rPr>
        <w:t xml:space="preserve">New York: McGraw-Hill. </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Sánchez-Flores, R. B., Ojeda-Benítez, S., Cruz-Sotelo, S. E. y Navarro-González, C. R. (2020). </w:t>
      </w:r>
      <w:r w:rsidRPr="00F9373E">
        <w:rPr>
          <w:rFonts w:ascii="Times New Roman" w:hAnsi="Times New Roman" w:cs="Times New Roman"/>
          <w:noProof/>
          <w:sz w:val="24"/>
          <w:szCs w:val="24"/>
          <w:lang w:val="en-US"/>
        </w:rPr>
        <w:t xml:space="preserve">Supply Chain Performance Improvement: A Sustainable Perspective. In J. L. García-Alcaraz, C. Sánchez-Ramírez, L. Avelar-Sosa, G. Alor-Hernández (Eds.), </w:t>
      </w:r>
      <w:r w:rsidRPr="00F9373E">
        <w:rPr>
          <w:rFonts w:ascii="Times New Roman" w:hAnsi="Times New Roman" w:cs="Times New Roman"/>
          <w:i/>
          <w:iCs/>
          <w:noProof/>
          <w:sz w:val="24"/>
          <w:szCs w:val="24"/>
          <w:lang w:val="en-US"/>
        </w:rPr>
        <w:t>Techniques, Tools and Methodologies Applied to Global Supply Chain Ecosystems</w:t>
      </w:r>
      <w:r w:rsidRPr="00F9373E">
        <w:rPr>
          <w:rFonts w:ascii="Times New Roman" w:hAnsi="Times New Roman" w:cs="Times New Roman"/>
          <w:noProof/>
          <w:sz w:val="24"/>
          <w:szCs w:val="24"/>
          <w:lang w:val="en-US"/>
        </w:rPr>
        <w:t xml:space="preserve"> (pp. 333–358).</w:t>
      </w:r>
      <w:r w:rsidRPr="00F9373E">
        <w:rPr>
          <w:rFonts w:ascii="Times New Roman" w:hAnsi="Times New Roman" w:cs="Times New Roman"/>
          <w:sz w:val="24"/>
          <w:szCs w:val="24"/>
          <w:lang w:val="en-US"/>
        </w:rPr>
        <w:t xml:space="preserve"> </w:t>
      </w:r>
      <w:r w:rsidRPr="00F9373E">
        <w:rPr>
          <w:rFonts w:ascii="Times New Roman" w:hAnsi="Times New Roman" w:cs="Times New Roman"/>
          <w:noProof/>
          <w:sz w:val="24"/>
          <w:szCs w:val="24"/>
          <w:lang w:val="en-US"/>
        </w:rPr>
        <w:t>Cham: Springer. https://doi.org/10.1007/978-3-030-26488-8_15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Schenk, A., Thuronyi, V. y Cui, W. (2016). Value added tax: a comparative approach. </w:t>
      </w:r>
      <w:r w:rsidRPr="00F9373E">
        <w:rPr>
          <w:rFonts w:ascii="Times New Roman" w:hAnsi="Times New Roman" w:cs="Times New Roman"/>
          <w:i/>
          <w:iCs/>
          <w:noProof/>
          <w:sz w:val="24"/>
          <w:szCs w:val="24"/>
          <w:lang w:val="en-US"/>
        </w:rPr>
        <w:t>National Tax Journal</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69</w:t>
      </w:r>
      <w:r w:rsidRPr="00F9373E">
        <w:rPr>
          <w:rFonts w:ascii="Times New Roman" w:hAnsi="Times New Roman" w:cs="Times New Roman"/>
          <w:noProof/>
          <w:sz w:val="24"/>
          <w:szCs w:val="24"/>
          <w:lang w:val="en-US"/>
        </w:rPr>
        <w:t>(1), 241–250. https://doi.org/http://dx.doi.org/10.17310/ntj.2016.1.08</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Sellitto, M. A., Pereira, G. M., Borchardt, M., da Silva, R. I. y Viegas, C. V. (2015). </w:t>
      </w:r>
      <w:r w:rsidRPr="00F9373E">
        <w:rPr>
          <w:rFonts w:ascii="Times New Roman" w:hAnsi="Times New Roman" w:cs="Times New Roman"/>
          <w:noProof/>
          <w:sz w:val="24"/>
          <w:szCs w:val="24"/>
          <w:lang w:val="en-US"/>
        </w:rPr>
        <w:t xml:space="preserve">A SCOR-based model for supply chain performance measurement: application in the footwear industry. </w:t>
      </w:r>
      <w:r w:rsidRPr="00F9373E">
        <w:rPr>
          <w:rFonts w:ascii="Times New Roman" w:hAnsi="Times New Roman" w:cs="Times New Roman"/>
          <w:i/>
          <w:iCs/>
          <w:noProof/>
          <w:sz w:val="24"/>
          <w:szCs w:val="24"/>
          <w:lang w:val="en-US"/>
        </w:rPr>
        <w:t>International Journal of Production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53</w:t>
      </w:r>
      <w:r w:rsidRPr="00F9373E">
        <w:rPr>
          <w:rFonts w:ascii="Times New Roman" w:hAnsi="Times New Roman" w:cs="Times New Roman"/>
          <w:noProof/>
          <w:sz w:val="24"/>
          <w:szCs w:val="24"/>
          <w:lang w:val="en-US"/>
        </w:rPr>
        <w:t>(16), 4917–4926. https://doi.org/10.1080/00207543.2015.1005251</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Shuwang, W., Lei, Z., Zhifeng, L., Guangfu, L. y Zhang, H. (2005). Study on the Performance Assessment of Green Supply Chain. </w:t>
      </w:r>
      <w:r w:rsidRPr="00F9373E">
        <w:rPr>
          <w:rFonts w:ascii="Times New Roman" w:hAnsi="Times New Roman" w:cs="Times New Roman"/>
          <w:i/>
          <w:iCs/>
          <w:noProof/>
          <w:sz w:val="24"/>
          <w:szCs w:val="24"/>
          <w:lang w:val="en-US"/>
        </w:rPr>
        <w:t>2005 IEEE International Conference on Systems, Man and Cybernetics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w:t>
      </w:r>
      <w:r w:rsidRPr="00F9373E">
        <w:rPr>
          <w:rFonts w:ascii="Times New Roman" w:hAnsi="Times New Roman" w:cs="Times New Roman"/>
          <w:noProof/>
          <w:sz w:val="24"/>
          <w:szCs w:val="24"/>
          <w:lang w:val="en-US"/>
        </w:rPr>
        <w:t>, 942–947. https://doi.org/10.1109/ICSMC.2005.1571267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Sopadang, A., Wichaisri, S. y Banomyong, R. (2017). Sustainable supply chain performance measurement a case study of the sugar industry. </w:t>
      </w:r>
      <w:r w:rsidRPr="00F9373E">
        <w:rPr>
          <w:rFonts w:ascii="Times New Roman" w:hAnsi="Times New Roman" w:cs="Times New Roman"/>
          <w:i/>
          <w:iCs/>
          <w:noProof/>
          <w:sz w:val="24"/>
          <w:szCs w:val="24"/>
          <w:lang w:val="en-US"/>
        </w:rPr>
        <w:t xml:space="preserve">Proceedings of the International Conference on Industrial Engineering and Operations Management </w:t>
      </w:r>
      <w:r w:rsidRPr="00F9373E">
        <w:rPr>
          <w:rFonts w:ascii="Times New Roman" w:hAnsi="Times New Roman" w:cs="Times New Roman"/>
          <w:iCs/>
          <w:noProof/>
          <w:sz w:val="24"/>
          <w:szCs w:val="24"/>
          <w:lang w:val="en-US"/>
        </w:rPr>
        <w:t>(p.</w:t>
      </w:r>
      <w:r w:rsidRPr="00F9373E">
        <w:rPr>
          <w:rFonts w:ascii="Times New Roman" w:hAnsi="Times New Roman" w:cs="Times New Roman"/>
          <w:noProof/>
          <w:sz w:val="24"/>
          <w:szCs w:val="24"/>
          <w:lang w:val="en-US"/>
        </w:rPr>
        <w:t xml:space="preserve"> 1–12). Rabat, Morocco.</w:t>
      </w:r>
    </w:p>
    <w:p w:rsidR="00F9373E" w:rsidRPr="00F9373E" w:rsidRDefault="00F9373E" w:rsidP="00F9373E">
      <w:pPr>
        <w:widowControl w:val="0"/>
        <w:autoSpaceDE w:val="0"/>
        <w:autoSpaceDN w:val="0"/>
        <w:adjustRightInd w:val="0"/>
        <w:spacing w:after="160"/>
        <w:ind w:left="480" w:hanging="480"/>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lastRenderedPageBreak/>
        <w:t xml:space="preserve">Sun, J., Xu, S., y Li, G. (2020). Analyzing sustainable power supply chain performance. </w:t>
      </w:r>
      <w:r w:rsidRPr="00F9373E">
        <w:rPr>
          <w:rFonts w:ascii="Times New Roman" w:hAnsi="Times New Roman" w:cs="Times New Roman"/>
          <w:i/>
          <w:iCs/>
          <w:noProof/>
          <w:sz w:val="24"/>
          <w:szCs w:val="24"/>
          <w:lang w:val="en-US"/>
        </w:rPr>
        <w:t>Journal of Enterprise Information Management</w:t>
      </w:r>
      <w:r w:rsidRPr="00F9373E">
        <w:rPr>
          <w:rFonts w:ascii="Times New Roman" w:hAnsi="Times New Roman" w:cs="Times New Roman"/>
          <w:noProof/>
          <w:sz w:val="24"/>
          <w:szCs w:val="24"/>
          <w:lang w:val="en-US"/>
        </w:rPr>
        <w:t>. https://doi.org/10.1108/JEIM-09-2019-0296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Tong, Y. (2017). Model for evaluating the green supply chain performance under low-carbon agricultural economy environment with 2-tuple linguistic information. </w:t>
      </w:r>
      <w:r w:rsidRPr="00F9373E">
        <w:rPr>
          <w:rFonts w:ascii="Times New Roman" w:hAnsi="Times New Roman" w:cs="Times New Roman"/>
          <w:i/>
          <w:iCs/>
          <w:noProof/>
          <w:sz w:val="24"/>
          <w:szCs w:val="24"/>
          <w:lang w:val="en-US"/>
        </w:rPr>
        <w:t>Journal of Intelligent and Fuzzy Systems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32</w:t>
      </w:r>
      <w:r w:rsidRPr="00F9373E">
        <w:rPr>
          <w:rFonts w:ascii="Times New Roman" w:hAnsi="Times New Roman" w:cs="Times New Roman"/>
          <w:noProof/>
          <w:sz w:val="24"/>
          <w:szCs w:val="24"/>
          <w:lang w:val="en-US"/>
        </w:rPr>
        <w:t>(3), 2717–2723. https://doi.org/10.3233/JIFS-16802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Tortorella, G. L., Giglio, R. y Limon-Romero, J. (2018). </w:t>
      </w:r>
      <w:r w:rsidRPr="00F9373E">
        <w:rPr>
          <w:rFonts w:ascii="Times New Roman" w:hAnsi="Times New Roman" w:cs="Times New Roman"/>
          <w:noProof/>
          <w:sz w:val="24"/>
          <w:szCs w:val="24"/>
          <w:lang w:val="en-US"/>
        </w:rPr>
        <w:t xml:space="preserve">Supply chain performance: how lean practices efficiently drive improvements. </w:t>
      </w:r>
      <w:r w:rsidRPr="00F9373E">
        <w:rPr>
          <w:rFonts w:ascii="Times New Roman" w:hAnsi="Times New Roman" w:cs="Times New Roman"/>
          <w:i/>
          <w:iCs/>
          <w:noProof/>
          <w:sz w:val="24"/>
          <w:szCs w:val="24"/>
          <w:lang w:val="en-US"/>
        </w:rPr>
        <w:t>Journal of Manufacturing Technology Management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38</w:t>
      </w:r>
      <w:r w:rsidRPr="00F9373E">
        <w:rPr>
          <w:rFonts w:ascii="Times New Roman" w:hAnsi="Times New Roman" w:cs="Times New Roman"/>
          <w:noProof/>
          <w:sz w:val="24"/>
          <w:szCs w:val="24"/>
          <w:lang w:val="en-US"/>
        </w:rPr>
        <w:t>(4), 934–956. https://doi.org/10.1108/JMTM-09-2017-0194</w:t>
      </w:r>
    </w:p>
    <w:p w:rsidR="00F9373E" w:rsidRPr="00F9373E" w:rsidRDefault="00F9373E" w:rsidP="00F9373E">
      <w:pPr>
        <w:widowControl w:val="0"/>
        <w:autoSpaceDE w:val="0"/>
        <w:autoSpaceDN w:val="0"/>
        <w:adjustRightInd w:val="0"/>
        <w:spacing w:after="160"/>
        <w:ind w:left="480" w:hanging="480"/>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Tripathi, S., y Talukder, B. (2020). Supply Chain Performance and Profitability in Indian Automobile Industry: Evidence of Segmental Difference. </w:t>
      </w:r>
      <w:r w:rsidRPr="00F9373E">
        <w:rPr>
          <w:rFonts w:ascii="Times New Roman" w:hAnsi="Times New Roman" w:cs="Times New Roman"/>
          <w:i/>
          <w:iCs/>
          <w:noProof/>
          <w:sz w:val="24"/>
          <w:szCs w:val="24"/>
          <w:lang w:val="en-US"/>
        </w:rPr>
        <w:t>Global Business Review</w:t>
      </w:r>
      <w:r w:rsidRPr="00F9373E">
        <w:rPr>
          <w:rFonts w:ascii="Times New Roman" w:hAnsi="Times New Roman" w:cs="Times New Roman"/>
          <w:noProof/>
          <w:sz w:val="24"/>
          <w:szCs w:val="24"/>
          <w:lang w:val="en-US"/>
        </w:rPr>
        <w:t>, 0972150919898302. https://doi.org/10.1177/0972150919898302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Tsai, W.-H. y Hung, S.-J. (2009). A fuzzy goal programming approach for green supply chain optimisation under activity-based costing and performance evaluation with a value-chain structure. </w:t>
      </w:r>
      <w:r w:rsidRPr="00F9373E">
        <w:rPr>
          <w:rFonts w:ascii="Times New Roman" w:hAnsi="Times New Roman" w:cs="Times New Roman"/>
          <w:i/>
          <w:iCs/>
          <w:noProof/>
          <w:sz w:val="24"/>
          <w:szCs w:val="24"/>
          <w:lang w:val="en-US"/>
        </w:rPr>
        <w:t>International Journal of Production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47</w:t>
      </w:r>
      <w:r w:rsidRPr="00F9373E">
        <w:rPr>
          <w:rFonts w:ascii="Times New Roman" w:hAnsi="Times New Roman" w:cs="Times New Roman"/>
          <w:noProof/>
          <w:sz w:val="24"/>
          <w:szCs w:val="24"/>
          <w:lang w:val="en-US"/>
        </w:rPr>
        <w:t>(18), 4991–5017. https://doi.org/10.1080/00207540801932498</w:t>
      </w:r>
    </w:p>
    <w:p w:rsidR="00F9373E" w:rsidRPr="00F9373E" w:rsidRDefault="00F9373E" w:rsidP="00F9373E">
      <w:pPr>
        <w:widowControl w:val="0"/>
        <w:autoSpaceDE w:val="0"/>
        <w:autoSpaceDN w:val="0"/>
        <w:adjustRightInd w:val="0"/>
        <w:spacing w:after="160"/>
        <w:ind w:left="480" w:hanging="480"/>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Tundys, B., y Fernando, Y. (2020). Sustainable supply chain management--Key Performance Indicators (KPI) as an element for measuring of processes. </w:t>
      </w:r>
      <w:r w:rsidRPr="00F9373E">
        <w:rPr>
          <w:rFonts w:ascii="Times New Roman" w:hAnsi="Times New Roman" w:cs="Times New Roman"/>
          <w:i/>
          <w:iCs/>
          <w:noProof/>
          <w:sz w:val="24"/>
          <w:szCs w:val="24"/>
          <w:lang w:val="en-US"/>
        </w:rPr>
        <w:t>Transport Economics and Logistics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83</w:t>
      </w:r>
      <w:r w:rsidRPr="00F9373E">
        <w:rPr>
          <w:rFonts w:ascii="Times New Roman" w:hAnsi="Times New Roman" w:cs="Times New Roman"/>
          <w:noProof/>
          <w:sz w:val="24"/>
          <w:szCs w:val="24"/>
          <w:lang w:val="en-US"/>
        </w:rPr>
        <w:t>, 31–50. https://doi.org/10.26881/etil.2019.83.03</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56AEF">
        <w:rPr>
          <w:rFonts w:ascii="Times New Roman" w:hAnsi="Times New Roman" w:cs="Times New Roman"/>
          <w:noProof/>
          <w:sz w:val="24"/>
          <w:szCs w:val="24"/>
          <w:lang w:val="en-US"/>
        </w:rPr>
        <w:t xml:space="preserve">Tyagi, M., Kumar, P. y Kumar, D. (2015). </w:t>
      </w:r>
      <w:r w:rsidRPr="00F9373E">
        <w:rPr>
          <w:rFonts w:ascii="Times New Roman" w:hAnsi="Times New Roman" w:cs="Times New Roman"/>
          <w:noProof/>
          <w:sz w:val="24"/>
          <w:szCs w:val="24"/>
          <w:lang w:val="en-US"/>
        </w:rPr>
        <w:t xml:space="preserve">Parametric Selection of Alternatives to Improve Performance of Green Supply Chain Management System. </w:t>
      </w:r>
      <w:r w:rsidRPr="00F9373E">
        <w:rPr>
          <w:rFonts w:ascii="Times New Roman" w:hAnsi="Times New Roman" w:cs="Times New Roman"/>
          <w:i/>
          <w:iCs/>
          <w:noProof/>
          <w:sz w:val="24"/>
          <w:szCs w:val="24"/>
          <w:lang w:val="en-US"/>
        </w:rPr>
        <w:t>Procedia - Social and Behavioral Sciences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189</w:t>
      </w:r>
      <w:r w:rsidRPr="00F9373E">
        <w:rPr>
          <w:rFonts w:ascii="Times New Roman" w:hAnsi="Times New Roman" w:cs="Times New Roman"/>
          <w:noProof/>
          <w:sz w:val="24"/>
          <w:szCs w:val="24"/>
          <w:lang w:val="en-US"/>
        </w:rPr>
        <w:t>, 449–457. https://doi.org/10.1016/j.sbspro.2015.03.197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Tyagi, M., Kumar, P. y Kumar, D. (2017). </w:t>
      </w:r>
      <w:r w:rsidRPr="00F9373E">
        <w:rPr>
          <w:rFonts w:ascii="Times New Roman" w:hAnsi="Times New Roman" w:cs="Times New Roman"/>
          <w:noProof/>
          <w:sz w:val="24"/>
          <w:szCs w:val="24"/>
          <w:lang w:val="en-US"/>
        </w:rPr>
        <w:t xml:space="preserve">Modelling and analysis of barriers for supply chain performance measurement system. </w:t>
      </w:r>
      <w:r w:rsidRPr="00F9373E">
        <w:rPr>
          <w:rFonts w:ascii="Times New Roman" w:hAnsi="Times New Roman" w:cs="Times New Roman"/>
          <w:i/>
          <w:iCs/>
          <w:noProof/>
          <w:sz w:val="24"/>
          <w:szCs w:val="24"/>
          <w:lang w:val="en-US"/>
        </w:rPr>
        <w:t>International Journal of Operational Research</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28</w:t>
      </w:r>
      <w:r w:rsidRPr="00F9373E">
        <w:rPr>
          <w:rFonts w:ascii="Times New Roman" w:hAnsi="Times New Roman" w:cs="Times New Roman"/>
          <w:noProof/>
          <w:sz w:val="24"/>
          <w:szCs w:val="24"/>
          <w:lang w:val="en-US"/>
        </w:rPr>
        <w:t>(3), 392-414. https://doi.org/10.1504/IJOR.2017.081912</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56AEF">
        <w:rPr>
          <w:rFonts w:ascii="Times New Roman" w:hAnsi="Times New Roman" w:cs="Times New Roman"/>
          <w:noProof/>
          <w:sz w:val="24"/>
          <w:szCs w:val="24"/>
          <w:lang w:val="en-US"/>
        </w:rPr>
        <w:t xml:space="preserve">Tyagi, M., Kumar, P. y Kumar, D. (2018). </w:t>
      </w:r>
      <w:r w:rsidRPr="00F9373E">
        <w:rPr>
          <w:rFonts w:ascii="Times New Roman" w:hAnsi="Times New Roman" w:cs="Times New Roman"/>
          <w:noProof/>
          <w:sz w:val="24"/>
          <w:szCs w:val="24"/>
          <w:lang w:val="en-US"/>
        </w:rPr>
        <w:t xml:space="preserve">Assessment of CSR based supply chain performance system using an integrated fuzzy AHP-TOPSIS approach. </w:t>
      </w:r>
      <w:r w:rsidRPr="00F9373E">
        <w:rPr>
          <w:rFonts w:ascii="Times New Roman" w:hAnsi="Times New Roman" w:cs="Times New Roman"/>
          <w:i/>
          <w:iCs/>
          <w:noProof/>
          <w:sz w:val="24"/>
          <w:szCs w:val="24"/>
          <w:lang w:val="en-US"/>
        </w:rPr>
        <w:t>International Journal of Logistics Research and Applications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21</w:t>
      </w:r>
      <w:r w:rsidRPr="00F9373E">
        <w:rPr>
          <w:rFonts w:ascii="Times New Roman" w:hAnsi="Times New Roman" w:cs="Times New Roman"/>
          <w:noProof/>
          <w:sz w:val="24"/>
          <w:szCs w:val="24"/>
          <w:lang w:val="en-US"/>
        </w:rPr>
        <w:t>(4), 378–406. https://doi.org/10.1080/13675567.2017.1422707</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Uygun, Ö. y Dede, A. (2016). </w:t>
      </w:r>
      <w:r w:rsidRPr="00F9373E">
        <w:rPr>
          <w:rFonts w:ascii="Times New Roman" w:hAnsi="Times New Roman" w:cs="Times New Roman"/>
          <w:noProof/>
          <w:sz w:val="24"/>
          <w:szCs w:val="24"/>
          <w:lang w:val="en-US"/>
        </w:rPr>
        <w:t xml:space="preserve">Performance evaluation of green supply chain management using integrated fuzzy multi-criteria decision making techniques. </w:t>
      </w:r>
      <w:r w:rsidRPr="00F9373E">
        <w:rPr>
          <w:rFonts w:ascii="Times New Roman" w:hAnsi="Times New Roman" w:cs="Times New Roman"/>
          <w:i/>
          <w:iCs/>
          <w:noProof/>
          <w:sz w:val="24"/>
          <w:szCs w:val="24"/>
          <w:lang w:val="en-US"/>
        </w:rPr>
        <w:t>Computers &amp; Industrial Engineering</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102</w:t>
      </w:r>
      <w:r w:rsidRPr="00F9373E">
        <w:rPr>
          <w:rFonts w:ascii="Times New Roman" w:hAnsi="Times New Roman" w:cs="Times New Roman"/>
          <w:noProof/>
          <w:sz w:val="24"/>
          <w:szCs w:val="24"/>
          <w:lang w:val="en-US"/>
        </w:rPr>
        <w:t>, 502-511. https://doi.org/10.1016/j.cie.2016.02.020</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56AEF">
        <w:rPr>
          <w:rFonts w:ascii="Times New Roman" w:hAnsi="Times New Roman" w:cs="Times New Roman"/>
          <w:noProof/>
          <w:sz w:val="24"/>
          <w:szCs w:val="24"/>
          <w:lang w:val="en-US"/>
        </w:rPr>
        <w:t xml:space="preserve">Vázquez-Rowe, I., Iribarren, D., Moreira, M. T. y Feijoo, G. (2010). </w:t>
      </w:r>
      <w:r w:rsidRPr="00F9373E">
        <w:rPr>
          <w:rFonts w:ascii="Times New Roman" w:hAnsi="Times New Roman" w:cs="Times New Roman"/>
          <w:noProof/>
          <w:sz w:val="24"/>
          <w:szCs w:val="24"/>
          <w:lang w:val="en-US"/>
        </w:rPr>
        <w:t xml:space="preserve">Combined application of life cycle assessment and data envelopment analysis as a </w:t>
      </w:r>
      <w:r w:rsidRPr="00F9373E">
        <w:rPr>
          <w:rFonts w:ascii="Times New Roman" w:hAnsi="Times New Roman" w:cs="Times New Roman"/>
          <w:noProof/>
          <w:sz w:val="24"/>
          <w:szCs w:val="24"/>
          <w:lang w:val="en-US"/>
        </w:rPr>
        <w:lastRenderedPageBreak/>
        <w:t xml:space="preserve">methodological approach for the assessment of fisheries. </w:t>
      </w:r>
      <w:r w:rsidRPr="00F9373E">
        <w:rPr>
          <w:rFonts w:ascii="Times New Roman" w:hAnsi="Times New Roman" w:cs="Times New Roman"/>
          <w:i/>
          <w:iCs/>
          <w:noProof/>
          <w:sz w:val="24"/>
          <w:szCs w:val="24"/>
          <w:lang w:val="en-US"/>
        </w:rPr>
        <w:t>International Journal of Life Cycle Assessment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15</w:t>
      </w:r>
      <w:r w:rsidRPr="00F9373E">
        <w:rPr>
          <w:rFonts w:ascii="Times New Roman" w:hAnsi="Times New Roman" w:cs="Times New Roman"/>
          <w:noProof/>
          <w:sz w:val="24"/>
          <w:szCs w:val="24"/>
          <w:lang w:val="en-US"/>
        </w:rPr>
        <w:t>(3), 272–283. https://doi.org/10.1007/s11367-010-0154-9</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s-ES_tradnl"/>
        </w:rPr>
        <w:t xml:space="preserve">Vinajera-Zamora, A., Marrero-Delgado, F., Coello-Machado, N., Glistau, E. (2015). </w:t>
      </w:r>
      <w:r w:rsidRPr="00F9373E">
        <w:rPr>
          <w:rFonts w:ascii="Times New Roman" w:hAnsi="Times New Roman" w:cs="Times New Roman"/>
          <w:noProof/>
          <w:sz w:val="24"/>
          <w:szCs w:val="24"/>
          <w:lang w:val="en-US"/>
        </w:rPr>
        <w:t xml:space="preserve">Assessing the efficiency by Data Envelopment Analysis. </w:t>
      </w:r>
      <w:r w:rsidRPr="00F9373E">
        <w:rPr>
          <w:rFonts w:ascii="Times New Roman" w:hAnsi="Times New Roman" w:cs="Times New Roman"/>
          <w:i/>
          <w:iCs/>
          <w:noProof/>
          <w:sz w:val="24"/>
          <w:szCs w:val="24"/>
          <w:lang w:val="en-US"/>
        </w:rPr>
        <w:t>8th International Logistics Doctoral Student Workshop</w:t>
      </w:r>
      <w:r w:rsidRPr="00F9373E">
        <w:rPr>
          <w:rFonts w:ascii="Times New Roman" w:hAnsi="Times New Roman" w:cs="Times New Roman"/>
          <w:noProof/>
          <w:sz w:val="24"/>
          <w:szCs w:val="24"/>
          <w:lang w:val="en-US"/>
        </w:rPr>
        <w:t xml:space="preserve"> (p. 72–91). </w:t>
      </w:r>
      <w:r w:rsidRPr="00F9373E">
        <w:rPr>
          <w:rFonts w:ascii="Times New Roman" w:hAnsi="Times New Roman" w:cs="Times New Roman"/>
          <w:noProof/>
          <w:sz w:val="24"/>
          <w:szCs w:val="24"/>
          <w:lang w:val="es-ES_tradnl"/>
        </w:rPr>
        <w:t>Magdeburg, Alemania: Fraunhofer Institute.</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s-ES_tradnl"/>
        </w:rPr>
      </w:pPr>
      <w:r w:rsidRPr="00F9373E">
        <w:rPr>
          <w:rFonts w:ascii="Times New Roman" w:hAnsi="Times New Roman" w:cs="Times New Roman"/>
          <w:noProof/>
          <w:sz w:val="24"/>
          <w:szCs w:val="24"/>
          <w:lang w:val="es-ES_tradnl"/>
        </w:rPr>
        <w:t xml:space="preserve">Vinajera-Zamora, A., Marrero-Delgado, F. y Ruiz-Morales, M. (2017). Método para calcular el valor agregado en cadenas de suministro de productos electromecánico. </w:t>
      </w:r>
      <w:r w:rsidRPr="00F9373E">
        <w:rPr>
          <w:rFonts w:ascii="Times New Roman" w:hAnsi="Times New Roman" w:cs="Times New Roman"/>
          <w:i/>
          <w:iCs/>
          <w:noProof/>
          <w:sz w:val="24"/>
          <w:szCs w:val="24"/>
          <w:lang w:val="es-ES_tradnl"/>
        </w:rPr>
        <w:t>Ingeniare. Revista Chilena de Ingeniería</w:t>
      </w:r>
      <w:r w:rsidRPr="00F9373E">
        <w:rPr>
          <w:rFonts w:ascii="Times New Roman" w:hAnsi="Times New Roman" w:cs="Times New Roman"/>
          <w:noProof/>
          <w:sz w:val="24"/>
          <w:szCs w:val="24"/>
          <w:lang w:val="es-ES_tradnl"/>
        </w:rPr>
        <w:t xml:space="preserve">, </w:t>
      </w:r>
      <w:r w:rsidRPr="00F9373E">
        <w:rPr>
          <w:rFonts w:ascii="Times New Roman" w:hAnsi="Times New Roman" w:cs="Times New Roman"/>
          <w:i/>
          <w:iCs/>
          <w:noProof/>
          <w:sz w:val="24"/>
          <w:szCs w:val="24"/>
          <w:lang w:val="es-ES_tradnl"/>
        </w:rPr>
        <w:t>25</w:t>
      </w:r>
      <w:r w:rsidRPr="00F9373E">
        <w:rPr>
          <w:rFonts w:ascii="Times New Roman" w:hAnsi="Times New Roman" w:cs="Times New Roman"/>
          <w:noProof/>
          <w:sz w:val="24"/>
          <w:szCs w:val="24"/>
          <w:lang w:val="es-ES_tradnl"/>
        </w:rPr>
        <w:t xml:space="preserve">(3), 535–546. </w:t>
      </w:r>
      <w:r w:rsidRPr="00F9373E">
        <w:rPr>
          <w:rFonts w:ascii="Times New Roman" w:hAnsi="Times New Roman" w:cs="Times New Roman"/>
          <w:iCs/>
          <w:noProof/>
          <w:sz w:val="24"/>
          <w:szCs w:val="24"/>
          <w:lang w:val="es-ES_tradnl"/>
        </w:rPr>
        <w:t>http://dx.doi.org/10.4067/S0718-33052017000300535</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s-ES_tradnl"/>
        </w:rPr>
        <w:t xml:space="preserve">Vinajera-Zamora, A., Sarache-Castro, W., Cespón-Castro, R. y Marrero-Delgado, F. (2014). Diagnóstico del desempeño de la cadena de suministro de productos electromecanicos. Estudio de casos. </w:t>
      </w:r>
      <w:r w:rsidRPr="00F9373E">
        <w:rPr>
          <w:rFonts w:ascii="Times New Roman" w:hAnsi="Times New Roman" w:cs="Times New Roman"/>
          <w:i/>
          <w:iCs/>
          <w:noProof/>
          <w:sz w:val="24"/>
          <w:szCs w:val="24"/>
          <w:lang w:val="es-ES_tradnl"/>
        </w:rPr>
        <w:t xml:space="preserve">IX Conferencia Internacional de Ciencias Empresariales </w:t>
      </w:r>
      <w:r w:rsidRPr="00F9373E">
        <w:rPr>
          <w:rFonts w:ascii="Times New Roman" w:hAnsi="Times New Roman" w:cs="Times New Roman"/>
          <w:iCs/>
          <w:noProof/>
          <w:sz w:val="24"/>
          <w:szCs w:val="24"/>
          <w:lang w:val="es-ES_tradnl"/>
        </w:rPr>
        <w:t>(p.</w:t>
      </w:r>
      <w:r w:rsidRPr="00F9373E">
        <w:rPr>
          <w:rFonts w:ascii="Times New Roman" w:hAnsi="Times New Roman" w:cs="Times New Roman"/>
          <w:noProof/>
          <w:sz w:val="24"/>
          <w:szCs w:val="24"/>
          <w:lang w:val="es-ES_tradnl"/>
        </w:rPr>
        <w:t xml:space="preserve"> 1–11). </w:t>
      </w:r>
      <w:r w:rsidRPr="00F9373E">
        <w:rPr>
          <w:rFonts w:ascii="Times New Roman" w:hAnsi="Times New Roman" w:cs="Times New Roman"/>
          <w:noProof/>
          <w:sz w:val="24"/>
          <w:szCs w:val="24"/>
          <w:lang w:val="en-US"/>
        </w:rPr>
        <w:t>Santa Clara, Cuba: Editorial Feijoo.</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Wang, F. (2012). Research on performance measurement of green supply chain management. </w:t>
      </w:r>
      <w:r w:rsidRPr="00F9373E">
        <w:rPr>
          <w:rFonts w:ascii="Times New Roman" w:hAnsi="Times New Roman" w:cs="Times New Roman"/>
          <w:i/>
          <w:iCs/>
          <w:noProof/>
          <w:sz w:val="24"/>
          <w:szCs w:val="24"/>
          <w:lang w:val="en-US"/>
        </w:rPr>
        <w:t>2nd International Conference on Economics, Trade and Development</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36</w:t>
      </w:r>
      <w:r w:rsidRPr="00F9373E">
        <w:rPr>
          <w:rFonts w:ascii="Times New Roman" w:hAnsi="Times New Roman" w:cs="Times New Roman"/>
          <w:noProof/>
          <w:sz w:val="24"/>
          <w:szCs w:val="24"/>
          <w:lang w:val="en-US"/>
        </w:rPr>
        <w:t xml:space="preserve">, 111–114. </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Zhang, H. (2017). Research on fuzzy evaluation of performance in green supply chain based on environmental economics. </w:t>
      </w:r>
      <w:r w:rsidRPr="00F9373E">
        <w:rPr>
          <w:rFonts w:ascii="Times New Roman" w:hAnsi="Times New Roman" w:cs="Times New Roman"/>
          <w:i/>
          <w:iCs/>
          <w:noProof/>
          <w:sz w:val="24"/>
          <w:szCs w:val="24"/>
          <w:lang w:val="en-US"/>
        </w:rPr>
        <w:t>Journal of Intelligent &amp; Fuzzy Systems</w:t>
      </w:r>
      <w:r w:rsidRPr="00F9373E">
        <w:rPr>
          <w:rFonts w:ascii="Times New Roman" w:hAnsi="Times New Roman" w:cs="Times New Roman"/>
          <w:noProof/>
          <w:sz w:val="24"/>
          <w:szCs w:val="24"/>
          <w:lang w:val="en-US"/>
        </w:rPr>
        <w:t xml:space="preserve">, </w:t>
      </w:r>
      <w:r w:rsidRPr="00F9373E">
        <w:rPr>
          <w:rFonts w:ascii="Times New Roman" w:hAnsi="Times New Roman" w:cs="Times New Roman"/>
          <w:i/>
          <w:iCs/>
          <w:noProof/>
          <w:sz w:val="24"/>
          <w:szCs w:val="24"/>
          <w:lang w:val="en-US"/>
        </w:rPr>
        <w:t>32</w:t>
      </w:r>
      <w:r w:rsidRPr="00F9373E">
        <w:rPr>
          <w:rFonts w:ascii="Times New Roman" w:hAnsi="Times New Roman" w:cs="Times New Roman"/>
          <w:noProof/>
          <w:sz w:val="24"/>
          <w:szCs w:val="24"/>
          <w:lang w:val="en-US"/>
        </w:rPr>
        <w:t>(3), 2625–2631. https://doi.org/10.3233/JIFS-16576</w:t>
      </w:r>
    </w:p>
    <w:p w:rsidR="00F9373E" w:rsidRPr="00F9373E" w:rsidRDefault="00F9373E" w:rsidP="00F9373E">
      <w:pPr>
        <w:widowControl w:val="0"/>
        <w:autoSpaceDE w:val="0"/>
        <w:autoSpaceDN w:val="0"/>
        <w:adjustRightInd w:val="0"/>
        <w:ind w:left="480" w:hanging="480"/>
        <w:jc w:val="both"/>
        <w:rPr>
          <w:rFonts w:ascii="Times New Roman" w:hAnsi="Times New Roman" w:cs="Times New Roman"/>
          <w:noProof/>
          <w:sz w:val="24"/>
          <w:szCs w:val="24"/>
          <w:lang w:val="en-US"/>
        </w:rPr>
      </w:pPr>
      <w:r w:rsidRPr="00F9373E">
        <w:rPr>
          <w:rFonts w:ascii="Times New Roman" w:hAnsi="Times New Roman" w:cs="Times New Roman"/>
          <w:noProof/>
          <w:sz w:val="24"/>
          <w:szCs w:val="24"/>
          <w:lang w:val="en-US"/>
        </w:rPr>
        <w:t xml:space="preserve">Zhang, X. y Zhiwei, Z. (2009). Study of Green Supply Chain and its Performance Based on Fuzzy AHP and Measurement System. </w:t>
      </w:r>
      <w:r w:rsidRPr="00F9373E">
        <w:rPr>
          <w:rFonts w:ascii="Times New Roman" w:hAnsi="Times New Roman" w:cs="Times New Roman"/>
          <w:i/>
          <w:iCs/>
          <w:noProof/>
          <w:sz w:val="24"/>
          <w:szCs w:val="24"/>
          <w:lang w:val="en-US"/>
        </w:rPr>
        <w:t>2009 International Conference on E-Business and Information System Security, Wuhan</w:t>
      </w:r>
      <w:r w:rsidRPr="00F9373E">
        <w:rPr>
          <w:rFonts w:ascii="Times New Roman" w:hAnsi="Times New Roman" w:cs="Times New Roman"/>
          <w:iCs/>
          <w:noProof/>
          <w:sz w:val="24"/>
          <w:szCs w:val="24"/>
          <w:lang w:val="en-US"/>
        </w:rPr>
        <w:t xml:space="preserve"> (p. 1-5)</w:t>
      </w:r>
      <w:r w:rsidRPr="00F9373E">
        <w:rPr>
          <w:rFonts w:ascii="Times New Roman" w:hAnsi="Times New Roman" w:cs="Times New Roman"/>
          <w:noProof/>
          <w:sz w:val="24"/>
          <w:szCs w:val="24"/>
          <w:lang w:val="en-US"/>
        </w:rPr>
        <w:t>. https://doi.org/10.1109/EBISS.2009.5138081</w:t>
      </w:r>
    </w:p>
    <w:p w:rsidR="00F9373E" w:rsidRPr="00F9373E" w:rsidRDefault="00F9373E" w:rsidP="00F9373E">
      <w:pPr>
        <w:autoSpaceDE w:val="0"/>
        <w:autoSpaceDN w:val="0"/>
        <w:adjustRightInd w:val="0"/>
        <w:jc w:val="both"/>
        <w:rPr>
          <w:rFonts w:ascii="Times New Roman" w:hAnsi="Times New Roman" w:cs="Times New Roman"/>
          <w:sz w:val="24"/>
          <w:szCs w:val="24"/>
          <w:lang w:val="en-US"/>
        </w:rPr>
      </w:pPr>
      <w:r w:rsidRPr="00F9373E">
        <w:rPr>
          <w:rFonts w:ascii="Times New Roman" w:hAnsi="Times New Roman" w:cs="Times New Roman"/>
          <w:sz w:val="24"/>
          <w:szCs w:val="24"/>
          <w:highlight w:val="yellow"/>
          <w:lang w:val="es-ES_tradnl"/>
        </w:rPr>
        <w:fldChar w:fldCharType="end"/>
      </w:r>
    </w:p>
    <w:p w:rsidR="00D36D1C" w:rsidRPr="00F9373E" w:rsidRDefault="00D36D1C" w:rsidP="00F9373E">
      <w:pPr>
        <w:spacing w:after="0" w:line="360" w:lineRule="auto"/>
        <w:jc w:val="both"/>
        <w:rPr>
          <w:rFonts w:ascii="Times New Roman" w:hAnsi="Times New Roman" w:cs="Times New Roman"/>
          <w:sz w:val="24"/>
          <w:szCs w:val="24"/>
          <w:lang w:val="en-US"/>
        </w:rPr>
      </w:pPr>
    </w:p>
    <w:sectPr w:rsidR="00D36D1C" w:rsidRPr="00F9373E" w:rsidSect="00C8585B">
      <w:headerReference w:type="default" r:id="rId43"/>
      <w:footerReference w:type="default" r:id="rId4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C98" w:rsidRDefault="00B57C98" w:rsidP="00C8585B">
      <w:pPr>
        <w:spacing w:after="0" w:line="240" w:lineRule="auto"/>
      </w:pPr>
      <w:r>
        <w:separator/>
      </w:r>
    </w:p>
  </w:endnote>
  <w:endnote w:type="continuationSeparator" w:id="0">
    <w:p w:rsidR="00B57C98" w:rsidRDefault="00B57C9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C16AD5">
          <w:rPr>
            <w:noProof/>
          </w:rPr>
          <w:t>21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C98" w:rsidRDefault="00B57C98" w:rsidP="00C8585B">
      <w:pPr>
        <w:spacing w:after="0" w:line="240" w:lineRule="auto"/>
      </w:pPr>
      <w:r>
        <w:separator/>
      </w:r>
    </w:p>
  </w:footnote>
  <w:footnote w:type="continuationSeparator" w:id="0">
    <w:p w:rsidR="00B57C98" w:rsidRDefault="00B57C98" w:rsidP="00C8585B">
      <w:pPr>
        <w:spacing w:after="0" w:line="240" w:lineRule="auto"/>
      </w:pPr>
      <w:r>
        <w:continuationSeparator/>
      </w:r>
    </w:p>
  </w:footnote>
  <w:footnote w:id="1">
    <w:p w:rsidR="00F12C6E" w:rsidRPr="0024575C" w:rsidRDefault="00F12C6E" w:rsidP="00F12C6E">
      <w:pPr>
        <w:pStyle w:val="Textonotapie"/>
        <w:ind w:left="90" w:hanging="90"/>
        <w:jc w:val="both"/>
        <w:rPr>
          <w:color w:val="000000" w:themeColor="text1"/>
        </w:rPr>
      </w:pPr>
      <w:r w:rsidRPr="00B16E1A">
        <w:rPr>
          <w:rStyle w:val="Refdenotaalpie"/>
        </w:rPr>
        <w:footnoteRef/>
      </w:r>
      <w:r w:rsidRPr="0024575C">
        <w:rPr>
          <w:color w:val="000000" w:themeColor="text1"/>
        </w:rPr>
        <w:t xml:space="preserve"> Utilizando un método probabilístico y asumiendo una ley binomial de probabilidad, con un nivel de precisión del 8% (p), una proporción estimada de errores del 2% (i) y para un nivel de confianza del 99% (para determinar k), se obtuvo una necesidad total de 9 expertos (</w:t>
      </w:r>
      <m:oMath>
        <m:r>
          <w:rPr>
            <w:rFonts w:ascii="Cambria Math" w:hAnsi="Cambria Math"/>
            <w:color w:val="000000" w:themeColor="text1"/>
          </w:rPr>
          <m:t>M=</m:t>
        </m:r>
        <m:f>
          <m:fPr>
            <m:ctrlPr>
              <w:rPr>
                <w:rFonts w:ascii="Cambria Math" w:hAnsi="Cambria Math"/>
                <w:i/>
                <w:color w:val="000000" w:themeColor="text1"/>
              </w:rPr>
            </m:ctrlPr>
          </m:fPr>
          <m:num>
            <m:r>
              <w:rPr>
                <w:rFonts w:ascii="Cambria Math" w:hAnsi="Cambria Math"/>
                <w:color w:val="000000" w:themeColor="text1"/>
              </w:rPr>
              <m:t>p*</m:t>
            </m:r>
            <m:d>
              <m:dPr>
                <m:ctrlPr>
                  <w:rPr>
                    <w:rFonts w:ascii="Cambria Math" w:hAnsi="Cambria Math"/>
                    <w:i/>
                    <w:color w:val="000000" w:themeColor="text1"/>
                  </w:rPr>
                </m:ctrlPr>
              </m:dPr>
              <m:e>
                <m:r>
                  <w:rPr>
                    <w:rFonts w:ascii="Cambria Math" w:hAnsi="Cambria Math"/>
                    <w:color w:val="000000" w:themeColor="text1"/>
                  </w:rPr>
                  <m:t>1-p</m:t>
                </m:r>
              </m:e>
            </m:d>
            <m:r>
              <w:rPr>
                <w:rFonts w:ascii="Cambria Math" w:hAnsi="Cambria Math"/>
                <w:color w:val="000000" w:themeColor="text1"/>
              </w:rPr>
              <m:t>*k</m:t>
            </m:r>
          </m:num>
          <m:den>
            <m:sSup>
              <m:sSupPr>
                <m:ctrlPr>
                  <w:rPr>
                    <w:rFonts w:ascii="Cambria Math" w:hAnsi="Cambria Math"/>
                    <w:i/>
                    <w:color w:val="000000" w:themeColor="text1"/>
                  </w:rPr>
                </m:ctrlPr>
              </m:sSupPr>
              <m:e>
                <m:r>
                  <w:rPr>
                    <w:rFonts w:ascii="Cambria Math" w:hAnsi="Cambria Math"/>
                    <w:color w:val="000000" w:themeColor="text1"/>
                  </w:rPr>
                  <m:t>i</m:t>
                </m:r>
              </m:e>
              <m:sup>
                <m:r>
                  <w:rPr>
                    <w:rFonts w:ascii="Cambria Math" w:hAnsi="Cambria Math"/>
                    <w:color w:val="000000" w:themeColor="text1"/>
                  </w:rPr>
                  <m:t>2</m:t>
                </m:r>
              </m:sup>
            </m:sSup>
          </m:den>
        </m:f>
      </m:oMath>
      <w:r w:rsidRPr="0024575C">
        <w:rPr>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E7182"/>
    <w:multiLevelType w:val="hybridMultilevel"/>
    <w:tmpl w:val="A8E4E2FA"/>
    <w:lvl w:ilvl="0" w:tplc="2A046596">
      <w:numFmt w:val="bullet"/>
      <w:lvlText w:val="-"/>
      <w:lvlJc w:val="left"/>
      <w:pPr>
        <w:ind w:left="720" w:hanging="360"/>
      </w:pPr>
      <w:rPr>
        <w:rFonts w:ascii="Arial" w:eastAsia="Calibr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D44C1"/>
    <w:multiLevelType w:val="hybridMultilevel"/>
    <w:tmpl w:val="B45E18C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6154A"/>
    <w:multiLevelType w:val="hybridMultilevel"/>
    <w:tmpl w:val="DD84AD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591E1A9E"/>
    <w:multiLevelType w:val="hybridMultilevel"/>
    <w:tmpl w:val="894A687A"/>
    <w:lvl w:ilvl="0" w:tplc="2A046596">
      <w:numFmt w:val="bullet"/>
      <w:lvlText w:val="-"/>
      <w:lvlJc w:val="left"/>
      <w:pPr>
        <w:ind w:left="720" w:hanging="360"/>
      </w:pPr>
      <w:rPr>
        <w:rFonts w:ascii="Arial" w:eastAsia="Calibri"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A7066D"/>
    <w:multiLevelType w:val="hybridMultilevel"/>
    <w:tmpl w:val="C97C5060"/>
    <w:lvl w:ilvl="0" w:tplc="2A046596">
      <w:numFmt w:val="bullet"/>
      <w:lvlText w:val="-"/>
      <w:lvlJc w:val="left"/>
      <w:pPr>
        <w:ind w:left="720" w:hanging="360"/>
      </w:pPr>
      <w:rPr>
        <w:rFonts w:ascii="Arial" w:eastAsia="Calibri" w:hAnsi="Arial" w:cs="Aria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F030367"/>
    <w:multiLevelType w:val="hybridMultilevel"/>
    <w:tmpl w:val="54ACC464"/>
    <w:lvl w:ilvl="0" w:tplc="2A046596">
      <w:numFmt w:val="bullet"/>
      <w:lvlText w:val="-"/>
      <w:lvlJc w:val="left"/>
      <w:pPr>
        <w:ind w:left="720" w:hanging="360"/>
      </w:pPr>
      <w:rPr>
        <w:rFonts w:ascii="Arial" w:eastAsia="Calibr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C77A3A"/>
    <w:multiLevelType w:val="hybridMultilevel"/>
    <w:tmpl w:val="6BD4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B401EEE"/>
    <w:multiLevelType w:val="hybridMultilevel"/>
    <w:tmpl w:val="3334C096"/>
    <w:lvl w:ilvl="0" w:tplc="C93A72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6022"/>
    <w:rsid w:val="000A6EC7"/>
    <w:rsid w:val="000C14DC"/>
    <w:rsid w:val="00162A99"/>
    <w:rsid w:val="002E0882"/>
    <w:rsid w:val="002E272A"/>
    <w:rsid w:val="00403285"/>
    <w:rsid w:val="005754D8"/>
    <w:rsid w:val="005F7502"/>
    <w:rsid w:val="006271E4"/>
    <w:rsid w:val="00667F10"/>
    <w:rsid w:val="00671849"/>
    <w:rsid w:val="007455FF"/>
    <w:rsid w:val="00815971"/>
    <w:rsid w:val="0088159E"/>
    <w:rsid w:val="008A1C16"/>
    <w:rsid w:val="008A2CFA"/>
    <w:rsid w:val="009061A5"/>
    <w:rsid w:val="0091621C"/>
    <w:rsid w:val="009B1EF2"/>
    <w:rsid w:val="009D5E02"/>
    <w:rsid w:val="009D67CD"/>
    <w:rsid w:val="00A156A5"/>
    <w:rsid w:val="00A21A1F"/>
    <w:rsid w:val="00A62A14"/>
    <w:rsid w:val="00AE534B"/>
    <w:rsid w:val="00B2024E"/>
    <w:rsid w:val="00B57C98"/>
    <w:rsid w:val="00B80E97"/>
    <w:rsid w:val="00BC770B"/>
    <w:rsid w:val="00C16AD5"/>
    <w:rsid w:val="00C17100"/>
    <w:rsid w:val="00C8585B"/>
    <w:rsid w:val="00CD2BC3"/>
    <w:rsid w:val="00D36D1C"/>
    <w:rsid w:val="00D5035B"/>
    <w:rsid w:val="00D73DE9"/>
    <w:rsid w:val="00DA747D"/>
    <w:rsid w:val="00E40131"/>
    <w:rsid w:val="00E912D0"/>
    <w:rsid w:val="00F07FC6"/>
    <w:rsid w:val="00F12C6E"/>
    <w:rsid w:val="00F31B37"/>
    <w:rsid w:val="00F56AEF"/>
    <w:rsid w:val="00F9373E"/>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independiente">
    <w:name w:val="Body Text"/>
    <w:basedOn w:val="Normal"/>
    <w:link w:val="TextoindependienteCar"/>
    <w:rsid w:val="00DA747D"/>
    <w:pPr>
      <w:spacing w:after="0" w:line="240" w:lineRule="auto"/>
      <w:jc w:val="center"/>
    </w:pPr>
    <w:rPr>
      <w:rFonts w:ascii="Times New Roman" w:eastAsia="Times New Roman" w:hAnsi="Times New Roman" w:cs="Times New Roman"/>
      <w:b/>
      <w:sz w:val="24"/>
      <w:szCs w:val="20"/>
      <w:lang w:val="es-CL" w:eastAsia="es-ES"/>
    </w:rPr>
  </w:style>
  <w:style w:type="character" w:customStyle="1" w:styleId="TextoindependienteCar">
    <w:name w:val="Texto independiente Car"/>
    <w:basedOn w:val="Fuentedeprrafopredeter"/>
    <w:link w:val="Textoindependiente"/>
    <w:rsid w:val="00DA747D"/>
    <w:rPr>
      <w:rFonts w:ascii="Times New Roman" w:eastAsia="Times New Roman" w:hAnsi="Times New Roman" w:cs="Times New Roman"/>
      <w:b/>
      <w:sz w:val="24"/>
      <w:szCs w:val="20"/>
      <w:lang w:val="es-CL" w:eastAsia="es-ES"/>
    </w:rPr>
  </w:style>
  <w:style w:type="paragraph" w:styleId="NormalWeb">
    <w:name w:val="Normal (Web)"/>
    <w:basedOn w:val="Normal"/>
    <w:uiPriority w:val="99"/>
    <w:rsid w:val="00DA74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A747D"/>
    <w:pPr>
      <w:spacing w:line="240" w:lineRule="auto"/>
    </w:pPr>
    <w:rPr>
      <w:rFonts w:ascii="Calibri" w:eastAsia="Times New Roman" w:hAnsi="Calibri" w:cs="Times New Roman"/>
      <w:b/>
      <w:bCs/>
      <w:smallCaps/>
      <w:color w:val="595959"/>
      <w:sz w:val="21"/>
      <w:szCs w:val="21"/>
      <w:lang w:val="es-ES_tradnl"/>
    </w:rPr>
  </w:style>
  <w:style w:type="character" w:styleId="Refdenotaalpie">
    <w:name w:val="footnote reference"/>
    <w:uiPriority w:val="99"/>
    <w:semiHidden/>
    <w:rsid w:val="00F12C6E"/>
    <w:rPr>
      <w:vertAlign w:val="superscript"/>
    </w:rPr>
  </w:style>
  <w:style w:type="paragraph" w:styleId="Textonotapie">
    <w:name w:val="footnote text"/>
    <w:basedOn w:val="Normal"/>
    <w:link w:val="TextonotapieCar"/>
    <w:uiPriority w:val="99"/>
    <w:semiHidden/>
    <w:rsid w:val="00F12C6E"/>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F12C6E"/>
    <w:rPr>
      <w:rFonts w:ascii="Times New Roman" w:eastAsia="Times New Roman" w:hAnsi="Times New Roman" w:cs="Times New Roman"/>
      <w:sz w:val="20"/>
      <w:szCs w:val="20"/>
      <w:lang w:eastAsia="es-ES"/>
    </w:rPr>
  </w:style>
  <w:style w:type="table" w:styleId="Tablaconcuadrcula">
    <w:name w:val="Table Grid"/>
    <w:basedOn w:val="Tablanormal"/>
    <w:uiPriority w:val="39"/>
    <w:rsid w:val="00F12C6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espon@uclv.edu.cu"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hyperlink" Target="http://dx.doi.org/10.6036/3734" TargetMode="External"/><Relationship Id="rId7" Type="http://schemas.openxmlformats.org/officeDocument/2006/relationships/hyperlink" Target="mailto:andreyvz@uclv.edu.cu"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diagramQuickStyle" Target="diagrams/quickStyle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41"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diagramData" Target="diagrams/data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marrero@uclv.edu.c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D:\_Documents%20and%20workings\_PhD\_Papers\SC-performance\Estudios%20Gerenciales\graf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Sheet1!$I$6</c:f>
              <c:strCache>
                <c:ptCount val="1"/>
                <c:pt idx="0">
                  <c:v>Peso ponderado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0,2391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651-42E3-BCAB-03BA432963E1}"/>
                </c:ext>
                <c:ext xmlns:c15="http://schemas.microsoft.com/office/drawing/2012/chart" uri="{CE6537A1-D6FC-4f65-9D91-7224C49458BB}"/>
              </c:extLst>
            </c:dLbl>
            <c:dLbl>
              <c:idx val="1"/>
              <c:tx>
                <c:rich>
                  <a:bodyPr/>
                  <a:lstStyle/>
                  <a:p>
                    <a:r>
                      <a:rPr lang="en-US"/>
                      <a:t>0,2552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651-42E3-BCAB-03BA432963E1}"/>
                </c:ext>
                <c:ext xmlns:c15="http://schemas.microsoft.com/office/drawing/2012/chart" uri="{CE6537A1-D6FC-4f65-9D91-7224C49458BB}"/>
              </c:extLst>
            </c:dLbl>
            <c:dLbl>
              <c:idx val="2"/>
              <c:tx>
                <c:rich>
                  <a:bodyPr/>
                  <a:lstStyle/>
                  <a:p>
                    <a:r>
                      <a:rPr lang="en-US"/>
                      <a:t>0,1015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651-42E3-BCAB-03BA432963E1}"/>
                </c:ext>
                <c:ext xmlns:c15="http://schemas.microsoft.com/office/drawing/2012/chart" uri="{CE6537A1-D6FC-4f65-9D91-7224C49458BB}"/>
              </c:extLst>
            </c:dLbl>
            <c:dLbl>
              <c:idx val="3"/>
              <c:tx>
                <c:rich>
                  <a:bodyPr/>
                  <a:lstStyle/>
                  <a:p>
                    <a:r>
                      <a:rPr lang="en-US"/>
                      <a:t>0,1934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651-42E3-BCAB-03BA432963E1}"/>
                </c:ext>
                <c:ext xmlns:c15="http://schemas.microsoft.com/office/drawing/2012/chart" uri="{CE6537A1-D6FC-4f65-9D91-7224C49458BB}"/>
              </c:extLst>
            </c:dLbl>
            <c:dLbl>
              <c:idx val="4"/>
              <c:tx>
                <c:rich>
                  <a:bodyPr/>
                  <a:lstStyle/>
                  <a:p>
                    <a:r>
                      <a:rPr lang="en-US"/>
                      <a:t>0,2107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651-42E3-BCAB-03BA432963E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Sheet1!$H$7:$H$11</c:f>
              <c:strCache>
                <c:ptCount val="5"/>
                <c:pt idx="0">
                  <c:v>Productividad</c:v>
                </c:pt>
                <c:pt idx="1">
                  <c:v>Nivel de servicio al cliente</c:v>
                </c:pt>
                <c:pt idx="2">
                  <c:v>Tasa de valor agregado</c:v>
                </c:pt>
                <c:pt idx="3">
                  <c:v>Eco-eficiencia</c:v>
                </c:pt>
                <c:pt idx="4">
                  <c:v>Rentabilidad</c:v>
                </c:pt>
              </c:strCache>
            </c:strRef>
          </c:cat>
          <c:val>
            <c:numRef>
              <c:f>Sheet1!$I$7:$I$11</c:f>
              <c:numCache>
                <c:formatCode>General</c:formatCode>
                <c:ptCount val="5"/>
                <c:pt idx="0">
                  <c:v>0.23910000000000001</c:v>
                </c:pt>
                <c:pt idx="1">
                  <c:v>0.25519999999999998</c:v>
                </c:pt>
                <c:pt idx="2">
                  <c:v>0.10150000000000001</c:v>
                </c:pt>
                <c:pt idx="3">
                  <c:v>0.19339999999999999</c:v>
                </c:pt>
                <c:pt idx="4">
                  <c:v>0.2107</c:v>
                </c:pt>
              </c:numCache>
            </c:numRef>
          </c:val>
          <c:extLst xmlns:c16r2="http://schemas.microsoft.com/office/drawing/2015/06/chart">
            <c:ext xmlns:c16="http://schemas.microsoft.com/office/drawing/2014/chart" uri="{C3380CC4-5D6E-409C-BE32-E72D297353CC}">
              <c16:uniqueId val="{00000005-5651-42E3-BCAB-03BA432963E1}"/>
            </c:ext>
          </c:extLst>
        </c:ser>
        <c:ser>
          <c:idx val="1"/>
          <c:order val="1"/>
          <c:tx>
            <c:strRef>
              <c:f>Sheet1!$J$6</c:f>
              <c:strCache>
                <c:ptCount val="1"/>
                <c:pt idx="0">
                  <c:v>Valor del criterio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0,77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651-42E3-BCAB-03BA432963E1}"/>
                </c:ext>
                <c:ext xmlns:c15="http://schemas.microsoft.com/office/drawing/2012/chart" uri="{CE6537A1-D6FC-4f65-9D91-7224C49458BB}"/>
              </c:extLst>
            </c:dLbl>
            <c:dLbl>
              <c:idx val="1"/>
              <c:tx>
                <c:rich>
                  <a:bodyPr/>
                  <a:lstStyle/>
                  <a:p>
                    <a:r>
                      <a:rPr lang="en-US"/>
                      <a:t>0,93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651-42E3-BCAB-03BA432963E1}"/>
                </c:ext>
                <c:ext xmlns:c15="http://schemas.microsoft.com/office/drawing/2012/chart" uri="{CE6537A1-D6FC-4f65-9D91-7224C49458BB}"/>
              </c:extLst>
            </c:dLbl>
            <c:dLbl>
              <c:idx val="2"/>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651-42E3-BCAB-03BA432963E1}"/>
                </c:ext>
                <c:ext xmlns:c15="http://schemas.microsoft.com/office/drawing/2012/chart" uri="{CE6537A1-D6FC-4f65-9D91-7224C49458BB}"/>
              </c:extLst>
            </c:dLbl>
            <c:dLbl>
              <c:idx val="3"/>
              <c:tx>
                <c:rich>
                  <a:bodyPr/>
                  <a:lstStyle/>
                  <a:p>
                    <a:r>
                      <a:rPr lang="en-US"/>
                      <a:t>0,73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651-42E3-BCAB-03BA432963E1}"/>
                </c:ext>
                <c:ext xmlns:c15="http://schemas.microsoft.com/office/drawing/2012/chart" uri="{CE6537A1-D6FC-4f65-9D91-7224C49458BB}"/>
              </c:extLst>
            </c:dLbl>
            <c:dLbl>
              <c:idx val="4"/>
              <c:tx>
                <c:rich>
                  <a:bodyPr/>
                  <a:lstStyle/>
                  <a:p>
                    <a:r>
                      <a:rPr lang="en-US"/>
                      <a:t>0,03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651-42E3-BCAB-03BA432963E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Sheet1!$H$7:$H$11</c:f>
              <c:strCache>
                <c:ptCount val="5"/>
                <c:pt idx="0">
                  <c:v>Productividad</c:v>
                </c:pt>
                <c:pt idx="1">
                  <c:v>Nivel de servicio al cliente</c:v>
                </c:pt>
                <c:pt idx="2">
                  <c:v>Tasa de valor agregado</c:v>
                </c:pt>
                <c:pt idx="3">
                  <c:v>Eco-eficiencia</c:v>
                </c:pt>
                <c:pt idx="4">
                  <c:v>Rentabilidad</c:v>
                </c:pt>
              </c:strCache>
            </c:strRef>
          </c:cat>
          <c:val>
            <c:numRef>
              <c:f>Sheet1!$J$7:$J$11</c:f>
              <c:numCache>
                <c:formatCode>0\.00</c:formatCode>
                <c:ptCount val="5"/>
                <c:pt idx="0">
                  <c:v>0.76600000000000001</c:v>
                </c:pt>
                <c:pt idx="1">
                  <c:v>0.93</c:v>
                </c:pt>
                <c:pt idx="2">
                  <c:v>0.99870000000000003</c:v>
                </c:pt>
                <c:pt idx="3">
                  <c:v>0.72629999999999995</c:v>
                </c:pt>
                <c:pt idx="4">
                  <c:v>3.2800000000000003E-2</c:v>
                </c:pt>
              </c:numCache>
            </c:numRef>
          </c:val>
          <c:extLst xmlns:c16r2="http://schemas.microsoft.com/office/drawing/2015/06/chart">
            <c:ext xmlns:c16="http://schemas.microsoft.com/office/drawing/2014/chart" uri="{C3380CC4-5D6E-409C-BE32-E72D297353CC}">
              <c16:uniqueId val="{0000000B-5651-42E3-BCAB-03BA432963E1}"/>
            </c:ext>
          </c:extLst>
        </c:ser>
        <c:ser>
          <c:idx val="2"/>
          <c:order val="2"/>
          <c:tx>
            <c:strRef>
              <c:f>Sheet1!$K$6</c:f>
              <c:strCache>
                <c:ptCount val="1"/>
                <c:pt idx="0">
                  <c:v>Evaluación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Sheet1!$H$7:$H$11</c:f>
              <c:strCache>
                <c:ptCount val="5"/>
                <c:pt idx="0">
                  <c:v>Productividad</c:v>
                </c:pt>
                <c:pt idx="1">
                  <c:v>Nivel de servicio al cliente</c:v>
                </c:pt>
                <c:pt idx="2">
                  <c:v>Tasa de valor agregado</c:v>
                </c:pt>
                <c:pt idx="3">
                  <c:v>Eco-eficiencia</c:v>
                </c:pt>
                <c:pt idx="4">
                  <c:v>Rentabilidad</c:v>
                </c:pt>
              </c:strCache>
            </c:strRef>
          </c:cat>
          <c:val>
            <c:numRef>
              <c:f>Sheet1!$K$7:$K$11</c:f>
              <c:numCache>
                <c:formatCode>General</c:formatCode>
                <c:ptCount val="5"/>
                <c:pt idx="0">
                  <c:v>3</c:v>
                </c:pt>
                <c:pt idx="1">
                  <c:v>4</c:v>
                </c:pt>
                <c:pt idx="2">
                  <c:v>5</c:v>
                </c:pt>
                <c:pt idx="3">
                  <c:v>1</c:v>
                </c:pt>
                <c:pt idx="4">
                  <c:v>2</c:v>
                </c:pt>
              </c:numCache>
            </c:numRef>
          </c:val>
          <c:extLst xmlns:c16r2="http://schemas.microsoft.com/office/drawing/2015/06/chart">
            <c:ext xmlns:c16="http://schemas.microsoft.com/office/drawing/2014/chart" uri="{C3380CC4-5D6E-409C-BE32-E72D297353CC}">
              <c16:uniqueId val="{0000000C-5651-42E3-BCAB-03BA432963E1}"/>
            </c:ext>
          </c:extLst>
        </c:ser>
        <c:dLbls>
          <c:dLblPos val="outEnd"/>
          <c:showLegendKey val="0"/>
          <c:showVal val="1"/>
          <c:showCatName val="0"/>
          <c:showSerName val="0"/>
          <c:showPercent val="0"/>
          <c:showBubbleSize val="0"/>
        </c:dLbls>
        <c:gapWidth val="100"/>
        <c:overlap val="-24"/>
        <c:axId val="341214080"/>
        <c:axId val="341218392"/>
      </c:barChart>
      <c:catAx>
        <c:axId val="341214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41218392"/>
        <c:crosses val="autoZero"/>
        <c:auto val="1"/>
        <c:lblAlgn val="ctr"/>
        <c:lblOffset val="100"/>
        <c:noMultiLvlLbl val="0"/>
      </c:catAx>
      <c:valAx>
        <c:axId val="341218392"/>
        <c:scaling>
          <c:orientation val="minMax"/>
        </c:scaling>
        <c:delete val="0"/>
        <c:axPos val="l"/>
        <c:numFmt formatCode="General" sourceLinked="1"/>
        <c:majorTickMark val="none"/>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4121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598FC6-369C-4FE0-B16E-1A42196E9F29}"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lang="en-US"/>
        </a:p>
      </dgm:t>
    </dgm:pt>
    <dgm:pt modelId="{2B76724F-4599-4236-A0F5-46FB194FDCFC}">
      <dgm:prSet phldrT="[Text]" custT="1"/>
      <dgm:spPr/>
      <dgm:t>
        <a:bodyPr/>
        <a:lstStyle/>
        <a:p>
          <a:r>
            <a:rPr lang="en-US" sz="900" b="0">
              <a:latin typeface="Times New Roman" panose="02020603050405020304" pitchFamily="18" charset="0"/>
              <a:cs typeface="Times New Roman" panose="02020603050405020304" pitchFamily="18" charset="0"/>
            </a:rPr>
            <a:t>Eslabón de aprovisiona-miento</a:t>
          </a:r>
        </a:p>
      </dgm:t>
    </dgm:pt>
    <dgm:pt modelId="{BFE095A7-2DE7-4A96-8BC1-0167244169FC}" type="parTrans" cxnId="{A0049641-9FA8-493B-BFB3-1319F8376212}">
      <dgm:prSet/>
      <dgm:spPr/>
      <dgm:t>
        <a:bodyPr/>
        <a:lstStyle/>
        <a:p>
          <a:endParaRPr lang="en-US" sz="700" b="0">
            <a:latin typeface="Times New Roman" panose="02020603050405020304" pitchFamily="18" charset="0"/>
            <a:cs typeface="Times New Roman" panose="02020603050405020304" pitchFamily="18" charset="0"/>
          </a:endParaRPr>
        </a:p>
      </dgm:t>
    </dgm:pt>
    <dgm:pt modelId="{3D57E585-A62D-4BF1-A7A5-F729097E90D1}" type="sibTrans" cxnId="{A0049641-9FA8-493B-BFB3-1319F8376212}">
      <dgm:prSet/>
      <dgm:spPr/>
      <dgm:t>
        <a:bodyPr/>
        <a:lstStyle/>
        <a:p>
          <a:endParaRPr lang="en-US" sz="700" b="0">
            <a:latin typeface="Times New Roman" panose="02020603050405020304" pitchFamily="18" charset="0"/>
            <a:cs typeface="Times New Roman" panose="02020603050405020304" pitchFamily="18" charset="0"/>
          </a:endParaRPr>
        </a:p>
      </dgm:t>
    </dgm:pt>
    <dgm:pt modelId="{1DFC0AFC-4C3F-4DE9-9AE5-ED94F239A7E2}">
      <dgm:prSet phldrT="[Text]" custT="1"/>
      <dgm:spPr/>
      <dgm:t>
        <a:bodyPr/>
        <a:lstStyle/>
        <a:p>
          <a:r>
            <a:rPr lang="es-ES" sz="900" b="0">
              <a:latin typeface="Times New Roman" panose="02020603050405020304" pitchFamily="18" charset="0"/>
              <a:cs typeface="Times New Roman" panose="02020603050405020304" pitchFamily="18" charset="0"/>
            </a:rPr>
            <a:t>Compra de la materia prima (P-1)</a:t>
          </a:r>
          <a:endParaRPr lang="en-US" sz="900" b="0">
            <a:latin typeface="Times New Roman" panose="02020603050405020304" pitchFamily="18" charset="0"/>
            <a:cs typeface="Times New Roman" panose="02020603050405020304" pitchFamily="18" charset="0"/>
          </a:endParaRPr>
        </a:p>
      </dgm:t>
    </dgm:pt>
    <dgm:pt modelId="{0D52BEA9-F1C4-4D08-8668-E725E50AA382}" type="parTrans" cxnId="{FB519EFE-87C0-4242-AA5E-0B56C397E398}">
      <dgm:prSet/>
      <dgm:spPr/>
      <dgm:t>
        <a:bodyPr/>
        <a:lstStyle/>
        <a:p>
          <a:endParaRPr lang="en-US" sz="700" b="0">
            <a:latin typeface="Times New Roman" panose="02020603050405020304" pitchFamily="18" charset="0"/>
            <a:cs typeface="Times New Roman" panose="02020603050405020304" pitchFamily="18" charset="0"/>
          </a:endParaRPr>
        </a:p>
      </dgm:t>
    </dgm:pt>
    <dgm:pt modelId="{83570E6F-0A2F-4537-ABBC-8B2E110C3A17}" type="sibTrans" cxnId="{FB519EFE-87C0-4242-AA5E-0B56C397E398}">
      <dgm:prSet/>
      <dgm:spPr/>
      <dgm:t>
        <a:bodyPr/>
        <a:lstStyle/>
        <a:p>
          <a:endParaRPr lang="en-US" sz="700" b="0">
            <a:latin typeface="Times New Roman" panose="02020603050405020304" pitchFamily="18" charset="0"/>
            <a:cs typeface="Times New Roman" panose="02020603050405020304" pitchFamily="18" charset="0"/>
          </a:endParaRPr>
        </a:p>
      </dgm:t>
    </dgm:pt>
    <dgm:pt modelId="{248A8175-C93B-43D1-B05B-F61DA58FF0BF}">
      <dgm:prSet phldrT="[Text]" custT="1"/>
      <dgm:spPr/>
      <dgm:t>
        <a:bodyPr/>
        <a:lstStyle/>
        <a:p>
          <a:r>
            <a:rPr lang="en-US" sz="900" b="0">
              <a:latin typeface="Times New Roman" panose="02020603050405020304" pitchFamily="18" charset="0"/>
              <a:cs typeface="Times New Roman" panose="02020603050405020304" pitchFamily="18" charset="0"/>
            </a:rPr>
            <a:t>Eslabón de producc</a:t>
          </a:r>
          <a:r>
            <a:rPr lang="es-ES" sz="900" b="0">
              <a:latin typeface="Times New Roman" panose="02020603050405020304" pitchFamily="18" charset="0"/>
              <a:cs typeface="Times New Roman" panose="02020603050405020304" pitchFamily="18" charset="0"/>
            </a:rPr>
            <a:t>ión</a:t>
          </a:r>
          <a:endParaRPr lang="en-US" sz="900" b="0">
            <a:latin typeface="Times New Roman" panose="02020603050405020304" pitchFamily="18" charset="0"/>
            <a:cs typeface="Times New Roman" panose="02020603050405020304" pitchFamily="18" charset="0"/>
          </a:endParaRPr>
        </a:p>
      </dgm:t>
    </dgm:pt>
    <dgm:pt modelId="{65FBA841-4CBC-45F4-84DA-BBE0349BC81A}" type="parTrans" cxnId="{CD33ECA0-B213-4BAC-8E67-4E9D53D17E18}">
      <dgm:prSet/>
      <dgm:spPr/>
      <dgm:t>
        <a:bodyPr/>
        <a:lstStyle/>
        <a:p>
          <a:endParaRPr lang="en-US" sz="700" b="0">
            <a:latin typeface="Times New Roman" panose="02020603050405020304" pitchFamily="18" charset="0"/>
            <a:cs typeface="Times New Roman" panose="02020603050405020304" pitchFamily="18" charset="0"/>
          </a:endParaRPr>
        </a:p>
      </dgm:t>
    </dgm:pt>
    <dgm:pt modelId="{1063B4B1-05F7-49A0-B56D-694307F98134}" type="sibTrans" cxnId="{CD33ECA0-B213-4BAC-8E67-4E9D53D17E18}">
      <dgm:prSet/>
      <dgm:spPr/>
      <dgm:t>
        <a:bodyPr/>
        <a:lstStyle/>
        <a:p>
          <a:endParaRPr lang="en-US" sz="700" b="0">
            <a:latin typeface="Times New Roman" panose="02020603050405020304" pitchFamily="18" charset="0"/>
            <a:cs typeface="Times New Roman" panose="02020603050405020304" pitchFamily="18" charset="0"/>
          </a:endParaRPr>
        </a:p>
      </dgm:t>
    </dgm:pt>
    <dgm:pt modelId="{EF913F6B-0AD8-4EFC-BBB5-C12B0552E876}">
      <dgm:prSet phldrT="[Text]" custT="1"/>
      <dgm:spPr/>
      <dgm:t>
        <a:bodyPr/>
        <a:lstStyle/>
        <a:p>
          <a:r>
            <a:rPr lang="es-ES" sz="900" b="0">
              <a:latin typeface="Times New Roman" panose="02020603050405020304" pitchFamily="18" charset="0"/>
              <a:cs typeface="Times New Roman" panose="02020603050405020304" pitchFamily="18" charset="0"/>
            </a:rPr>
            <a:t>Aprovisionamiento del laboratorio (P-5)</a:t>
          </a:r>
          <a:endParaRPr lang="en-US" sz="900" b="0">
            <a:latin typeface="Times New Roman" panose="02020603050405020304" pitchFamily="18" charset="0"/>
            <a:cs typeface="Times New Roman" panose="02020603050405020304" pitchFamily="18" charset="0"/>
          </a:endParaRPr>
        </a:p>
      </dgm:t>
    </dgm:pt>
    <dgm:pt modelId="{E4B7B5B7-72B8-48A9-9770-6AE04D7E5081}" type="parTrans" cxnId="{AA2C6F4D-FF37-4ABD-8CFE-35DFC604FD15}">
      <dgm:prSet/>
      <dgm:spPr/>
      <dgm:t>
        <a:bodyPr/>
        <a:lstStyle/>
        <a:p>
          <a:endParaRPr lang="en-US" sz="700" b="0">
            <a:latin typeface="Times New Roman" panose="02020603050405020304" pitchFamily="18" charset="0"/>
            <a:cs typeface="Times New Roman" panose="02020603050405020304" pitchFamily="18" charset="0"/>
          </a:endParaRPr>
        </a:p>
      </dgm:t>
    </dgm:pt>
    <dgm:pt modelId="{88581F67-D13A-4B84-83C0-8485236BEC96}" type="sibTrans" cxnId="{AA2C6F4D-FF37-4ABD-8CFE-35DFC604FD15}">
      <dgm:prSet/>
      <dgm:spPr/>
      <dgm:t>
        <a:bodyPr/>
        <a:lstStyle/>
        <a:p>
          <a:endParaRPr lang="en-US" sz="700" b="0">
            <a:latin typeface="Times New Roman" panose="02020603050405020304" pitchFamily="18" charset="0"/>
            <a:cs typeface="Times New Roman" panose="02020603050405020304" pitchFamily="18" charset="0"/>
          </a:endParaRPr>
        </a:p>
      </dgm:t>
    </dgm:pt>
    <dgm:pt modelId="{DBE25742-636F-43BA-ACAD-6A3A23A57AEB}">
      <dgm:prSet phldrT="[Text]" custT="1"/>
      <dgm:spPr/>
      <dgm:t>
        <a:bodyPr/>
        <a:lstStyle/>
        <a:p>
          <a:r>
            <a:rPr lang="en-US" sz="900" b="0">
              <a:solidFill>
                <a:sysClr val="windowText" lastClr="000000"/>
              </a:solidFill>
              <a:latin typeface="Times New Roman" panose="02020603050405020304" pitchFamily="18" charset="0"/>
              <a:cs typeface="Times New Roman" panose="02020603050405020304" pitchFamily="18" charset="0"/>
            </a:rPr>
            <a:t>Eslabón de distribución</a:t>
          </a:r>
        </a:p>
      </dgm:t>
    </dgm:pt>
    <dgm:pt modelId="{D9FE6D92-A5A8-4193-A621-76C6CE5F85E5}" type="parTrans" cxnId="{8E4BC474-BBB9-417C-B704-C0DAE2B16028}">
      <dgm:prSet/>
      <dgm:spPr/>
      <dgm:t>
        <a:bodyPr/>
        <a:lstStyle/>
        <a:p>
          <a:endParaRPr lang="en-US" sz="700" b="0">
            <a:latin typeface="Times New Roman" panose="02020603050405020304" pitchFamily="18" charset="0"/>
            <a:cs typeface="Times New Roman" panose="02020603050405020304" pitchFamily="18" charset="0"/>
          </a:endParaRPr>
        </a:p>
      </dgm:t>
    </dgm:pt>
    <dgm:pt modelId="{CB7D75B1-D61C-4DB6-9429-19143C9D913C}" type="sibTrans" cxnId="{8E4BC474-BBB9-417C-B704-C0DAE2B16028}">
      <dgm:prSet/>
      <dgm:spPr/>
      <dgm:t>
        <a:bodyPr/>
        <a:lstStyle/>
        <a:p>
          <a:endParaRPr lang="en-US" sz="700" b="0">
            <a:latin typeface="Times New Roman" panose="02020603050405020304" pitchFamily="18" charset="0"/>
            <a:cs typeface="Times New Roman" panose="02020603050405020304" pitchFamily="18" charset="0"/>
          </a:endParaRPr>
        </a:p>
      </dgm:t>
    </dgm:pt>
    <dgm:pt modelId="{847E4802-B670-425A-8F60-0F6CF53C987B}">
      <dgm:prSet phldrT="[Text]" custT="1"/>
      <dgm:spPr/>
      <dgm:t>
        <a:bodyPr/>
        <a:lstStyle/>
        <a:p>
          <a:r>
            <a:rPr lang="es-ES" sz="900" b="0">
              <a:latin typeface="Times New Roman" panose="02020603050405020304" pitchFamily="18" charset="0"/>
              <a:cs typeface="Times New Roman" panose="02020603050405020304" pitchFamily="18" charset="0"/>
            </a:rPr>
            <a:t>Comunicación a los clientes sobre </a:t>
          </a:r>
          <a:endParaRPr lang="en-US" sz="900" b="0">
            <a:latin typeface="Times New Roman" panose="02020603050405020304" pitchFamily="18" charset="0"/>
            <a:cs typeface="Times New Roman" panose="02020603050405020304" pitchFamily="18" charset="0"/>
          </a:endParaRPr>
        </a:p>
      </dgm:t>
    </dgm:pt>
    <dgm:pt modelId="{0AA049ED-D45D-4DF7-BE15-AF310479CCD6}" type="parTrans" cxnId="{55C45696-B17E-44B1-BCA5-70B3B9318E55}">
      <dgm:prSet/>
      <dgm:spPr/>
      <dgm:t>
        <a:bodyPr/>
        <a:lstStyle/>
        <a:p>
          <a:endParaRPr lang="en-US" sz="700" b="0">
            <a:latin typeface="Times New Roman" panose="02020603050405020304" pitchFamily="18" charset="0"/>
            <a:cs typeface="Times New Roman" panose="02020603050405020304" pitchFamily="18" charset="0"/>
          </a:endParaRPr>
        </a:p>
      </dgm:t>
    </dgm:pt>
    <dgm:pt modelId="{7E2320E0-8F47-4133-9CE3-2661BF0EBDFA}" type="sibTrans" cxnId="{55C45696-B17E-44B1-BCA5-70B3B9318E55}">
      <dgm:prSet/>
      <dgm:spPr/>
      <dgm:t>
        <a:bodyPr/>
        <a:lstStyle/>
        <a:p>
          <a:endParaRPr lang="en-US" sz="700" b="0">
            <a:latin typeface="Times New Roman" panose="02020603050405020304" pitchFamily="18" charset="0"/>
            <a:cs typeface="Times New Roman" panose="02020603050405020304" pitchFamily="18" charset="0"/>
          </a:endParaRPr>
        </a:p>
      </dgm:t>
    </dgm:pt>
    <dgm:pt modelId="{D0733764-544D-4EC4-A175-1DAD6A43B59D}">
      <dgm:prSet custT="1"/>
      <dgm:spPr/>
      <dgm:t>
        <a:bodyPr/>
        <a:lstStyle/>
        <a:p>
          <a:r>
            <a:rPr lang="es-ES" sz="900" b="0">
              <a:latin typeface="Times New Roman" panose="02020603050405020304" pitchFamily="18" charset="0"/>
              <a:cs typeface="Times New Roman" panose="02020603050405020304" pitchFamily="18" charset="0"/>
            </a:rPr>
            <a:t>Contratación del transporte (P-2)</a:t>
          </a:r>
          <a:endParaRPr lang="en-US" sz="900" b="0">
            <a:latin typeface="Times New Roman" panose="02020603050405020304" pitchFamily="18" charset="0"/>
            <a:cs typeface="Times New Roman" panose="02020603050405020304" pitchFamily="18" charset="0"/>
          </a:endParaRPr>
        </a:p>
      </dgm:t>
    </dgm:pt>
    <dgm:pt modelId="{38ABDDC7-45D1-4A85-B651-07871C69B00D}" type="parTrans" cxnId="{794025F4-2F64-470F-AB5D-FE854FDC843B}">
      <dgm:prSet/>
      <dgm:spPr/>
      <dgm:t>
        <a:bodyPr/>
        <a:lstStyle/>
        <a:p>
          <a:endParaRPr lang="en-US" sz="700" b="0">
            <a:latin typeface="Times New Roman" panose="02020603050405020304" pitchFamily="18" charset="0"/>
            <a:cs typeface="Times New Roman" panose="02020603050405020304" pitchFamily="18" charset="0"/>
          </a:endParaRPr>
        </a:p>
      </dgm:t>
    </dgm:pt>
    <dgm:pt modelId="{5661270A-5432-49CF-B574-E69FD9449874}" type="sibTrans" cxnId="{794025F4-2F64-470F-AB5D-FE854FDC843B}">
      <dgm:prSet/>
      <dgm:spPr/>
      <dgm:t>
        <a:bodyPr/>
        <a:lstStyle/>
        <a:p>
          <a:endParaRPr lang="en-US" sz="700" b="0">
            <a:latin typeface="Times New Roman" panose="02020603050405020304" pitchFamily="18" charset="0"/>
            <a:cs typeface="Times New Roman" panose="02020603050405020304" pitchFamily="18" charset="0"/>
          </a:endParaRPr>
        </a:p>
      </dgm:t>
    </dgm:pt>
    <dgm:pt modelId="{CDC73EA7-F60F-48D5-AAAB-3F95D4F2A56B}">
      <dgm:prSet custT="1"/>
      <dgm:spPr/>
      <dgm:t>
        <a:bodyPr/>
        <a:lstStyle/>
        <a:p>
          <a:r>
            <a:rPr lang="es-ES" sz="900" b="0">
              <a:latin typeface="Times New Roman" panose="02020603050405020304" pitchFamily="18" charset="0"/>
              <a:cs typeface="Times New Roman" panose="02020603050405020304" pitchFamily="18" charset="0"/>
            </a:rPr>
            <a:t>Revisión de la materia prima (P-3)</a:t>
          </a:r>
          <a:endParaRPr lang="en-US" sz="900" b="0">
            <a:latin typeface="Times New Roman" panose="02020603050405020304" pitchFamily="18" charset="0"/>
            <a:cs typeface="Times New Roman" panose="02020603050405020304" pitchFamily="18" charset="0"/>
          </a:endParaRPr>
        </a:p>
      </dgm:t>
    </dgm:pt>
    <dgm:pt modelId="{9B73A05E-F3F1-4B68-A8D6-50104493873A}" type="parTrans" cxnId="{BE3B73B5-20A0-4273-990D-4E7CDE2B1463}">
      <dgm:prSet/>
      <dgm:spPr/>
      <dgm:t>
        <a:bodyPr/>
        <a:lstStyle/>
        <a:p>
          <a:endParaRPr lang="en-US" sz="700" b="0">
            <a:latin typeface="Times New Roman" panose="02020603050405020304" pitchFamily="18" charset="0"/>
            <a:cs typeface="Times New Roman" panose="02020603050405020304" pitchFamily="18" charset="0"/>
          </a:endParaRPr>
        </a:p>
      </dgm:t>
    </dgm:pt>
    <dgm:pt modelId="{78011348-2685-46DA-A595-628D3584A7AB}" type="sibTrans" cxnId="{BE3B73B5-20A0-4273-990D-4E7CDE2B1463}">
      <dgm:prSet/>
      <dgm:spPr/>
      <dgm:t>
        <a:bodyPr/>
        <a:lstStyle/>
        <a:p>
          <a:endParaRPr lang="en-US" sz="700" b="0">
            <a:latin typeface="Times New Roman" panose="02020603050405020304" pitchFamily="18" charset="0"/>
            <a:cs typeface="Times New Roman" panose="02020603050405020304" pitchFamily="18" charset="0"/>
          </a:endParaRPr>
        </a:p>
      </dgm:t>
    </dgm:pt>
    <dgm:pt modelId="{A3586AAA-F70A-44A4-91F9-9C809E4E5335}">
      <dgm:prSet custT="1"/>
      <dgm:spPr/>
      <dgm:t>
        <a:bodyPr/>
        <a:lstStyle/>
        <a:p>
          <a:r>
            <a:rPr lang="es-ES" sz="900" b="0">
              <a:latin typeface="Times New Roman" panose="02020603050405020304" pitchFamily="18" charset="0"/>
              <a:cs typeface="Times New Roman" panose="02020603050405020304" pitchFamily="18" charset="0"/>
            </a:rPr>
            <a:t>Transporte de la materia prima hasta el almacén de materia prima (OP-4)</a:t>
          </a:r>
          <a:endParaRPr lang="en-US" sz="900" b="0">
            <a:latin typeface="Times New Roman" panose="02020603050405020304" pitchFamily="18" charset="0"/>
            <a:cs typeface="Times New Roman" panose="02020603050405020304" pitchFamily="18" charset="0"/>
          </a:endParaRPr>
        </a:p>
      </dgm:t>
    </dgm:pt>
    <dgm:pt modelId="{642D081D-A54C-4730-87A2-4260606875AD}" type="parTrans" cxnId="{B4D30A1E-1482-45EC-8AFD-327B1F711E81}">
      <dgm:prSet/>
      <dgm:spPr/>
      <dgm:t>
        <a:bodyPr/>
        <a:lstStyle/>
        <a:p>
          <a:endParaRPr lang="en-US" sz="700" b="0">
            <a:latin typeface="Times New Roman" panose="02020603050405020304" pitchFamily="18" charset="0"/>
            <a:cs typeface="Times New Roman" panose="02020603050405020304" pitchFamily="18" charset="0"/>
          </a:endParaRPr>
        </a:p>
      </dgm:t>
    </dgm:pt>
    <dgm:pt modelId="{8E1EDBDC-14BB-4BA1-B0EE-AD9229DDF34F}" type="sibTrans" cxnId="{B4D30A1E-1482-45EC-8AFD-327B1F711E81}">
      <dgm:prSet/>
      <dgm:spPr/>
      <dgm:t>
        <a:bodyPr/>
        <a:lstStyle/>
        <a:p>
          <a:endParaRPr lang="en-US" sz="700" b="0">
            <a:latin typeface="Times New Roman" panose="02020603050405020304" pitchFamily="18" charset="0"/>
            <a:cs typeface="Times New Roman" panose="02020603050405020304" pitchFamily="18" charset="0"/>
          </a:endParaRPr>
        </a:p>
      </dgm:t>
    </dgm:pt>
    <dgm:pt modelId="{DDD581C5-BCA5-4629-A604-F68F29167181}">
      <dgm:prSet custT="1"/>
      <dgm:spPr/>
      <dgm:t>
        <a:bodyPr/>
        <a:lstStyle/>
        <a:p>
          <a:r>
            <a:rPr lang="es-ES" sz="900" b="0">
              <a:latin typeface="Times New Roman" panose="02020603050405020304" pitchFamily="18" charset="0"/>
              <a:cs typeface="Times New Roman" panose="02020603050405020304" pitchFamily="18" charset="0"/>
            </a:rPr>
            <a:t>Preparación de la materia prima (P-6)</a:t>
          </a:r>
          <a:endParaRPr lang="en-US" sz="900" b="0">
            <a:latin typeface="Times New Roman" panose="02020603050405020304" pitchFamily="18" charset="0"/>
            <a:cs typeface="Times New Roman" panose="02020603050405020304" pitchFamily="18" charset="0"/>
          </a:endParaRPr>
        </a:p>
      </dgm:t>
    </dgm:pt>
    <dgm:pt modelId="{E84F0C1A-3777-4169-ADF3-F809EDE6672D}" type="parTrans" cxnId="{C55B12DB-1B15-4F67-8948-C27B4746C2BE}">
      <dgm:prSet/>
      <dgm:spPr/>
      <dgm:t>
        <a:bodyPr/>
        <a:lstStyle/>
        <a:p>
          <a:endParaRPr lang="en-US" sz="700" b="0">
            <a:latin typeface="Times New Roman" panose="02020603050405020304" pitchFamily="18" charset="0"/>
            <a:cs typeface="Times New Roman" panose="02020603050405020304" pitchFamily="18" charset="0"/>
          </a:endParaRPr>
        </a:p>
      </dgm:t>
    </dgm:pt>
    <dgm:pt modelId="{AB01F570-82D5-4F88-B60B-9CFA3B896B7E}" type="sibTrans" cxnId="{C55B12DB-1B15-4F67-8948-C27B4746C2BE}">
      <dgm:prSet/>
      <dgm:spPr/>
      <dgm:t>
        <a:bodyPr/>
        <a:lstStyle/>
        <a:p>
          <a:endParaRPr lang="en-US" sz="700" b="0">
            <a:latin typeface="Times New Roman" panose="02020603050405020304" pitchFamily="18" charset="0"/>
            <a:cs typeface="Times New Roman" panose="02020603050405020304" pitchFamily="18" charset="0"/>
          </a:endParaRPr>
        </a:p>
      </dgm:t>
    </dgm:pt>
    <dgm:pt modelId="{1BEBCACD-5EE1-40F0-B18F-8B1E096F9AC2}">
      <dgm:prSet custT="1"/>
      <dgm:spPr/>
      <dgm:t>
        <a:bodyPr/>
        <a:lstStyle/>
        <a:p>
          <a:r>
            <a:rPr lang="es-ES" sz="900" b="0">
              <a:latin typeface="Times New Roman" panose="02020603050405020304" pitchFamily="18" charset="0"/>
              <a:cs typeface="Times New Roman" panose="02020603050405020304" pitchFamily="18" charset="0"/>
            </a:rPr>
            <a:t>Calibración de los CEE (P-7)</a:t>
          </a:r>
          <a:endParaRPr lang="en-US" sz="900" b="0">
            <a:latin typeface="Times New Roman" panose="02020603050405020304" pitchFamily="18" charset="0"/>
            <a:cs typeface="Times New Roman" panose="02020603050405020304" pitchFamily="18" charset="0"/>
          </a:endParaRPr>
        </a:p>
      </dgm:t>
    </dgm:pt>
    <dgm:pt modelId="{FE60ED2B-2FB9-423E-BD21-BA318974543C}" type="parTrans" cxnId="{3DBCEE30-9558-4AA5-AA9D-EB97F73AD4CD}">
      <dgm:prSet/>
      <dgm:spPr/>
      <dgm:t>
        <a:bodyPr/>
        <a:lstStyle/>
        <a:p>
          <a:endParaRPr lang="en-US" sz="700" b="0">
            <a:latin typeface="Times New Roman" panose="02020603050405020304" pitchFamily="18" charset="0"/>
            <a:cs typeface="Times New Roman" panose="02020603050405020304" pitchFamily="18" charset="0"/>
          </a:endParaRPr>
        </a:p>
      </dgm:t>
    </dgm:pt>
    <dgm:pt modelId="{940B72DB-EBDB-465F-BB73-7FC2173486B7}" type="sibTrans" cxnId="{3DBCEE30-9558-4AA5-AA9D-EB97F73AD4CD}">
      <dgm:prSet/>
      <dgm:spPr/>
      <dgm:t>
        <a:bodyPr/>
        <a:lstStyle/>
        <a:p>
          <a:endParaRPr lang="en-US" sz="700" b="0">
            <a:latin typeface="Times New Roman" panose="02020603050405020304" pitchFamily="18" charset="0"/>
            <a:cs typeface="Times New Roman" panose="02020603050405020304" pitchFamily="18" charset="0"/>
          </a:endParaRPr>
        </a:p>
      </dgm:t>
    </dgm:pt>
    <dgm:pt modelId="{6B79044E-9014-4BE2-94FF-10D9187F5F6D}">
      <dgm:prSet custT="1"/>
      <dgm:spPr/>
      <dgm:t>
        <a:bodyPr/>
        <a:lstStyle/>
        <a:p>
          <a:r>
            <a:rPr lang="es-ES" sz="900" b="0">
              <a:latin typeface="Times New Roman" panose="02020603050405020304" pitchFamily="18" charset="0"/>
              <a:cs typeface="Times New Roman" panose="02020603050405020304" pitchFamily="18" charset="0"/>
            </a:rPr>
            <a:t>Almacenaje de productos terminados (P-8)</a:t>
          </a:r>
          <a:endParaRPr lang="en-US" sz="900" b="0">
            <a:latin typeface="Times New Roman" panose="02020603050405020304" pitchFamily="18" charset="0"/>
            <a:cs typeface="Times New Roman" panose="02020603050405020304" pitchFamily="18" charset="0"/>
          </a:endParaRPr>
        </a:p>
      </dgm:t>
    </dgm:pt>
    <dgm:pt modelId="{AE9E8152-A1E8-49D6-AD50-775762B1FDB5}" type="parTrans" cxnId="{FA334724-E863-4266-84C7-F4ADA8046D7D}">
      <dgm:prSet/>
      <dgm:spPr/>
      <dgm:t>
        <a:bodyPr/>
        <a:lstStyle/>
        <a:p>
          <a:endParaRPr lang="en-US" sz="700" b="0">
            <a:latin typeface="Times New Roman" panose="02020603050405020304" pitchFamily="18" charset="0"/>
            <a:cs typeface="Times New Roman" panose="02020603050405020304" pitchFamily="18" charset="0"/>
          </a:endParaRPr>
        </a:p>
      </dgm:t>
    </dgm:pt>
    <dgm:pt modelId="{8DCE79B9-734E-42E9-B927-09C7124DFEC3}" type="sibTrans" cxnId="{FA334724-E863-4266-84C7-F4ADA8046D7D}">
      <dgm:prSet/>
      <dgm:spPr/>
      <dgm:t>
        <a:bodyPr/>
        <a:lstStyle/>
        <a:p>
          <a:endParaRPr lang="en-US" sz="700" b="0">
            <a:latin typeface="Times New Roman" panose="02020603050405020304" pitchFamily="18" charset="0"/>
            <a:cs typeface="Times New Roman" panose="02020603050405020304" pitchFamily="18" charset="0"/>
          </a:endParaRPr>
        </a:p>
      </dgm:t>
    </dgm:pt>
    <dgm:pt modelId="{33478FE3-607F-4155-A7C7-3B10AD6DA81D}">
      <dgm:prSet custT="1"/>
      <dgm:spPr/>
      <dgm:t>
        <a:bodyPr/>
        <a:lstStyle/>
        <a:p>
          <a:r>
            <a:rPr lang="es-ES" sz="900" b="0">
              <a:latin typeface="Times New Roman" panose="02020603050405020304" pitchFamily="18" charset="0"/>
              <a:cs typeface="Times New Roman" panose="02020603050405020304" pitchFamily="18" charset="0"/>
            </a:rPr>
            <a:t>productos terminados (P-9)</a:t>
          </a:r>
          <a:endParaRPr lang="en-US" sz="900" b="0">
            <a:latin typeface="Times New Roman" panose="02020603050405020304" pitchFamily="18" charset="0"/>
            <a:cs typeface="Times New Roman" panose="02020603050405020304" pitchFamily="18" charset="0"/>
          </a:endParaRPr>
        </a:p>
      </dgm:t>
    </dgm:pt>
    <dgm:pt modelId="{D6715627-2342-416E-8E61-AF44341F7D2C}" type="parTrans" cxnId="{CAFE31E2-5C91-40F1-AF4F-69DAA3C3E006}">
      <dgm:prSet/>
      <dgm:spPr/>
      <dgm:t>
        <a:bodyPr/>
        <a:lstStyle/>
        <a:p>
          <a:endParaRPr lang="en-US" sz="700" b="0">
            <a:latin typeface="Times New Roman" panose="02020603050405020304" pitchFamily="18" charset="0"/>
            <a:cs typeface="Times New Roman" panose="02020603050405020304" pitchFamily="18" charset="0"/>
          </a:endParaRPr>
        </a:p>
      </dgm:t>
    </dgm:pt>
    <dgm:pt modelId="{D590E820-D565-4040-A85F-F21BF5502197}" type="sibTrans" cxnId="{CAFE31E2-5C91-40F1-AF4F-69DAA3C3E006}">
      <dgm:prSet/>
      <dgm:spPr/>
      <dgm:t>
        <a:bodyPr/>
        <a:lstStyle/>
        <a:p>
          <a:endParaRPr lang="en-US" sz="700" b="0">
            <a:latin typeface="Times New Roman" panose="02020603050405020304" pitchFamily="18" charset="0"/>
            <a:cs typeface="Times New Roman" panose="02020603050405020304" pitchFamily="18" charset="0"/>
          </a:endParaRPr>
        </a:p>
      </dgm:t>
    </dgm:pt>
    <dgm:pt modelId="{257199B5-25C1-45BF-A2D0-9C95BD12BAE7}">
      <dgm:prSet custT="1"/>
      <dgm:spPr/>
      <dgm:t>
        <a:bodyPr/>
        <a:lstStyle/>
        <a:p>
          <a:r>
            <a:rPr lang="es-ES" sz="900" b="0">
              <a:latin typeface="Times New Roman" panose="02020603050405020304" pitchFamily="18" charset="0"/>
              <a:cs typeface="Times New Roman" panose="02020603050405020304" pitchFamily="18" charset="0"/>
            </a:rPr>
            <a:t>Servicio postventa (P-10)</a:t>
          </a:r>
          <a:endParaRPr lang="en-US" sz="900" b="0">
            <a:latin typeface="Times New Roman" panose="02020603050405020304" pitchFamily="18" charset="0"/>
            <a:cs typeface="Times New Roman" panose="02020603050405020304" pitchFamily="18" charset="0"/>
          </a:endParaRPr>
        </a:p>
      </dgm:t>
    </dgm:pt>
    <dgm:pt modelId="{A5A0491E-8141-4076-912A-6470BA09E612}" type="parTrans" cxnId="{A9DF1426-F64E-4614-8A42-37F3AE2ABF3E}">
      <dgm:prSet/>
      <dgm:spPr/>
      <dgm:t>
        <a:bodyPr/>
        <a:lstStyle/>
        <a:p>
          <a:endParaRPr lang="en-US" sz="700" b="0">
            <a:latin typeface="Times New Roman" panose="02020603050405020304" pitchFamily="18" charset="0"/>
            <a:cs typeface="Times New Roman" panose="02020603050405020304" pitchFamily="18" charset="0"/>
          </a:endParaRPr>
        </a:p>
      </dgm:t>
    </dgm:pt>
    <dgm:pt modelId="{9EFBF004-D933-471A-A8FA-BF801E7382C2}" type="sibTrans" cxnId="{A9DF1426-F64E-4614-8A42-37F3AE2ABF3E}">
      <dgm:prSet/>
      <dgm:spPr/>
      <dgm:t>
        <a:bodyPr/>
        <a:lstStyle/>
        <a:p>
          <a:endParaRPr lang="en-US" sz="700" b="0">
            <a:latin typeface="Times New Roman" panose="02020603050405020304" pitchFamily="18" charset="0"/>
            <a:cs typeface="Times New Roman" panose="02020603050405020304" pitchFamily="18" charset="0"/>
          </a:endParaRPr>
        </a:p>
      </dgm:t>
    </dgm:pt>
    <dgm:pt modelId="{A58C8C7F-CB56-43B1-A871-8563FE19F4AB}" type="pres">
      <dgm:prSet presAssocID="{32598FC6-369C-4FE0-B16E-1A42196E9F29}" presName="linearFlow" presStyleCnt="0">
        <dgm:presLayoutVars>
          <dgm:dir/>
          <dgm:animLvl val="lvl"/>
          <dgm:resizeHandles val="exact"/>
        </dgm:presLayoutVars>
      </dgm:prSet>
      <dgm:spPr/>
      <dgm:t>
        <a:bodyPr/>
        <a:lstStyle/>
        <a:p>
          <a:endParaRPr lang="en-US"/>
        </a:p>
      </dgm:t>
    </dgm:pt>
    <dgm:pt modelId="{ECED7D76-9521-47A6-A779-97DC9216550F}" type="pres">
      <dgm:prSet presAssocID="{2B76724F-4599-4236-A0F5-46FB194FDCFC}" presName="composite" presStyleCnt="0"/>
      <dgm:spPr/>
    </dgm:pt>
    <dgm:pt modelId="{D2A617A0-6EE2-4C13-B1B2-6CD6D33F5E14}" type="pres">
      <dgm:prSet presAssocID="{2B76724F-4599-4236-A0F5-46FB194FDCFC}" presName="parentText" presStyleLbl="alignNode1" presStyleIdx="0" presStyleCnt="3">
        <dgm:presLayoutVars>
          <dgm:chMax val="1"/>
          <dgm:bulletEnabled val="1"/>
        </dgm:presLayoutVars>
      </dgm:prSet>
      <dgm:spPr/>
      <dgm:t>
        <a:bodyPr/>
        <a:lstStyle/>
        <a:p>
          <a:endParaRPr lang="en-US"/>
        </a:p>
      </dgm:t>
    </dgm:pt>
    <dgm:pt modelId="{14FA06A0-2448-46EA-9D43-C18532F92885}" type="pres">
      <dgm:prSet presAssocID="{2B76724F-4599-4236-A0F5-46FB194FDCFC}" presName="descendantText" presStyleLbl="alignAcc1" presStyleIdx="0" presStyleCnt="3">
        <dgm:presLayoutVars>
          <dgm:bulletEnabled val="1"/>
        </dgm:presLayoutVars>
      </dgm:prSet>
      <dgm:spPr/>
      <dgm:t>
        <a:bodyPr/>
        <a:lstStyle/>
        <a:p>
          <a:endParaRPr lang="en-US"/>
        </a:p>
      </dgm:t>
    </dgm:pt>
    <dgm:pt modelId="{4229031C-5E92-4A44-8C5C-193AB5D45192}" type="pres">
      <dgm:prSet presAssocID="{3D57E585-A62D-4BF1-A7A5-F729097E90D1}" presName="sp" presStyleCnt="0"/>
      <dgm:spPr/>
    </dgm:pt>
    <dgm:pt modelId="{AB2C8539-D26E-429D-80B0-7FB637D797CB}" type="pres">
      <dgm:prSet presAssocID="{248A8175-C93B-43D1-B05B-F61DA58FF0BF}" presName="composite" presStyleCnt="0"/>
      <dgm:spPr/>
    </dgm:pt>
    <dgm:pt modelId="{FE84B34D-F847-46DD-82C0-50EB42514C3F}" type="pres">
      <dgm:prSet presAssocID="{248A8175-C93B-43D1-B05B-F61DA58FF0BF}" presName="parentText" presStyleLbl="alignNode1" presStyleIdx="1" presStyleCnt="3">
        <dgm:presLayoutVars>
          <dgm:chMax val="1"/>
          <dgm:bulletEnabled val="1"/>
        </dgm:presLayoutVars>
      </dgm:prSet>
      <dgm:spPr/>
      <dgm:t>
        <a:bodyPr/>
        <a:lstStyle/>
        <a:p>
          <a:endParaRPr lang="en-US"/>
        </a:p>
      </dgm:t>
    </dgm:pt>
    <dgm:pt modelId="{E4D3FFF4-8734-4FF1-917F-E731E4A5AF59}" type="pres">
      <dgm:prSet presAssocID="{248A8175-C93B-43D1-B05B-F61DA58FF0BF}" presName="descendantText" presStyleLbl="alignAcc1" presStyleIdx="1" presStyleCnt="3">
        <dgm:presLayoutVars>
          <dgm:bulletEnabled val="1"/>
        </dgm:presLayoutVars>
      </dgm:prSet>
      <dgm:spPr/>
      <dgm:t>
        <a:bodyPr/>
        <a:lstStyle/>
        <a:p>
          <a:endParaRPr lang="en-US"/>
        </a:p>
      </dgm:t>
    </dgm:pt>
    <dgm:pt modelId="{F47CC049-D5A7-40E7-A364-4768172E665E}" type="pres">
      <dgm:prSet presAssocID="{1063B4B1-05F7-49A0-B56D-694307F98134}" presName="sp" presStyleCnt="0"/>
      <dgm:spPr/>
    </dgm:pt>
    <dgm:pt modelId="{A06242DA-C10C-434D-A215-75EA10DEC772}" type="pres">
      <dgm:prSet presAssocID="{DBE25742-636F-43BA-ACAD-6A3A23A57AEB}" presName="composite" presStyleCnt="0"/>
      <dgm:spPr/>
    </dgm:pt>
    <dgm:pt modelId="{B70C0B0B-6430-41C4-8F62-9C8736F80947}" type="pres">
      <dgm:prSet presAssocID="{DBE25742-636F-43BA-ACAD-6A3A23A57AEB}" presName="parentText" presStyleLbl="alignNode1" presStyleIdx="2" presStyleCnt="3">
        <dgm:presLayoutVars>
          <dgm:chMax val="1"/>
          <dgm:bulletEnabled val="1"/>
        </dgm:presLayoutVars>
      </dgm:prSet>
      <dgm:spPr/>
      <dgm:t>
        <a:bodyPr/>
        <a:lstStyle/>
        <a:p>
          <a:endParaRPr lang="en-US"/>
        </a:p>
      </dgm:t>
    </dgm:pt>
    <dgm:pt modelId="{5F0630B6-F2E1-478A-8BC0-F19B11C3AABB}" type="pres">
      <dgm:prSet presAssocID="{DBE25742-636F-43BA-ACAD-6A3A23A57AEB}" presName="descendantText" presStyleLbl="alignAcc1" presStyleIdx="2" presStyleCnt="3">
        <dgm:presLayoutVars>
          <dgm:bulletEnabled val="1"/>
        </dgm:presLayoutVars>
      </dgm:prSet>
      <dgm:spPr/>
      <dgm:t>
        <a:bodyPr/>
        <a:lstStyle/>
        <a:p>
          <a:endParaRPr lang="en-US"/>
        </a:p>
      </dgm:t>
    </dgm:pt>
  </dgm:ptLst>
  <dgm:cxnLst>
    <dgm:cxn modelId="{BE3B73B5-20A0-4273-990D-4E7CDE2B1463}" srcId="{2B76724F-4599-4236-A0F5-46FB194FDCFC}" destId="{CDC73EA7-F60F-48D5-AAAB-3F95D4F2A56B}" srcOrd="2" destOrd="0" parTransId="{9B73A05E-F3F1-4B68-A8D6-50104493873A}" sibTransId="{78011348-2685-46DA-A595-628D3584A7AB}"/>
    <dgm:cxn modelId="{CAFE31E2-5C91-40F1-AF4F-69DAA3C3E006}" srcId="{DBE25742-636F-43BA-ACAD-6A3A23A57AEB}" destId="{33478FE3-607F-4155-A7C7-3B10AD6DA81D}" srcOrd="1" destOrd="0" parTransId="{D6715627-2342-416E-8E61-AF44341F7D2C}" sibTransId="{D590E820-D565-4040-A85F-F21BF5502197}"/>
    <dgm:cxn modelId="{4ED83757-F678-459C-B8AF-6D791FE2CFFB}" type="presOf" srcId="{DDD581C5-BCA5-4629-A604-F68F29167181}" destId="{E4D3FFF4-8734-4FF1-917F-E731E4A5AF59}" srcOrd="0" destOrd="1" presId="urn:microsoft.com/office/officeart/2005/8/layout/chevron2"/>
    <dgm:cxn modelId="{C55B12DB-1B15-4F67-8948-C27B4746C2BE}" srcId="{248A8175-C93B-43D1-B05B-F61DA58FF0BF}" destId="{DDD581C5-BCA5-4629-A604-F68F29167181}" srcOrd="1" destOrd="0" parTransId="{E84F0C1A-3777-4169-ADF3-F809EDE6672D}" sibTransId="{AB01F570-82D5-4F88-B60B-9CFA3B896B7E}"/>
    <dgm:cxn modelId="{7CFE06CE-87E0-457F-A8C6-7110E68278AC}" type="presOf" srcId="{D0733764-544D-4EC4-A175-1DAD6A43B59D}" destId="{14FA06A0-2448-46EA-9D43-C18532F92885}" srcOrd="0" destOrd="1" presId="urn:microsoft.com/office/officeart/2005/8/layout/chevron2"/>
    <dgm:cxn modelId="{AA2C6F4D-FF37-4ABD-8CFE-35DFC604FD15}" srcId="{248A8175-C93B-43D1-B05B-F61DA58FF0BF}" destId="{EF913F6B-0AD8-4EFC-BBB5-C12B0552E876}" srcOrd="0" destOrd="0" parTransId="{E4B7B5B7-72B8-48A9-9770-6AE04D7E5081}" sibTransId="{88581F67-D13A-4B84-83C0-8485236BEC96}"/>
    <dgm:cxn modelId="{A0049641-9FA8-493B-BFB3-1319F8376212}" srcId="{32598FC6-369C-4FE0-B16E-1A42196E9F29}" destId="{2B76724F-4599-4236-A0F5-46FB194FDCFC}" srcOrd="0" destOrd="0" parTransId="{BFE095A7-2DE7-4A96-8BC1-0167244169FC}" sibTransId="{3D57E585-A62D-4BF1-A7A5-F729097E90D1}"/>
    <dgm:cxn modelId="{8E4BC474-BBB9-417C-B704-C0DAE2B16028}" srcId="{32598FC6-369C-4FE0-B16E-1A42196E9F29}" destId="{DBE25742-636F-43BA-ACAD-6A3A23A57AEB}" srcOrd="2" destOrd="0" parTransId="{D9FE6D92-A5A8-4193-A621-76C6CE5F85E5}" sibTransId="{CB7D75B1-D61C-4DB6-9429-19143C9D913C}"/>
    <dgm:cxn modelId="{3DBCEE30-9558-4AA5-AA9D-EB97F73AD4CD}" srcId="{248A8175-C93B-43D1-B05B-F61DA58FF0BF}" destId="{1BEBCACD-5EE1-40F0-B18F-8B1E096F9AC2}" srcOrd="2" destOrd="0" parTransId="{FE60ED2B-2FB9-423E-BD21-BA318974543C}" sibTransId="{940B72DB-EBDB-465F-BB73-7FC2173486B7}"/>
    <dgm:cxn modelId="{C37CEBFD-CDEB-480D-8E6C-08D4A17834EB}" type="presOf" srcId="{EF913F6B-0AD8-4EFC-BBB5-C12B0552E876}" destId="{E4D3FFF4-8734-4FF1-917F-E731E4A5AF59}" srcOrd="0" destOrd="0" presId="urn:microsoft.com/office/officeart/2005/8/layout/chevron2"/>
    <dgm:cxn modelId="{C929C601-6A39-494B-A94D-1411FA08ECB3}" type="presOf" srcId="{DBE25742-636F-43BA-ACAD-6A3A23A57AEB}" destId="{B70C0B0B-6430-41C4-8F62-9C8736F80947}" srcOrd="0" destOrd="0" presId="urn:microsoft.com/office/officeart/2005/8/layout/chevron2"/>
    <dgm:cxn modelId="{A9DF1426-F64E-4614-8A42-37F3AE2ABF3E}" srcId="{DBE25742-636F-43BA-ACAD-6A3A23A57AEB}" destId="{257199B5-25C1-45BF-A2D0-9C95BD12BAE7}" srcOrd="2" destOrd="0" parTransId="{A5A0491E-8141-4076-912A-6470BA09E612}" sibTransId="{9EFBF004-D933-471A-A8FA-BF801E7382C2}"/>
    <dgm:cxn modelId="{E88A7C0F-8CD9-4C53-AC42-F30DFB6CF066}" type="presOf" srcId="{6B79044E-9014-4BE2-94FF-10D9187F5F6D}" destId="{E4D3FFF4-8734-4FF1-917F-E731E4A5AF59}" srcOrd="0" destOrd="3" presId="urn:microsoft.com/office/officeart/2005/8/layout/chevron2"/>
    <dgm:cxn modelId="{8830D1CF-F5C4-4430-BE00-001097784E49}" type="presOf" srcId="{1BEBCACD-5EE1-40F0-B18F-8B1E096F9AC2}" destId="{E4D3FFF4-8734-4FF1-917F-E731E4A5AF59}" srcOrd="0" destOrd="2" presId="urn:microsoft.com/office/officeart/2005/8/layout/chevron2"/>
    <dgm:cxn modelId="{F3C36A0D-DA70-4498-BC4F-6F5CA15FAE10}" type="presOf" srcId="{248A8175-C93B-43D1-B05B-F61DA58FF0BF}" destId="{FE84B34D-F847-46DD-82C0-50EB42514C3F}" srcOrd="0" destOrd="0" presId="urn:microsoft.com/office/officeart/2005/8/layout/chevron2"/>
    <dgm:cxn modelId="{CD33ECA0-B213-4BAC-8E67-4E9D53D17E18}" srcId="{32598FC6-369C-4FE0-B16E-1A42196E9F29}" destId="{248A8175-C93B-43D1-B05B-F61DA58FF0BF}" srcOrd="1" destOrd="0" parTransId="{65FBA841-4CBC-45F4-84DA-BBE0349BC81A}" sibTransId="{1063B4B1-05F7-49A0-B56D-694307F98134}"/>
    <dgm:cxn modelId="{B4D30A1E-1482-45EC-8AFD-327B1F711E81}" srcId="{2B76724F-4599-4236-A0F5-46FB194FDCFC}" destId="{A3586AAA-F70A-44A4-91F9-9C809E4E5335}" srcOrd="3" destOrd="0" parTransId="{642D081D-A54C-4730-87A2-4260606875AD}" sibTransId="{8E1EDBDC-14BB-4BA1-B0EE-AD9229DDF34F}"/>
    <dgm:cxn modelId="{FB519EFE-87C0-4242-AA5E-0B56C397E398}" srcId="{2B76724F-4599-4236-A0F5-46FB194FDCFC}" destId="{1DFC0AFC-4C3F-4DE9-9AE5-ED94F239A7E2}" srcOrd="0" destOrd="0" parTransId="{0D52BEA9-F1C4-4D08-8668-E725E50AA382}" sibTransId="{83570E6F-0A2F-4537-ABBC-8B2E110C3A17}"/>
    <dgm:cxn modelId="{794025F4-2F64-470F-AB5D-FE854FDC843B}" srcId="{2B76724F-4599-4236-A0F5-46FB194FDCFC}" destId="{D0733764-544D-4EC4-A175-1DAD6A43B59D}" srcOrd="1" destOrd="0" parTransId="{38ABDDC7-45D1-4A85-B651-07871C69B00D}" sibTransId="{5661270A-5432-49CF-B574-E69FD9449874}"/>
    <dgm:cxn modelId="{0F015708-1E43-479D-B990-19C8F7770165}" type="presOf" srcId="{847E4802-B670-425A-8F60-0F6CF53C987B}" destId="{5F0630B6-F2E1-478A-8BC0-F19B11C3AABB}" srcOrd="0" destOrd="0" presId="urn:microsoft.com/office/officeart/2005/8/layout/chevron2"/>
    <dgm:cxn modelId="{285BC41A-509F-4B57-A1F2-4A0CC39757A4}" type="presOf" srcId="{32598FC6-369C-4FE0-B16E-1A42196E9F29}" destId="{A58C8C7F-CB56-43B1-A871-8563FE19F4AB}" srcOrd="0" destOrd="0" presId="urn:microsoft.com/office/officeart/2005/8/layout/chevron2"/>
    <dgm:cxn modelId="{758E3920-442B-4487-A275-A71F907AC057}" type="presOf" srcId="{2B76724F-4599-4236-A0F5-46FB194FDCFC}" destId="{D2A617A0-6EE2-4C13-B1B2-6CD6D33F5E14}" srcOrd="0" destOrd="0" presId="urn:microsoft.com/office/officeart/2005/8/layout/chevron2"/>
    <dgm:cxn modelId="{FA334724-E863-4266-84C7-F4ADA8046D7D}" srcId="{248A8175-C93B-43D1-B05B-F61DA58FF0BF}" destId="{6B79044E-9014-4BE2-94FF-10D9187F5F6D}" srcOrd="3" destOrd="0" parTransId="{AE9E8152-A1E8-49D6-AD50-775762B1FDB5}" sibTransId="{8DCE79B9-734E-42E9-B927-09C7124DFEC3}"/>
    <dgm:cxn modelId="{9C165014-2F40-42C8-8935-1DC8D4175D38}" type="presOf" srcId="{257199B5-25C1-45BF-A2D0-9C95BD12BAE7}" destId="{5F0630B6-F2E1-478A-8BC0-F19B11C3AABB}" srcOrd="0" destOrd="2" presId="urn:microsoft.com/office/officeart/2005/8/layout/chevron2"/>
    <dgm:cxn modelId="{AC275862-1F6C-4F12-A13F-A53FE4C05DB7}" type="presOf" srcId="{1DFC0AFC-4C3F-4DE9-9AE5-ED94F239A7E2}" destId="{14FA06A0-2448-46EA-9D43-C18532F92885}" srcOrd="0" destOrd="0" presId="urn:microsoft.com/office/officeart/2005/8/layout/chevron2"/>
    <dgm:cxn modelId="{C1E3AD75-EE0A-4B7E-BF6D-A5BAC102A9F2}" type="presOf" srcId="{CDC73EA7-F60F-48D5-AAAB-3F95D4F2A56B}" destId="{14FA06A0-2448-46EA-9D43-C18532F92885}" srcOrd="0" destOrd="2" presId="urn:microsoft.com/office/officeart/2005/8/layout/chevron2"/>
    <dgm:cxn modelId="{55C45696-B17E-44B1-BCA5-70B3B9318E55}" srcId="{DBE25742-636F-43BA-ACAD-6A3A23A57AEB}" destId="{847E4802-B670-425A-8F60-0F6CF53C987B}" srcOrd="0" destOrd="0" parTransId="{0AA049ED-D45D-4DF7-BE15-AF310479CCD6}" sibTransId="{7E2320E0-8F47-4133-9CE3-2661BF0EBDFA}"/>
    <dgm:cxn modelId="{93F1D678-9308-4C1C-BF8C-DF486113DDE1}" type="presOf" srcId="{33478FE3-607F-4155-A7C7-3B10AD6DA81D}" destId="{5F0630B6-F2E1-478A-8BC0-F19B11C3AABB}" srcOrd="0" destOrd="1" presId="urn:microsoft.com/office/officeart/2005/8/layout/chevron2"/>
    <dgm:cxn modelId="{B5ED019D-F81A-4B2B-ACC0-D2302FD763A3}" type="presOf" srcId="{A3586AAA-F70A-44A4-91F9-9C809E4E5335}" destId="{14FA06A0-2448-46EA-9D43-C18532F92885}" srcOrd="0" destOrd="3" presId="urn:microsoft.com/office/officeart/2005/8/layout/chevron2"/>
    <dgm:cxn modelId="{0C1E0A22-CAEA-47CA-94DC-E942086CEF1C}" type="presParOf" srcId="{A58C8C7F-CB56-43B1-A871-8563FE19F4AB}" destId="{ECED7D76-9521-47A6-A779-97DC9216550F}" srcOrd="0" destOrd="0" presId="urn:microsoft.com/office/officeart/2005/8/layout/chevron2"/>
    <dgm:cxn modelId="{54D68E45-7E5E-4846-A809-14D1E02514A2}" type="presParOf" srcId="{ECED7D76-9521-47A6-A779-97DC9216550F}" destId="{D2A617A0-6EE2-4C13-B1B2-6CD6D33F5E14}" srcOrd="0" destOrd="0" presId="urn:microsoft.com/office/officeart/2005/8/layout/chevron2"/>
    <dgm:cxn modelId="{48BC540F-D942-4F20-8700-2C0A3AE54A57}" type="presParOf" srcId="{ECED7D76-9521-47A6-A779-97DC9216550F}" destId="{14FA06A0-2448-46EA-9D43-C18532F92885}" srcOrd="1" destOrd="0" presId="urn:microsoft.com/office/officeart/2005/8/layout/chevron2"/>
    <dgm:cxn modelId="{AC84C4BA-4A7C-4514-8A45-211DDBA34CB5}" type="presParOf" srcId="{A58C8C7F-CB56-43B1-A871-8563FE19F4AB}" destId="{4229031C-5E92-4A44-8C5C-193AB5D45192}" srcOrd="1" destOrd="0" presId="urn:microsoft.com/office/officeart/2005/8/layout/chevron2"/>
    <dgm:cxn modelId="{0740531F-22D8-4307-9858-4165AC53BD89}" type="presParOf" srcId="{A58C8C7F-CB56-43B1-A871-8563FE19F4AB}" destId="{AB2C8539-D26E-429D-80B0-7FB637D797CB}" srcOrd="2" destOrd="0" presId="urn:microsoft.com/office/officeart/2005/8/layout/chevron2"/>
    <dgm:cxn modelId="{8272E384-D8C8-4009-ABD3-DFE08E314271}" type="presParOf" srcId="{AB2C8539-D26E-429D-80B0-7FB637D797CB}" destId="{FE84B34D-F847-46DD-82C0-50EB42514C3F}" srcOrd="0" destOrd="0" presId="urn:microsoft.com/office/officeart/2005/8/layout/chevron2"/>
    <dgm:cxn modelId="{2AC9B531-5A4D-4D59-8CC4-123BFE7101DC}" type="presParOf" srcId="{AB2C8539-D26E-429D-80B0-7FB637D797CB}" destId="{E4D3FFF4-8734-4FF1-917F-E731E4A5AF59}" srcOrd="1" destOrd="0" presId="urn:microsoft.com/office/officeart/2005/8/layout/chevron2"/>
    <dgm:cxn modelId="{7274258E-52A2-4FB0-8FE7-DB3453E027B2}" type="presParOf" srcId="{A58C8C7F-CB56-43B1-A871-8563FE19F4AB}" destId="{F47CC049-D5A7-40E7-A364-4768172E665E}" srcOrd="3" destOrd="0" presId="urn:microsoft.com/office/officeart/2005/8/layout/chevron2"/>
    <dgm:cxn modelId="{63054BB8-A1E4-4B87-9A79-A1BED5E86676}" type="presParOf" srcId="{A58C8C7F-CB56-43B1-A871-8563FE19F4AB}" destId="{A06242DA-C10C-434D-A215-75EA10DEC772}" srcOrd="4" destOrd="0" presId="urn:microsoft.com/office/officeart/2005/8/layout/chevron2"/>
    <dgm:cxn modelId="{2A22F63C-5AC1-447B-A399-FE7EEB5F2BB3}" type="presParOf" srcId="{A06242DA-C10C-434D-A215-75EA10DEC772}" destId="{B70C0B0B-6430-41C4-8F62-9C8736F80947}" srcOrd="0" destOrd="0" presId="urn:microsoft.com/office/officeart/2005/8/layout/chevron2"/>
    <dgm:cxn modelId="{225B965A-B980-4E56-8FA4-85584DDF7239}" type="presParOf" srcId="{A06242DA-C10C-434D-A215-75EA10DEC772}" destId="{5F0630B6-F2E1-478A-8BC0-F19B11C3AABB}" srcOrd="1" destOrd="0" presId="urn:microsoft.com/office/officeart/2005/8/layout/chevron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617A0-6EE2-4C13-B1B2-6CD6D33F5E14}">
      <dsp:nvSpPr>
        <dsp:cNvPr id="0" name=""/>
        <dsp:cNvSpPr/>
      </dsp:nvSpPr>
      <dsp:spPr>
        <a:xfrm rot="5400000">
          <a:off x="-155028" y="157920"/>
          <a:ext cx="1033521" cy="72346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latin typeface="Times New Roman" panose="02020603050405020304" pitchFamily="18" charset="0"/>
              <a:cs typeface="Times New Roman" panose="02020603050405020304" pitchFamily="18" charset="0"/>
            </a:rPr>
            <a:t>Eslabón de aprovisiona-miento</a:t>
          </a:r>
        </a:p>
      </dsp:txBody>
      <dsp:txXfrm rot="-5400000">
        <a:off x="1" y="364625"/>
        <a:ext cx="723465" cy="310056"/>
      </dsp:txXfrm>
    </dsp:sp>
    <dsp:sp modelId="{14FA06A0-2448-46EA-9D43-C18532F92885}">
      <dsp:nvSpPr>
        <dsp:cNvPr id="0" name=""/>
        <dsp:cNvSpPr/>
      </dsp:nvSpPr>
      <dsp:spPr>
        <a:xfrm rot="5400000">
          <a:off x="2152634" y="-1426277"/>
          <a:ext cx="672142" cy="3530481"/>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Compra de la materia prima (P-1)</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Contratación del transporte (P-2)</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Revisión de la materia prima (P-3)</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Transporte de la materia prima hasta el almacén de materia prima (OP-4)</a:t>
          </a:r>
          <a:endParaRPr lang="en-US" sz="900" b="0" kern="1200">
            <a:latin typeface="Times New Roman" panose="02020603050405020304" pitchFamily="18" charset="0"/>
            <a:cs typeface="Times New Roman" panose="02020603050405020304" pitchFamily="18" charset="0"/>
          </a:endParaRPr>
        </a:p>
      </dsp:txBody>
      <dsp:txXfrm rot="-5400000">
        <a:off x="723465" y="35703"/>
        <a:ext cx="3497670" cy="606520"/>
      </dsp:txXfrm>
    </dsp:sp>
    <dsp:sp modelId="{FE84B34D-F847-46DD-82C0-50EB42514C3F}">
      <dsp:nvSpPr>
        <dsp:cNvPr id="0" name=""/>
        <dsp:cNvSpPr/>
      </dsp:nvSpPr>
      <dsp:spPr>
        <a:xfrm rot="5400000">
          <a:off x="-155028" y="986054"/>
          <a:ext cx="1033521" cy="72346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latin typeface="Times New Roman" panose="02020603050405020304" pitchFamily="18" charset="0"/>
              <a:cs typeface="Times New Roman" panose="02020603050405020304" pitchFamily="18" charset="0"/>
            </a:rPr>
            <a:t>Eslabón de producc</a:t>
          </a:r>
          <a:r>
            <a:rPr lang="es-ES" sz="900" b="0" kern="1200">
              <a:latin typeface="Times New Roman" panose="02020603050405020304" pitchFamily="18" charset="0"/>
              <a:cs typeface="Times New Roman" panose="02020603050405020304" pitchFamily="18" charset="0"/>
            </a:rPr>
            <a:t>ión</a:t>
          </a:r>
          <a:endParaRPr lang="en-US" sz="900" b="0" kern="1200">
            <a:latin typeface="Times New Roman" panose="02020603050405020304" pitchFamily="18" charset="0"/>
            <a:cs typeface="Times New Roman" panose="02020603050405020304" pitchFamily="18" charset="0"/>
          </a:endParaRPr>
        </a:p>
      </dsp:txBody>
      <dsp:txXfrm rot="-5400000">
        <a:off x="1" y="1192759"/>
        <a:ext cx="723465" cy="310056"/>
      </dsp:txXfrm>
    </dsp:sp>
    <dsp:sp modelId="{E4D3FFF4-8734-4FF1-917F-E731E4A5AF59}">
      <dsp:nvSpPr>
        <dsp:cNvPr id="0" name=""/>
        <dsp:cNvSpPr/>
      </dsp:nvSpPr>
      <dsp:spPr>
        <a:xfrm rot="5400000">
          <a:off x="2152811" y="-598319"/>
          <a:ext cx="671789" cy="3530481"/>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Aprovisionamiento del laboratorio (P-5)</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Preparación de la materia prima (P-6)</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Calibración de los CEE (P-7)</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Almacenaje de productos terminados (P-8)</a:t>
          </a:r>
          <a:endParaRPr lang="en-US" sz="900" b="0" kern="1200">
            <a:latin typeface="Times New Roman" panose="02020603050405020304" pitchFamily="18" charset="0"/>
            <a:cs typeface="Times New Roman" panose="02020603050405020304" pitchFamily="18" charset="0"/>
          </a:endParaRPr>
        </a:p>
      </dsp:txBody>
      <dsp:txXfrm rot="-5400000">
        <a:off x="723465" y="863821"/>
        <a:ext cx="3497687" cy="606201"/>
      </dsp:txXfrm>
    </dsp:sp>
    <dsp:sp modelId="{B70C0B0B-6430-41C4-8F62-9C8736F80947}">
      <dsp:nvSpPr>
        <dsp:cNvPr id="0" name=""/>
        <dsp:cNvSpPr/>
      </dsp:nvSpPr>
      <dsp:spPr>
        <a:xfrm rot="5400000">
          <a:off x="-155028" y="1814189"/>
          <a:ext cx="1033521" cy="723465"/>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a:solidFill>
                <a:sysClr val="windowText" lastClr="000000"/>
              </a:solidFill>
              <a:latin typeface="Times New Roman" panose="02020603050405020304" pitchFamily="18" charset="0"/>
              <a:cs typeface="Times New Roman" panose="02020603050405020304" pitchFamily="18" charset="0"/>
            </a:rPr>
            <a:t>Eslabón de distribución</a:t>
          </a:r>
        </a:p>
      </dsp:txBody>
      <dsp:txXfrm rot="-5400000">
        <a:off x="1" y="2020894"/>
        <a:ext cx="723465" cy="310056"/>
      </dsp:txXfrm>
    </dsp:sp>
    <dsp:sp modelId="{5F0630B6-F2E1-478A-8BC0-F19B11C3AABB}">
      <dsp:nvSpPr>
        <dsp:cNvPr id="0" name=""/>
        <dsp:cNvSpPr/>
      </dsp:nvSpPr>
      <dsp:spPr>
        <a:xfrm rot="5400000">
          <a:off x="2152811" y="229814"/>
          <a:ext cx="671789" cy="3530481"/>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Comunicación a los clientes sobre </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productos terminados (P-9)</a:t>
          </a:r>
          <a:endParaRPr lang="en-US" sz="900" b="0" kern="1200">
            <a:latin typeface="Times New Roman" panose="02020603050405020304" pitchFamily="18" charset="0"/>
            <a:cs typeface="Times New Roman" panose="02020603050405020304" pitchFamily="18" charset="0"/>
          </a:endParaRPr>
        </a:p>
        <a:p>
          <a:pPr marL="57150" lvl="1" indent="-57150" algn="l" defTabSz="400050">
            <a:lnSpc>
              <a:spcPct val="90000"/>
            </a:lnSpc>
            <a:spcBef>
              <a:spcPct val="0"/>
            </a:spcBef>
            <a:spcAft>
              <a:spcPct val="15000"/>
            </a:spcAft>
            <a:buChar char="••"/>
          </a:pPr>
          <a:r>
            <a:rPr lang="es-ES" sz="900" b="0" kern="1200">
              <a:latin typeface="Times New Roman" panose="02020603050405020304" pitchFamily="18" charset="0"/>
              <a:cs typeface="Times New Roman" panose="02020603050405020304" pitchFamily="18" charset="0"/>
            </a:rPr>
            <a:t>Servicio postventa (P-10)</a:t>
          </a:r>
          <a:endParaRPr lang="en-US" sz="900" b="0" kern="1200">
            <a:latin typeface="Times New Roman" panose="02020603050405020304" pitchFamily="18" charset="0"/>
            <a:cs typeface="Times New Roman" panose="02020603050405020304" pitchFamily="18" charset="0"/>
          </a:endParaRPr>
        </a:p>
      </dsp:txBody>
      <dsp:txXfrm rot="-5400000">
        <a:off x="723465" y="1691954"/>
        <a:ext cx="3497687" cy="6062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18180</Words>
  <Characters>99993</Characters>
  <Application>Microsoft Office Word</Application>
  <DocSecurity>0</DocSecurity>
  <Lines>833</Lines>
  <Paragraphs>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117938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root</cp:lastModifiedBy>
  <cp:revision>8</cp:revision>
  <dcterms:created xsi:type="dcterms:W3CDTF">2021-08-10T14:03:00Z</dcterms:created>
  <dcterms:modified xsi:type="dcterms:W3CDTF">2021-08-12T13:33:00Z</dcterms:modified>
</cp:coreProperties>
</file>