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NOMBRE DE</w:t>
      </w:r>
      <w:r w:rsidR="005754D8">
        <w:rPr>
          <w:rFonts w:ascii="Times New Roman" w:hAnsi="Times New Roman" w:cs="Times New Roman"/>
          <w:b/>
          <w:sz w:val="28"/>
          <w:szCs w:val="28"/>
        </w:rPr>
        <w:t xml:space="preserve">L </w:t>
      </w:r>
      <w:r w:rsidRPr="009D5E02">
        <w:rPr>
          <w:rFonts w:ascii="Times New Roman" w:hAnsi="Times New Roman" w:cs="Times New Roman"/>
          <w:b/>
          <w:sz w:val="28"/>
          <w:szCs w:val="28"/>
        </w:rPr>
        <w:t xml:space="preserve"> </w:t>
      </w:r>
      <w:r w:rsidR="00815971">
        <w:rPr>
          <w:rFonts w:ascii="Times New Roman" w:hAnsi="Times New Roman" w:cs="Times New Roman"/>
          <w:b/>
          <w:sz w:val="28"/>
          <w:szCs w:val="28"/>
        </w:rPr>
        <w:t xml:space="preserve">SIMPOSIO O TALLER </w:t>
      </w:r>
    </w:p>
    <w:p w:rsidR="008A1C16" w:rsidRPr="008A1C16" w:rsidRDefault="008A1C16" w:rsidP="00667F10">
      <w:pPr>
        <w:spacing w:after="0"/>
        <w:jc w:val="center"/>
        <w:rPr>
          <w:rFonts w:ascii="Times New Roman" w:hAnsi="Times New Roman" w:cs="Times New Roman"/>
          <w:sz w:val="24"/>
          <w:szCs w:val="24"/>
        </w:rPr>
      </w:pPr>
      <w:r>
        <w:rPr>
          <w:rFonts w:ascii="Times New Roman" w:hAnsi="Times New Roman" w:cs="Times New Roman"/>
          <w:sz w:val="24"/>
          <w:szCs w:val="24"/>
        </w:rPr>
        <w:t xml:space="preserve">(El nombre de la comisión o sub-evento responde a las oficialmente declaradas en las comunicaciones de la Convención. Deberá escribirse en </w:t>
      </w:r>
      <w:r w:rsidR="005754D8">
        <w:rPr>
          <w:rFonts w:ascii="Times New Roman" w:hAnsi="Times New Roman" w:cs="Times New Roman"/>
          <w:sz w:val="24"/>
          <w:szCs w:val="24"/>
        </w:rPr>
        <w:t>mayúscula</w:t>
      </w:r>
      <w:r>
        <w:rPr>
          <w:rFonts w:ascii="Times New Roman" w:hAnsi="Times New Roman" w:cs="Times New Roman"/>
          <w:sz w:val="24"/>
          <w:szCs w:val="24"/>
        </w:rPr>
        <w:t>, Times New Roman, Negrita y 14 de tamaño</w:t>
      </w:r>
      <w:r w:rsidR="009061A5">
        <w:rPr>
          <w:rFonts w:ascii="Times New Roman" w:hAnsi="Times New Roman" w:cs="Times New Roman"/>
          <w:sz w:val="24"/>
          <w:szCs w:val="24"/>
        </w:rPr>
        <w:t xml:space="preserve"> tal y como aparece en el acápite</w:t>
      </w:r>
      <w:r w:rsidRPr="008A1C16">
        <w:rPr>
          <w:rFonts w:ascii="Times New Roman" w:hAnsi="Times New Roman" w:cs="Times New Roman"/>
          <w:sz w:val="24"/>
          <w:szCs w:val="24"/>
        </w:rPr>
        <w:t>)</w:t>
      </w:r>
    </w:p>
    <w:p w:rsidR="00E912D0" w:rsidRDefault="00E912D0" w:rsidP="00667F10">
      <w:pPr>
        <w:spacing w:after="0"/>
        <w:jc w:val="center"/>
        <w:rPr>
          <w:rFonts w:ascii="Times New Roman" w:hAnsi="Times New Roman" w:cs="Times New Roman"/>
          <w:b/>
          <w:sz w:val="24"/>
          <w:szCs w:val="24"/>
        </w:rPr>
      </w:pPr>
    </w:p>
    <w:p w:rsidR="005F7502" w:rsidRPr="005F7502" w:rsidRDefault="005F7502" w:rsidP="005F7502">
      <w:pPr>
        <w:jc w:val="center"/>
        <w:rPr>
          <w:rFonts w:ascii="Times New Roman" w:hAnsi="Times New Roman" w:cs="Times New Roman"/>
          <w:b/>
          <w:sz w:val="28"/>
          <w:szCs w:val="28"/>
          <w:lang w:val="es-ES_tradnl"/>
        </w:rPr>
      </w:pPr>
      <w:r w:rsidRPr="005F7502">
        <w:rPr>
          <w:rFonts w:ascii="Times New Roman" w:hAnsi="Times New Roman" w:cs="Times New Roman"/>
          <w:b/>
          <w:sz w:val="28"/>
          <w:szCs w:val="28"/>
          <w:lang w:val="es-ES_tradnl"/>
        </w:rPr>
        <w:t>Evaluación del desempeño de la cadena de suministro sostenible enfocada a procesos</w:t>
      </w:r>
    </w:p>
    <w:p w:rsidR="00E912D0" w:rsidRDefault="00E912D0" w:rsidP="00667F10">
      <w:pPr>
        <w:spacing w:after="0"/>
        <w:jc w:val="center"/>
        <w:rPr>
          <w:rFonts w:ascii="Times New Roman" w:hAnsi="Times New Roman" w:cs="Times New Roman"/>
          <w:b/>
          <w:i/>
          <w:sz w:val="24"/>
          <w:szCs w:val="24"/>
        </w:rPr>
      </w:pPr>
    </w:p>
    <w:p w:rsidR="009D5E02" w:rsidRPr="005F7502" w:rsidRDefault="005F7502" w:rsidP="005F7502">
      <w:pPr>
        <w:spacing w:after="0" w:line="360" w:lineRule="auto"/>
        <w:jc w:val="center"/>
        <w:rPr>
          <w:rFonts w:ascii="Times New Roman" w:hAnsi="Times New Roman" w:cs="Times New Roman"/>
          <w:b/>
          <w:sz w:val="24"/>
          <w:szCs w:val="24"/>
          <w:lang w:val="en-US"/>
        </w:rPr>
      </w:pPr>
      <w:r w:rsidRPr="005F7502">
        <w:rPr>
          <w:rFonts w:ascii="Times New Roman" w:hAnsi="Times New Roman" w:cs="Times New Roman"/>
          <w:b/>
          <w:sz w:val="24"/>
          <w:szCs w:val="24"/>
          <w:lang w:val="en-US"/>
        </w:rPr>
        <w:t>Assessment of sustainable supply chain performance with process approach</w:t>
      </w:r>
    </w:p>
    <w:p w:rsidR="002E0882" w:rsidRPr="00DA747D" w:rsidRDefault="002E0882" w:rsidP="00FF3346">
      <w:pPr>
        <w:spacing w:after="0" w:line="360" w:lineRule="auto"/>
        <w:rPr>
          <w:rFonts w:ascii="Times New Roman" w:hAnsi="Times New Roman" w:cs="Times New Roman"/>
          <w:sz w:val="24"/>
          <w:szCs w:val="24"/>
          <w:lang w:val="en-US"/>
        </w:rPr>
      </w:pPr>
    </w:p>
    <w:p w:rsidR="008A1C16" w:rsidRPr="009D5E02" w:rsidRDefault="005F7502"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Andrey Vinajera Zamora</w:t>
      </w:r>
      <w:r w:rsidRPr="005F75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Roberto Cespón Castro</w:t>
      </w:r>
      <w:r w:rsidRPr="005F7502">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r>
        <w:rPr>
          <w:rFonts w:ascii="Times New Roman" w:hAnsi="Times New Roman" w:cs="Times New Roman"/>
          <w:b/>
          <w:sz w:val="24"/>
          <w:szCs w:val="24"/>
        </w:rPr>
        <w:t>Fernando Marrero Delgado</w:t>
      </w:r>
      <w:r w:rsidRPr="005F7502">
        <w:rPr>
          <w:rFonts w:ascii="Times New Roman" w:hAnsi="Times New Roman" w:cs="Times New Roman"/>
          <w:b/>
          <w:sz w:val="24"/>
          <w:szCs w:val="24"/>
          <w:vertAlign w:val="superscript"/>
        </w:rPr>
        <w:t>3</w:t>
      </w:r>
    </w:p>
    <w:p w:rsidR="009D5E02" w:rsidRDefault="009D5E02" w:rsidP="00FF3346">
      <w:pPr>
        <w:spacing w:after="0" w:line="360" w:lineRule="auto"/>
        <w:rPr>
          <w:rFonts w:ascii="Times New Roman" w:hAnsi="Times New Roman" w:cs="Times New Roman"/>
          <w:sz w:val="24"/>
          <w:szCs w:val="24"/>
        </w:rPr>
      </w:pPr>
    </w:p>
    <w:p w:rsidR="00F07FC6" w:rsidRPr="00F07FC6" w:rsidRDefault="00E912D0" w:rsidP="00F07FC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 xml:space="preserve">1- </w:t>
      </w:r>
      <w:r w:rsidR="00F07FC6">
        <w:rPr>
          <w:rFonts w:ascii="Times New Roman" w:hAnsi="Times New Roman" w:cs="Times New Roman"/>
          <w:sz w:val="24"/>
          <w:szCs w:val="24"/>
        </w:rPr>
        <w:t>Universidad Central “Marta Abreu” de Las Villas</w:t>
      </w:r>
      <w:r w:rsidR="00F07FC6" w:rsidRPr="003D7AB7">
        <w:rPr>
          <w:rFonts w:ascii="Times New Roman" w:hAnsi="Times New Roman" w:cs="Times New Roman"/>
          <w:sz w:val="24"/>
          <w:szCs w:val="24"/>
        </w:rPr>
        <w:t xml:space="preserve">, </w:t>
      </w:r>
      <w:r w:rsidR="00F07FC6">
        <w:rPr>
          <w:rFonts w:ascii="Times New Roman" w:hAnsi="Times New Roman" w:cs="Times New Roman"/>
          <w:sz w:val="24"/>
          <w:szCs w:val="24"/>
        </w:rPr>
        <w:t xml:space="preserve">Cuba. </w:t>
      </w:r>
      <w:r w:rsidR="00F07FC6" w:rsidRPr="003D7AB7">
        <w:t xml:space="preserve"> </w:t>
      </w:r>
      <w:r w:rsidR="00F07FC6" w:rsidRPr="00E912D0">
        <w:rPr>
          <w:rFonts w:ascii="Times New Roman" w:hAnsi="Times New Roman" w:cs="Times New Roman"/>
          <w:sz w:val="24"/>
          <w:szCs w:val="24"/>
        </w:rPr>
        <w:t>E-mail:</w:t>
      </w:r>
      <w:r w:rsidR="00F07FC6">
        <w:rPr>
          <w:rFonts w:ascii="Times New Roman" w:hAnsi="Times New Roman" w:cs="Times New Roman"/>
          <w:sz w:val="24"/>
          <w:szCs w:val="24"/>
        </w:rPr>
        <w:t xml:space="preserve"> </w:t>
      </w:r>
      <w:hyperlink r:id="rId7" w:history="1">
        <w:r w:rsidR="00F07FC6" w:rsidRPr="00F07FC6">
          <w:rPr>
            <w:rStyle w:val="Hipervnculo"/>
            <w:rFonts w:ascii="Times New Roman" w:hAnsi="Times New Roman" w:cs="Times New Roman"/>
            <w:sz w:val="24"/>
            <w:szCs w:val="24"/>
          </w:rPr>
          <w:t>andreyvz@uclv.edu.cu</w:t>
        </w:r>
      </w:hyperlink>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F07FC6">
        <w:rPr>
          <w:rFonts w:ascii="Times New Roman" w:hAnsi="Times New Roman" w:cs="Times New Roman"/>
          <w:sz w:val="24"/>
          <w:szCs w:val="24"/>
        </w:rPr>
        <w:t>Universidad Central “Marta Abreu” de Las Villas</w:t>
      </w:r>
      <w:r w:rsidR="00F07FC6" w:rsidRPr="003D7AB7">
        <w:rPr>
          <w:rFonts w:ascii="Times New Roman" w:hAnsi="Times New Roman" w:cs="Times New Roman"/>
          <w:sz w:val="24"/>
          <w:szCs w:val="24"/>
        </w:rPr>
        <w:t xml:space="preserve">, </w:t>
      </w:r>
      <w:r w:rsidR="00F07FC6">
        <w:rPr>
          <w:rFonts w:ascii="Times New Roman" w:hAnsi="Times New Roman" w:cs="Times New Roman"/>
          <w:sz w:val="24"/>
          <w:szCs w:val="24"/>
        </w:rPr>
        <w:t xml:space="preserve">Cuba. </w:t>
      </w:r>
      <w:r w:rsidR="00F07FC6" w:rsidRPr="003D7AB7">
        <w:t xml:space="preserve"> </w:t>
      </w:r>
      <w:r w:rsidR="00F07FC6" w:rsidRPr="00E912D0">
        <w:rPr>
          <w:rFonts w:ascii="Times New Roman" w:hAnsi="Times New Roman" w:cs="Times New Roman"/>
          <w:sz w:val="24"/>
          <w:szCs w:val="24"/>
        </w:rPr>
        <w:t>E-mail:</w:t>
      </w:r>
      <w:r w:rsidR="00F07FC6">
        <w:rPr>
          <w:rFonts w:ascii="Times New Roman" w:hAnsi="Times New Roman" w:cs="Times New Roman"/>
          <w:sz w:val="24"/>
          <w:szCs w:val="24"/>
        </w:rPr>
        <w:t xml:space="preserve"> </w:t>
      </w:r>
      <w:hyperlink r:id="rId8" w:history="1">
        <w:r w:rsidR="00F07FC6" w:rsidRPr="006A5C34">
          <w:rPr>
            <w:rStyle w:val="Hipervnculo"/>
            <w:rFonts w:ascii="Times New Roman" w:hAnsi="Times New Roman" w:cs="Times New Roman"/>
            <w:sz w:val="24"/>
            <w:szCs w:val="24"/>
          </w:rPr>
          <w:t>rcespon@uclv.edu.cu</w:t>
        </w:r>
      </w:hyperlink>
      <w:r w:rsidR="00F07FC6">
        <w:rPr>
          <w:rFonts w:ascii="Times New Roman" w:hAnsi="Times New Roman" w:cs="Times New Roman"/>
          <w:sz w:val="24"/>
          <w:szCs w:val="24"/>
        </w:rPr>
        <w:t xml:space="preserve"> </w:t>
      </w:r>
    </w:p>
    <w:p w:rsidR="00F07FC6" w:rsidRDefault="00F07FC6"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3- Universidad Central “Marta Abreu” de Las Villas</w:t>
      </w:r>
      <w:r w:rsidRPr="003D7AB7">
        <w:rPr>
          <w:rFonts w:ascii="Times New Roman" w:hAnsi="Times New Roman" w:cs="Times New Roman"/>
          <w:sz w:val="24"/>
          <w:szCs w:val="24"/>
        </w:rPr>
        <w:t xml:space="preserve">, </w:t>
      </w:r>
      <w:r>
        <w:rPr>
          <w:rFonts w:ascii="Times New Roman" w:hAnsi="Times New Roman" w:cs="Times New Roman"/>
          <w:sz w:val="24"/>
          <w:szCs w:val="24"/>
        </w:rPr>
        <w:t xml:space="preserve">Cuba. </w:t>
      </w:r>
      <w:r w:rsidRPr="003D7AB7">
        <w:t xml:space="preserve"> </w:t>
      </w:r>
      <w:r w:rsidRPr="00E912D0">
        <w:rPr>
          <w:rFonts w:ascii="Times New Roman" w:hAnsi="Times New Roman" w:cs="Times New Roman"/>
          <w:sz w:val="24"/>
          <w:szCs w:val="24"/>
        </w:rPr>
        <w:t>E-mail:</w:t>
      </w:r>
      <w:r>
        <w:rPr>
          <w:rFonts w:ascii="Times New Roman" w:hAnsi="Times New Roman" w:cs="Times New Roman"/>
          <w:sz w:val="24"/>
          <w:szCs w:val="24"/>
        </w:rPr>
        <w:t xml:space="preserve"> </w:t>
      </w:r>
      <w:hyperlink r:id="rId9" w:history="1">
        <w:r w:rsidRPr="006A5C34">
          <w:rPr>
            <w:rStyle w:val="Hipervnculo"/>
            <w:rFonts w:ascii="Times New Roman" w:hAnsi="Times New Roman" w:cs="Times New Roman"/>
            <w:sz w:val="24"/>
            <w:szCs w:val="24"/>
          </w:rPr>
          <w:t>fmarrero@uclv.edu.cu</w:t>
        </w:r>
      </w:hyperlink>
      <w:r>
        <w:rPr>
          <w:rFonts w:ascii="Times New Roman" w:hAnsi="Times New Roman" w:cs="Times New Roman"/>
          <w:sz w:val="24"/>
          <w:szCs w:val="24"/>
        </w:rPr>
        <w:t xml:space="preserve"> </w:t>
      </w:r>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9061A5">
        <w:rPr>
          <w:rFonts w:ascii="Times New Roman" w:hAnsi="Times New Roman" w:cs="Times New Roman"/>
          <w:sz w:val="24"/>
          <w:szCs w:val="24"/>
        </w:rPr>
        <w:t xml:space="preserve">el resumen deberá ser estructurado y no exceder las 250 palabras de </w:t>
      </w:r>
      <w:r w:rsidR="005754D8">
        <w:rPr>
          <w:rFonts w:ascii="Times New Roman" w:hAnsi="Times New Roman" w:cs="Times New Roman"/>
          <w:sz w:val="24"/>
          <w:szCs w:val="24"/>
        </w:rPr>
        <w:t>extensión</w:t>
      </w:r>
      <w:r w:rsidR="009061A5" w:rsidRPr="009061A5">
        <w:rPr>
          <w:rFonts w:ascii="Times New Roman" w:hAnsi="Times New Roman" w:cs="Times New Roman"/>
          <w:sz w:val="24"/>
          <w:szCs w:val="24"/>
        </w:rPr>
        <w:t>)</w:t>
      </w:r>
      <w:r w:rsidR="009061A5">
        <w:rPr>
          <w:rFonts w:ascii="Times New Roman" w:hAnsi="Times New Roman" w:cs="Times New Roman"/>
          <w:sz w:val="24"/>
          <w:szCs w:val="24"/>
        </w:rPr>
        <w:t>.</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5F7502">
        <w:rPr>
          <w:rFonts w:ascii="Times New Roman" w:hAnsi="Times New Roman" w:cs="Times New Roman"/>
          <w:b/>
          <w:sz w:val="24"/>
          <w:szCs w:val="24"/>
        </w:rPr>
        <w:t xml:space="preserve"> </w:t>
      </w:r>
      <w:r w:rsidR="005F7502" w:rsidRPr="005F7502">
        <w:rPr>
          <w:rFonts w:ascii="Times New Roman" w:hAnsi="Times New Roman" w:cs="Times New Roman"/>
          <w:sz w:val="24"/>
          <w:szCs w:val="24"/>
        </w:rPr>
        <w:t>Evaluar el desempeño de la cadena de suministro sostenible con enfoque a procesos</w:t>
      </w:r>
      <w:r w:rsidR="009061A5" w:rsidRPr="005754D8">
        <w:rPr>
          <w:rFonts w:ascii="Times New Roman" w:hAnsi="Times New Roman" w:cs="Times New Roman"/>
          <w:sz w:val="24"/>
          <w:szCs w:val="24"/>
        </w:rPr>
        <w:t>.</w:t>
      </w:r>
    </w:p>
    <w:p w:rsidR="008A1C16" w:rsidRPr="00D5035B" w:rsidRDefault="008A1C16" w:rsidP="00D5035B">
      <w:pPr>
        <w:pStyle w:val="Prrafodelista"/>
        <w:numPr>
          <w:ilvl w:val="0"/>
          <w:numId w:val="1"/>
        </w:numPr>
        <w:spacing w:after="0" w:line="360" w:lineRule="auto"/>
        <w:jc w:val="both"/>
        <w:rPr>
          <w:rFonts w:ascii="Times New Roman" w:hAnsi="Times New Roman" w:cs="Times New Roman"/>
          <w:b/>
          <w:sz w:val="24"/>
          <w:szCs w:val="24"/>
        </w:rPr>
      </w:pPr>
      <w:r w:rsidRPr="00D5035B">
        <w:rPr>
          <w:rFonts w:ascii="Times New Roman" w:hAnsi="Times New Roman" w:cs="Times New Roman"/>
          <w:b/>
          <w:sz w:val="24"/>
          <w:szCs w:val="24"/>
        </w:rPr>
        <w:t>Objetivo</w:t>
      </w:r>
      <w:r w:rsidR="009061A5" w:rsidRPr="00D5035B">
        <w:rPr>
          <w:rFonts w:ascii="Times New Roman" w:hAnsi="Times New Roman" w:cs="Times New Roman"/>
          <w:b/>
          <w:sz w:val="24"/>
          <w:szCs w:val="24"/>
        </w:rPr>
        <w:t>(</w:t>
      </w:r>
      <w:r w:rsidRPr="00D5035B">
        <w:rPr>
          <w:rFonts w:ascii="Times New Roman" w:hAnsi="Times New Roman" w:cs="Times New Roman"/>
          <w:b/>
          <w:sz w:val="24"/>
          <w:szCs w:val="24"/>
        </w:rPr>
        <w:t>s</w:t>
      </w:r>
      <w:r w:rsidR="009061A5" w:rsidRPr="00D5035B">
        <w:rPr>
          <w:rFonts w:ascii="Times New Roman" w:hAnsi="Times New Roman" w:cs="Times New Roman"/>
          <w:b/>
          <w:sz w:val="24"/>
          <w:szCs w:val="24"/>
        </w:rPr>
        <w:t>)</w:t>
      </w:r>
      <w:r w:rsidRPr="00D5035B">
        <w:rPr>
          <w:rFonts w:ascii="Times New Roman" w:hAnsi="Times New Roman" w:cs="Times New Roman"/>
          <w:b/>
          <w:sz w:val="24"/>
          <w:szCs w:val="24"/>
        </w:rPr>
        <w:t>:</w:t>
      </w:r>
      <w:r w:rsidR="009061A5" w:rsidRPr="00D5035B">
        <w:rPr>
          <w:rFonts w:ascii="Times New Roman" w:hAnsi="Times New Roman" w:cs="Times New Roman"/>
          <w:b/>
          <w:sz w:val="24"/>
          <w:szCs w:val="24"/>
        </w:rPr>
        <w:t xml:space="preserve"> </w:t>
      </w:r>
      <w:r w:rsidR="005F7502" w:rsidRPr="00D5035B">
        <w:rPr>
          <w:rFonts w:ascii="Times New Roman" w:hAnsi="Times New Roman" w:cs="Times New Roman"/>
          <w:sz w:val="24"/>
          <w:szCs w:val="24"/>
        </w:rPr>
        <w:t>proponer el índice de desempeño de la cadena de suministro sostenible</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Metodología:</w:t>
      </w:r>
      <w:r w:rsidR="005F7502">
        <w:rPr>
          <w:rFonts w:ascii="Times New Roman" w:hAnsi="Times New Roman" w:cs="Times New Roman"/>
          <w:b/>
          <w:sz w:val="24"/>
          <w:szCs w:val="24"/>
        </w:rPr>
        <w:t xml:space="preserve"> </w:t>
      </w:r>
      <w:r w:rsidR="005F7502" w:rsidRPr="005F7502">
        <w:rPr>
          <w:rFonts w:ascii="Times New Roman" w:hAnsi="Times New Roman" w:cs="Times New Roman"/>
          <w:sz w:val="24"/>
          <w:szCs w:val="24"/>
        </w:rPr>
        <w:t>Compuesta por con enfoque a procesos, utilizando métodos como Análisis de Ciclo de Vida y J</w:t>
      </w:r>
      <w:r w:rsidR="005F7502">
        <w:rPr>
          <w:rFonts w:ascii="Times New Roman" w:hAnsi="Times New Roman" w:cs="Times New Roman"/>
          <w:sz w:val="24"/>
          <w:szCs w:val="24"/>
        </w:rPr>
        <w:t>erarquías Analíticas o de Saaty</w:t>
      </w:r>
      <w:r w:rsidR="005F7502" w:rsidRPr="005F7502">
        <w:rPr>
          <w:rFonts w:ascii="Times New Roman" w:hAnsi="Times New Roman" w:cs="Times New Roman"/>
          <w:sz w:val="24"/>
          <w:szCs w:val="24"/>
        </w:rPr>
        <w:t>, este último basado en múltiples criterios. Los criterios considerados fueron: productividad, servicio al cliente, valor agregado, eco-eficiencia y rentabilidad</w:t>
      </w:r>
      <w:r w:rsidR="009061A5" w:rsidRPr="005754D8">
        <w:rPr>
          <w:rFonts w:ascii="Times New Roman" w:hAnsi="Times New Roman" w:cs="Times New Roman"/>
          <w:sz w:val="24"/>
          <w:szCs w:val="24"/>
        </w:rPr>
        <w:t>.</w:t>
      </w:r>
    </w:p>
    <w:p w:rsidR="005F7502" w:rsidRPr="005F7502" w:rsidRDefault="008A1C16" w:rsidP="005F7502">
      <w:pPr>
        <w:pStyle w:val="Prrafodelista"/>
        <w:numPr>
          <w:ilvl w:val="0"/>
          <w:numId w:val="1"/>
        </w:numPr>
        <w:jc w:val="both"/>
        <w:rPr>
          <w:bCs/>
          <w:iCs/>
          <w:sz w:val="24"/>
          <w:szCs w:val="24"/>
          <w:lang w:val="es-ES_tradnl"/>
        </w:rPr>
      </w:pPr>
      <w:r w:rsidRPr="005F7502">
        <w:rPr>
          <w:rFonts w:ascii="Times New Roman" w:hAnsi="Times New Roman" w:cs="Times New Roman"/>
          <w:b/>
          <w:sz w:val="24"/>
          <w:szCs w:val="24"/>
        </w:rPr>
        <w:t>Resultados y discusión:</w:t>
      </w:r>
      <w:r w:rsidR="005F7502" w:rsidRPr="005F7502">
        <w:rPr>
          <w:rFonts w:ascii="Times New Roman" w:hAnsi="Times New Roman" w:cs="Times New Roman"/>
          <w:b/>
          <w:sz w:val="24"/>
          <w:szCs w:val="24"/>
        </w:rPr>
        <w:t xml:space="preserve"> </w:t>
      </w:r>
      <w:r w:rsidR="005F7502" w:rsidRPr="00D5035B">
        <w:rPr>
          <w:rFonts w:ascii="Times New Roman" w:hAnsi="Times New Roman" w:cs="Times New Roman"/>
          <w:sz w:val="24"/>
          <w:szCs w:val="24"/>
        </w:rPr>
        <w:t>se obtuvo un mejoramiento de la sostenibilidad de la cadena estudiada, lo que demostró su novedad y factibilidad de aplicación.</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Conclusiones:</w:t>
      </w:r>
      <w:r w:rsidR="009061A5" w:rsidRPr="005754D8">
        <w:rPr>
          <w:rFonts w:ascii="Times New Roman" w:hAnsi="Times New Roman" w:cs="Times New Roman"/>
          <w:b/>
          <w:sz w:val="24"/>
          <w:szCs w:val="24"/>
        </w:rPr>
        <w:t xml:space="preserve"> </w:t>
      </w:r>
      <w:r w:rsidR="00D5035B">
        <w:rPr>
          <w:rFonts w:ascii="Times New Roman" w:hAnsi="Times New Roman" w:cs="Times New Roman"/>
          <w:sz w:val="24"/>
          <w:szCs w:val="24"/>
        </w:rPr>
        <w:t>La</w:t>
      </w:r>
      <w:r w:rsidR="00D5035B" w:rsidRPr="00D5035B">
        <w:rPr>
          <w:rFonts w:ascii="Times New Roman" w:hAnsi="Times New Roman" w:cs="Times New Roman"/>
          <w:sz w:val="24"/>
          <w:szCs w:val="24"/>
        </w:rPr>
        <w:t xml:space="preserve"> investigación cubre el vacío de conocimiento dejado por los autores consultados en la bibliografía especializada en la medición del desempeño </w:t>
      </w:r>
      <w:r w:rsidR="00D5035B" w:rsidRPr="00D5035B">
        <w:rPr>
          <w:rFonts w:ascii="Times New Roman" w:hAnsi="Times New Roman" w:cs="Times New Roman"/>
          <w:sz w:val="24"/>
          <w:szCs w:val="24"/>
        </w:rPr>
        <w:lastRenderedPageBreak/>
        <w:t xml:space="preserve">de </w:t>
      </w:r>
      <w:r w:rsidR="00F56AEF">
        <w:rPr>
          <w:rFonts w:ascii="Times New Roman" w:hAnsi="Times New Roman" w:cs="Times New Roman"/>
          <w:sz w:val="24"/>
          <w:szCs w:val="24"/>
        </w:rPr>
        <w:t xml:space="preserve">las </w:t>
      </w:r>
      <w:r w:rsidR="00F56AEF" w:rsidRPr="00C16AD5">
        <w:rPr>
          <w:rFonts w:ascii="Times New Roman" w:hAnsi="Times New Roman" w:cs="Times New Roman"/>
          <w:sz w:val="24"/>
          <w:szCs w:val="24"/>
          <w:highlight w:val="yellow"/>
        </w:rPr>
        <w:t>cadenas de suministro sostenibles</w:t>
      </w:r>
      <w:r w:rsidR="00D5035B" w:rsidRPr="00D5035B">
        <w:rPr>
          <w:rFonts w:ascii="Times New Roman" w:hAnsi="Times New Roman" w:cs="Times New Roman"/>
          <w:sz w:val="24"/>
          <w:szCs w:val="24"/>
        </w:rPr>
        <w:t>, facilitando su monitoreo y mejoramiento continuo</w:t>
      </w:r>
      <w:r w:rsidR="009061A5" w:rsidRPr="005754D8">
        <w:rPr>
          <w:rFonts w:ascii="Times New Roman" w:hAnsi="Times New Roman" w:cs="Times New Roman"/>
          <w:sz w:val="24"/>
          <w:szCs w:val="24"/>
        </w:rPr>
        <w:t>.</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i/>
          <w:sz w:val="24"/>
          <w:szCs w:val="24"/>
        </w:rPr>
        <w:t>Abstract:</w:t>
      </w:r>
      <w:r>
        <w:rPr>
          <w:rFonts w:ascii="Times New Roman" w:hAnsi="Times New Roman" w:cs="Times New Roman"/>
          <w:sz w:val="24"/>
          <w:szCs w:val="24"/>
        </w:rPr>
        <w:t xml:space="preserve"> </w:t>
      </w:r>
    </w:p>
    <w:p w:rsidR="00056022" w:rsidRPr="00056022" w:rsidRDefault="00056022" w:rsidP="00056022">
      <w:pPr>
        <w:pStyle w:val="Prrafodelista"/>
        <w:numPr>
          <w:ilvl w:val="0"/>
          <w:numId w:val="4"/>
        </w:numPr>
        <w:spacing w:after="0" w:line="360" w:lineRule="auto"/>
        <w:jc w:val="both"/>
        <w:rPr>
          <w:rFonts w:ascii="Times New Roman" w:hAnsi="Times New Roman" w:cs="Times New Roman"/>
          <w:i/>
          <w:sz w:val="24"/>
          <w:szCs w:val="24"/>
          <w:lang w:val="en-US"/>
        </w:rPr>
      </w:pPr>
      <w:r w:rsidRPr="00056022">
        <w:rPr>
          <w:rFonts w:ascii="Times New Roman" w:hAnsi="Times New Roman" w:cs="Times New Roman"/>
          <w:b/>
          <w:i/>
          <w:sz w:val="24"/>
          <w:szCs w:val="24"/>
          <w:lang w:val="en-US"/>
        </w:rPr>
        <w:t>Problematic</w:t>
      </w:r>
      <w:r w:rsidRPr="00056022">
        <w:rPr>
          <w:rFonts w:ascii="Times New Roman" w:hAnsi="Times New Roman" w:cs="Times New Roman"/>
          <w:i/>
          <w:sz w:val="24"/>
          <w:szCs w:val="24"/>
          <w:lang w:val="en-US"/>
        </w:rPr>
        <w:t>: Evaluate the performance of the sustainable supply chain with a focus on processes.</w:t>
      </w:r>
    </w:p>
    <w:p w:rsidR="00056022" w:rsidRPr="00056022" w:rsidRDefault="00056022" w:rsidP="00056022">
      <w:pPr>
        <w:pStyle w:val="Prrafodelista"/>
        <w:numPr>
          <w:ilvl w:val="0"/>
          <w:numId w:val="4"/>
        </w:numPr>
        <w:spacing w:after="0" w:line="360" w:lineRule="auto"/>
        <w:jc w:val="both"/>
        <w:rPr>
          <w:rFonts w:ascii="Times New Roman" w:hAnsi="Times New Roman" w:cs="Times New Roman"/>
          <w:i/>
          <w:sz w:val="24"/>
          <w:szCs w:val="24"/>
          <w:lang w:val="en-US"/>
        </w:rPr>
      </w:pPr>
      <w:r w:rsidRPr="00056022">
        <w:rPr>
          <w:rFonts w:ascii="Times New Roman" w:hAnsi="Times New Roman" w:cs="Times New Roman"/>
          <w:b/>
          <w:i/>
          <w:sz w:val="24"/>
          <w:szCs w:val="24"/>
          <w:lang w:val="en-US"/>
        </w:rPr>
        <w:t>Objective</w:t>
      </w:r>
      <w:r w:rsidRPr="00056022">
        <w:rPr>
          <w:rFonts w:ascii="Times New Roman" w:hAnsi="Times New Roman" w:cs="Times New Roman"/>
          <w:i/>
          <w:sz w:val="24"/>
          <w:szCs w:val="24"/>
          <w:lang w:val="en-US"/>
        </w:rPr>
        <w:t xml:space="preserve"> (s): propose the sustainable supply chain performance index</w:t>
      </w:r>
    </w:p>
    <w:p w:rsidR="00056022" w:rsidRPr="00056022" w:rsidRDefault="00056022" w:rsidP="00056022">
      <w:pPr>
        <w:pStyle w:val="Prrafodelista"/>
        <w:numPr>
          <w:ilvl w:val="0"/>
          <w:numId w:val="4"/>
        </w:numPr>
        <w:spacing w:after="0" w:line="360" w:lineRule="auto"/>
        <w:jc w:val="both"/>
        <w:rPr>
          <w:rFonts w:ascii="Times New Roman" w:hAnsi="Times New Roman" w:cs="Times New Roman"/>
          <w:i/>
          <w:sz w:val="24"/>
          <w:szCs w:val="24"/>
          <w:lang w:val="en-US"/>
        </w:rPr>
      </w:pPr>
      <w:r w:rsidRPr="00056022">
        <w:rPr>
          <w:rFonts w:ascii="Times New Roman" w:hAnsi="Times New Roman" w:cs="Times New Roman"/>
          <w:b/>
          <w:i/>
          <w:sz w:val="24"/>
          <w:szCs w:val="24"/>
          <w:lang w:val="en-US"/>
        </w:rPr>
        <w:t>Methodology</w:t>
      </w:r>
      <w:r w:rsidRPr="00056022">
        <w:rPr>
          <w:rFonts w:ascii="Times New Roman" w:hAnsi="Times New Roman" w:cs="Times New Roman"/>
          <w:i/>
          <w:sz w:val="24"/>
          <w:szCs w:val="24"/>
          <w:lang w:val="en-US"/>
        </w:rPr>
        <w:t>: Composed of with a focus on processes, using methods such as Life Cycle Analysis and Analytical Hierarchies or Saaty, the latter based on multiple criteria. The criteria considered were: productivity, customer service, added value, eco-efficiency and profitability.</w:t>
      </w:r>
    </w:p>
    <w:p w:rsidR="00056022" w:rsidRPr="00056022" w:rsidRDefault="00056022" w:rsidP="00056022">
      <w:pPr>
        <w:pStyle w:val="Prrafodelista"/>
        <w:numPr>
          <w:ilvl w:val="0"/>
          <w:numId w:val="4"/>
        </w:numPr>
        <w:spacing w:after="0" w:line="360" w:lineRule="auto"/>
        <w:jc w:val="both"/>
        <w:rPr>
          <w:rFonts w:ascii="Times New Roman" w:hAnsi="Times New Roman" w:cs="Times New Roman"/>
          <w:i/>
          <w:sz w:val="24"/>
          <w:szCs w:val="24"/>
          <w:lang w:val="en-US"/>
        </w:rPr>
      </w:pPr>
      <w:r w:rsidRPr="00056022">
        <w:rPr>
          <w:rFonts w:ascii="Times New Roman" w:hAnsi="Times New Roman" w:cs="Times New Roman"/>
          <w:b/>
          <w:i/>
          <w:sz w:val="24"/>
          <w:szCs w:val="24"/>
          <w:lang w:val="en-US"/>
        </w:rPr>
        <w:t>Results and discussion</w:t>
      </w:r>
      <w:r w:rsidRPr="00056022">
        <w:rPr>
          <w:rFonts w:ascii="Times New Roman" w:hAnsi="Times New Roman" w:cs="Times New Roman"/>
          <w:i/>
          <w:sz w:val="24"/>
          <w:szCs w:val="24"/>
          <w:lang w:val="en-US"/>
        </w:rPr>
        <w:t>: an improvement in the sustainability of the chain studied was obtained, which demonstrated its novelty and feasibility of application.</w:t>
      </w:r>
    </w:p>
    <w:p w:rsidR="00056022" w:rsidRPr="00056022" w:rsidRDefault="00056022" w:rsidP="00056022">
      <w:pPr>
        <w:pStyle w:val="Prrafodelista"/>
        <w:numPr>
          <w:ilvl w:val="0"/>
          <w:numId w:val="4"/>
        </w:numPr>
        <w:spacing w:after="0" w:line="360" w:lineRule="auto"/>
        <w:jc w:val="both"/>
        <w:rPr>
          <w:rFonts w:ascii="Times New Roman" w:hAnsi="Times New Roman" w:cs="Times New Roman"/>
          <w:i/>
          <w:sz w:val="24"/>
          <w:szCs w:val="24"/>
          <w:lang w:val="en-US"/>
        </w:rPr>
      </w:pPr>
      <w:r w:rsidRPr="00056022">
        <w:rPr>
          <w:rFonts w:ascii="Times New Roman" w:hAnsi="Times New Roman" w:cs="Times New Roman"/>
          <w:b/>
          <w:i/>
          <w:sz w:val="24"/>
          <w:szCs w:val="24"/>
          <w:lang w:val="en-US"/>
        </w:rPr>
        <w:t>Conclusions</w:t>
      </w:r>
      <w:r w:rsidRPr="00056022">
        <w:rPr>
          <w:rFonts w:ascii="Times New Roman" w:hAnsi="Times New Roman" w:cs="Times New Roman"/>
          <w:i/>
          <w:sz w:val="24"/>
          <w:szCs w:val="24"/>
          <w:lang w:val="en-US"/>
        </w:rPr>
        <w:t xml:space="preserve">: The research covers the knowledge gap left by the authors consulted in the specialized bibliography in the measurement of </w:t>
      </w:r>
      <w:r w:rsidR="00F56AEF" w:rsidRPr="00C16AD5">
        <w:rPr>
          <w:bCs/>
          <w:i/>
          <w:iCs/>
          <w:szCs w:val="24"/>
          <w:highlight w:val="yellow"/>
          <w:lang w:val="en-US"/>
        </w:rPr>
        <w:t>sustainable supply chain</w:t>
      </w:r>
      <w:r w:rsidR="00F56AEF" w:rsidRPr="00C16AD5">
        <w:rPr>
          <w:rFonts w:ascii="Times New Roman" w:hAnsi="Times New Roman" w:cs="Times New Roman"/>
          <w:i/>
          <w:sz w:val="24"/>
          <w:szCs w:val="24"/>
          <w:highlight w:val="yellow"/>
          <w:lang w:val="en-US"/>
        </w:rPr>
        <w:t xml:space="preserve"> </w:t>
      </w:r>
      <w:r w:rsidRPr="00C16AD5">
        <w:rPr>
          <w:rFonts w:ascii="Times New Roman" w:hAnsi="Times New Roman" w:cs="Times New Roman"/>
          <w:i/>
          <w:sz w:val="24"/>
          <w:szCs w:val="24"/>
          <w:highlight w:val="yellow"/>
          <w:lang w:val="en-US"/>
        </w:rPr>
        <w:t>performance,</w:t>
      </w:r>
      <w:bookmarkStart w:id="0" w:name="_GoBack"/>
      <w:bookmarkEnd w:id="0"/>
      <w:r w:rsidRPr="00056022">
        <w:rPr>
          <w:rFonts w:ascii="Times New Roman" w:hAnsi="Times New Roman" w:cs="Times New Roman"/>
          <w:i/>
          <w:sz w:val="24"/>
          <w:szCs w:val="24"/>
          <w:lang w:val="en-US"/>
        </w:rPr>
        <w:t xml:space="preserve"> facilitating its monitoring and continuous improvement.</w:t>
      </w:r>
    </w:p>
    <w:p w:rsidR="009061A5" w:rsidRPr="00056022" w:rsidRDefault="009061A5" w:rsidP="00FF3346">
      <w:pPr>
        <w:spacing w:after="0" w:line="360" w:lineRule="auto"/>
        <w:jc w:val="both"/>
        <w:rPr>
          <w:rFonts w:ascii="Times New Roman" w:hAnsi="Times New Roman" w:cs="Times New Roman"/>
          <w:sz w:val="24"/>
          <w:szCs w:val="24"/>
          <w:lang w:val="en-US"/>
        </w:rPr>
      </w:pPr>
    </w:p>
    <w:p w:rsidR="009061A5" w:rsidRPr="00DA747D"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DA747D" w:rsidRPr="00DA747D">
        <w:rPr>
          <w:sz w:val="24"/>
          <w:szCs w:val="24"/>
          <w:lang w:val="es-ES_tradnl"/>
        </w:rPr>
        <w:t xml:space="preserve"> </w:t>
      </w:r>
      <w:r w:rsidR="00DA747D" w:rsidRPr="00DA747D">
        <w:rPr>
          <w:rFonts w:ascii="Times New Roman" w:hAnsi="Times New Roman" w:cs="Times New Roman"/>
          <w:sz w:val="24"/>
          <w:szCs w:val="24"/>
          <w:lang w:val="es-ES_tradnl"/>
        </w:rPr>
        <w:t>desempeño; cadena de suministro sostenible; multicriterio</w:t>
      </w:r>
    </w:p>
    <w:p w:rsidR="009061A5" w:rsidRDefault="009061A5" w:rsidP="00FF3346">
      <w:pPr>
        <w:spacing w:after="0" w:line="360" w:lineRule="auto"/>
        <w:jc w:val="both"/>
        <w:rPr>
          <w:rFonts w:ascii="Times New Roman" w:hAnsi="Times New Roman" w:cs="Times New Roman"/>
          <w:sz w:val="24"/>
          <w:szCs w:val="24"/>
        </w:rPr>
      </w:pPr>
    </w:p>
    <w:p w:rsidR="00DA747D" w:rsidRPr="003B119B" w:rsidRDefault="009061A5" w:rsidP="00DA747D">
      <w:pPr>
        <w:pStyle w:val="Textoindependiente"/>
        <w:jc w:val="both"/>
        <w:rPr>
          <w:szCs w:val="24"/>
          <w:lang w:val="en-US"/>
        </w:rPr>
      </w:pPr>
      <w:r w:rsidRPr="00DA747D">
        <w:rPr>
          <w:i/>
          <w:szCs w:val="24"/>
          <w:lang w:val="en-US"/>
        </w:rPr>
        <w:t>Keywords:</w:t>
      </w:r>
      <w:r w:rsidRPr="00DA747D">
        <w:rPr>
          <w:szCs w:val="24"/>
          <w:lang w:val="en-US"/>
        </w:rPr>
        <w:t xml:space="preserve"> </w:t>
      </w:r>
      <w:r w:rsidR="00DA747D" w:rsidRPr="00DA747D">
        <w:rPr>
          <w:b w:val="0"/>
          <w:bCs/>
          <w:i/>
          <w:iCs/>
          <w:szCs w:val="24"/>
          <w:lang w:val="en-US"/>
        </w:rPr>
        <w:t>performance; sustainable supply chain; multicriteria.</w:t>
      </w:r>
    </w:p>
    <w:p w:rsidR="009061A5" w:rsidRPr="00DA747D" w:rsidRDefault="009061A5" w:rsidP="00FF3346">
      <w:pPr>
        <w:spacing w:after="0" w:line="360" w:lineRule="auto"/>
        <w:jc w:val="both"/>
        <w:rPr>
          <w:rFonts w:ascii="Times New Roman" w:hAnsi="Times New Roman" w:cs="Times New Roman"/>
          <w:sz w:val="24"/>
          <w:szCs w:val="24"/>
          <w:lang w:val="en-US"/>
        </w:rPr>
      </w:pPr>
    </w:p>
    <w:p w:rsidR="00A21A1F" w:rsidRPr="00DA747D"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DA747D" w:rsidRPr="00DA747D" w:rsidRDefault="00DA747D" w:rsidP="00DA747D">
      <w:pPr>
        <w:jc w:val="both"/>
        <w:rPr>
          <w:rFonts w:ascii="Times New Roman" w:hAnsi="Times New Roman" w:cs="Times New Roman"/>
          <w:sz w:val="24"/>
          <w:szCs w:val="24"/>
          <w:lang w:val="es-ES_tradnl"/>
        </w:rPr>
      </w:pPr>
      <w:r w:rsidRPr="00DA747D">
        <w:rPr>
          <w:rFonts w:ascii="Times New Roman" w:hAnsi="Times New Roman" w:cs="Times New Roman"/>
          <w:sz w:val="24"/>
          <w:szCs w:val="24"/>
          <w:lang w:val="es-ES_tradnl"/>
        </w:rPr>
        <w:t xml:space="preserve">El incremento de la complejidad de las cadenas de suministros (CS) lleva a que los investigadores reconozcan la necesidad de medir y monitorear su funcionamiento como forma de evaluar el desempeño organizacional, gestionar efectivamente las actividades y ser más competitivo </w:t>
      </w:r>
      <w:r w:rsidRPr="00DA747D">
        <w:rPr>
          <w:rFonts w:ascii="Times New Roman" w:hAnsi="Times New Roman" w:cs="Times New Roman"/>
          <w:sz w:val="24"/>
          <w:szCs w:val="24"/>
          <w:lang w:val="es-ES_tradnl"/>
        </w:rPr>
        <w:fldChar w:fldCharType="begin" w:fldLock="1"/>
      </w:r>
      <w:r w:rsidRPr="00DA747D">
        <w:rPr>
          <w:rFonts w:ascii="Times New Roman" w:hAnsi="Times New Roman" w:cs="Times New Roman"/>
          <w:sz w:val="24"/>
          <w:szCs w:val="24"/>
          <w:lang w:val="es-ES_tradnl"/>
        </w:rPr>
        <w:instrText>ADDIN CSL_CITATION {"citationItems":[{"id":"ITEM-1","itemData":{"DOI":"10.1007/978-3-319-93876-9_5","ISBN":"978-3-319-93876-9","abstract":"This chapter discusses concepts related to supply chain performance and supply chain performance evaluation. The purpose of this chapter is to explain how current companies seek benefits and competitiveness through supply chain attributes and supply chain performance metrics. Some of these attributes and metrics are classified from an economic perspective, whereas others are addressed from an operational, tactical, or strategic approach to explain qualitative and quantitative aspects of the supply chain. Understanding the notions and implications of supply chain performance and supply chain evaluation is very important when companies aim at improving their competitive levels, especially because performance metric systems provide real-time information on how the supply chain is managed. Similarly, classifying performance into its different categories will allow this chapter to clearly address evaluation methods in the manufacturing industry.","author":[{"dropping-particle":"","family":"Avelar-Sosa","given":"Liliana","non-dropping-particle":"","parse-names":false,"suffix":""},{"dropping-particle":"","family":"García-Alcaraz","given":"Jorge Luis","non-dropping-particle":"","parse-names":false,"suffix":""},{"dropping-particle":"","family":"Maldonado-Macías","given":"Aidé Aracely","non-dropping-particle":"","parse-names":false,"suffix":""}],"container-title":"Evaluation of Supply Chain Performance: A Manufacturing Industry Approach","id":"ITEM-1","issued":{"date-parts":[["2019"]]},"page":"69-89","publisher":"Springer International Publishing","publisher-place":"Cham","title":"Conceptualization of Supply Chain Performance","type":"chapter"},"uris":["http://www.mendeley.com/documents/?uuid=35d0b750-e717-4045-bb7b-dcf494a92a4d"]},{"id":"ITEM-2","itemData":{"DOI":"10.1007/978-3-030-26488-8_15","ISBN":"978-3-030-26488-8","abstract":"Sustainable supply chain has attracted interest among the academic, industrial and managerial sectors. Therefore, the purpose of this chapter is to present a review of current literature and research studies on this topic, and to identify sustainable practices throughout the supply chain that have been said to improve its performance. The chapter undertakes theoretical perspectives used in sustainable supply chain literature, by describing the three dimensions of sustainability, segregating the supply chain into four stages, and moving into the discussion of current research found to improve supply chain performance, while combining sustainable practices. Conclusions are drawn from existing studies and their contribution to knowledge development, as well as their impact on supply chain results improvement. Future research suggestions are presented as well as limitations.","author":[{"dropping-particle":"","family":"Sánchez-Flores","given":"Rebeca B","non-dropping-particle":"","parse-names":false,"suffix":""},{"dropping-particle":"","family":"Ojeda-Benítez","given":"Sara","non-dropping-particle":"","parse-names":false,"suffix":""},{"dropping-particle":"","family":"Cruz-Sotelo","given":"Samantha E","non-dropping-particle":"","parse-names":false,"suffix":""},{"dropping-particle":"","family":"Navarro-González","given":"Carlos R","non-dropping-particle":"","parse-names":false,"suffix":""}],"container-title":"Techniques, Tools and Methodologies Applied to Global Supply Chain Ecosystems","editor":[{"dropping-particle":"","family":"García-Alcaraz","given":"Jorge Luis","non-dropping-particle":"","parse-names":false,"suffix":""},{"dropping-particle":"","family":"Sánchez-Ramírez","given":"Cuauhtémoc","non-dropping-particle":"","parse-names":false,"suffix":""},{"dropping-particle":"","family":"Avelar-Sosa","given":"Liliana","non-dropping-particle":"","parse-names":false,"suffix":""},{"dropping-particle":"","family":"Alor-Hernández","given":"Giner","non-dropping-particle":"","parse-names":false,"suffix":""}],"id":"ITEM-2","issued":{"date-parts":[["2020"]]},"page":"333-358","publisher":"Springer International Publishing","publisher-place":"Cham","title":"Supply Chain Performance Improvement: A Sustainable Perspective","type":"chapter"},"uris":["http://www.mendeley.com/documents/?uuid=f0f1c984-2344-4f73-8076-e03c3c8e1f78"]},{"id":"ITEM-3","itemData":{"DOI":"10.1016/j.matpr.2017.07.120","ISSN":"22147853","abstract":"In today's competitive business environment, evaluation of supply chain is also a principal functionality in any kind of business organization. It is due to the uncertainty within the business environment. In this paper, hybrid methodology of Attribute Hierarchy Model (AHM) and Membership Degree Transformation- M (1, 2, 3) is proposed for evaluation of supply chain performance. This planned methodology is not only useful to judge the complete performance of the supply chain but also to identify the critical criteria upon which the organizations need to concentrate to improve the performance of their supply chains.","author":[{"dropping-particle":"","family":"Hemalatha","given":"S.","non-dropping-particle":"","parse-names":false,"suffix":""},{"dropping-particle":"","family":"Rao","given":"K. Narayana","non-dropping-particle":"","parse-names":false,"suffix":""},{"dropping-particle":"","family":"Rambabu","given":"G.","non-dropping-particle":"","parse-names":false,"suffix":""},{"dropping-particle":"","family":"Venkatasubbaiah","given":"K.","non-dropping-particle":"","parse-names":false,"suffix":""}],"container-title":"Materials Today: Proceedings","id":"ITEM-3","issue":"8","issued":{"date-parts":[["2017"]]},"page":"7848-7858","publisher":"Elsevier Ltd","title":"Supply chain performance evaluation through AHM and Membership degree transformation","type":"article-journal","volume":"4"},"uris":["http://www.mendeley.com/documents/?uuid=50a6c794-8cf8-442a-8e6a-ce88640551d8"]}],"mendeley":{"formattedCitation":"(Avelar-Sosa, García-Alcaraz, &amp; Maldonado-Macías, 2019a; Hemalatha, Rao, Rambabu, &amp; Venkatasubbaiah, 2017; Sánchez-Flores, Ojeda-Benítez, Cruz-Sotelo, &amp; Navarro-González, 2020)","manualFormatting":"(Sánchez-Flores, Ojeda-Benítez, Cruz-Sotelo y Navarro-González, 2020; Avelar Sosa, García-Alcaraz y Maldonado Macías, 2019; Hemalatha y Rambabu, 2017","plainTextFormattedCitation":"(Avelar-Sosa, García-Alcaraz, &amp; Maldonado-Macías, 2019a; Hemalatha, Rao, Rambabu, &amp; Venkatasubbaiah, 2017; Sánchez-Flores, Ojeda-Benítez, Cruz-Sotelo, &amp; Navarro-González, 2020)","previouslyFormattedCitation":"(Avelar-Sosa, García-Alcaraz, &amp; Maldonado-Macías, 2019; Hemalatha, Rao, Rambabu, &amp; Venkatasubbaiah, 2017; Sánchez-Flores, Ojeda-Benítez, Cruz-Sotelo, &amp; Navarro-González, 2020)"},"properties":{"noteIndex":0},"schema":"https://github.com/citation-style-language/schema/raw/master/csl-citation.json"}</w:instrText>
      </w:r>
      <w:r w:rsidRPr="00DA747D">
        <w:rPr>
          <w:rFonts w:ascii="Times New Roman" w:hAnsi="Times New Roman" w:cs="Times New Roman"/>
          <w:sz w:val="24"/>
          <w:szCs w:val="24"/>
          <w:lang w:val="es-ES_tradnl"/>
        </w:rPr>
        <w:fldChar w:fldCharType="separate"/>
      </w:r>
      <w:r w:rsidRPr="00DA747D">
        <w:rPr>
          <w:rFonts w:ascii="Times New Roman" w:hAnsi="Times New Roman" w:cs="Times New Roman"/>
          <w:sz w:val="24"/>
          <w:szCs w:val="24"/>
          <w:lang w:val="es-ES_tradnl"/>
        </w:rPr>
        <w:t>(Sánchez-Flores, Ojeda-Benítez, Cruz-Sotelo y Navarro-González, 2020; Avelar Sosa, García-Alcaraz y Maldonado Macías, 2019; Hemalatha y Rambabu, 2017</w:t>
      </w:r>
      <w:r w:rsidRPr="00DA747D">
        <w:rPr>
          <w:rFonts w:ascii="Times New Roman" w:hAnsi="Times New Roman" w:cs="Times New Roman"/>
          <w:sz w:val="24"/>
          <w:szCs w:val="24"/>
          <w:lang w:val="es-ES_tradnl"/>
        </w:rPr>
        <w:fldChar w:fldCharType="end"/>
      </w:r>
      <w:r w:rsidRPr="00DA747D">
        <w:rPr>
          <w:rFonts w:ascii="Times New Roman" w:hAnsi="Times New Roman" w:cs="Times New Roman"/>
          <w:sz w:val="24"/>
          <w:szCs w:val="24"/>
          <w:lang w:val="es-ES_tradnl"/>
        </w:rPr>
        <w:t xml:space="preserve">). Esta complejidad es consistente con la cantidad de actores presentes, por lo que ha sido un aspecto debatido en la literatura </w:t>
      </w:r>
      <w:r w:rsidRPr="00DA747D">
        <w:rPr>
          <w:rFonts w:ascii="Times New Roman" w:hAnsi="Times New Roman" w:cs="Times New Roman"/>
          <w:sz w:val="24"/>
          <w:szCs w:val="24"/>
          <w:lang w:val="es-ES_tradnl"/>
        </w:rPr>
        <w:fldChar w:fldCharType="begin" w:fldLock="1"/>
      </w:r>
      <w:r w:rsidRPr="00DA747D">
        <w:rPr>
          <w:rFonts w:ascii="Times New Roman" w:hAnsi="Times New Roman" w:cs="Times New Roman"/>
          <w:sz w:val="24"/>
          <w:szCs w:val="24"/>
          <w:lang w:val="es-ES_tradnl"/>
        </w:rPr>
        <w:instrText>ADDIN CSL_CITATION {"citationItems":[{"id":"ITEM-1","itemData":{"author":[{"dropping-particle":"","family":"Mohaghar","given":"A","non-dropping-particle":"","parse-names":false,"suffix":""}],"container-title":"Global Journal of Management Studies and Researches","id":"ITEM-1","issue":"3","issued":{"date-parts":[["2014"]]},"page":"158-163","title":"Performance Evaluation of Green Supply Chain based on LFPP and Balanced Scorecard Approach","type":"article-journal","volume":"1"},"uris":["http://www.mendeley.com/documents/?uuid=4f0421ce-b792-4a89-a151-b3119884e6a6"]}],"mendeley":{"formattedCitation":"(Mohaghar, 2014)","manualFormatting":"(Narimissa, Kangarani-Farahani y  Molla-Alizadeh-Zavardehi, 2020a; Mohaghar, 2014)","plainTextFormattedCitation":"(Mohaghar, 2014)","previouslyFormattedCitation":"(Mohaghar, 2014)"},"properties":{"noteIndex":0},"schema":"https://github.com/citation-style-language/schema/raw/master/csl-citation.json"}</w:instrText>
      </w:r>
      <w:r w:rsidRPr="00DA747D">
        <w:rPr>
          <w:rFonts w:ascii="Times New Roman" w:hAnsi="Times New Roman" w:cs="Times New Roman"/>
          <w:sz w:val="24"/>
          <w:szCs w:val="24"/>
          <w:lang w:val="es-ES_tradnl"/>
        </w:rPr>
        <w:fldChar w:fldCharType="separate"/>
      </w:r>
      <w:r w:rsidRPr="00DA747D">
        <w:rPr>
          <w:rFonts w:ascii="Times New Roman" w:hAnsi="Times New Roman" w:cs="Times New Roman"/>
          <w:noProof/>
          <w:sz w:val="24"/>
          <w:szCs w:val="24"/>
          <w:lang w:val="es-ES_tradnl"/>
        </w:rPr>
        <w:t>(</w:t>
      </w:r>
      <w:r w:rsidRPr="00DA747D">
        <w:rPr>
          <w:rFonts w:ascii="Times New Roman" w:hAnsi="Times New Roman" w:cs="Times New Roman"/>
          <w:noProof/>
          <w:sz w:val="24"/>
          <w:szCs w:val="24"/>
        </w:rPr>
        <w:t>Narimissa, Kangarani-Farahani y  Molla-Alizadeh-Zavardehi, 2020a</w:t>
      </w:r>
      <w:r w:rsidRPr="00DA747D">
        <w:rPr>
          <w:rFonts w:ascii="Times New Roman" w:hAnsi="Times New Roman" w:cs="Times New Roman"/>
          <w:noProof/>
          <w:sz w:val="24"/>
          <w:szCs w:val="24"/>
          <w:lang w:val="es-ES_tradnl"/>
        </w:rPr>
        <w:t>; Mohaghar, 2014)</w:t>
      </w:r>
      <w:r w:rsidRPr="00DA747D">
        <w:rPr>
          <w:rFonts w:ascii="Times New Roman" w:hAnsi="Times New Roman" w:cs="Times New Roman"/>
          <w:sz w:val="24"/>
          <w:szCs w:val="24"/>
          <w:lang w:val="es-ES_tradnl"/>
        </w:rPr>
        <w:fldChar w:fldCharType="end"/>
      </w:r>
      <w:r w:rsidRPr="00DA747D">
        <w:rPr>
          <w:rFonts w:ascii="Times New Roman" w:hAnsi="Times New Roman" w:cs="Times New Roman"/>
          <w:sz w:val="24"/>
          <w:szCs w:val="24"/>
          <w:lang w:val="es-ES_tradnl"/>
        </w:rPr>
        <w:t xml:space="preserve">. También se reconoce la necesidad de medir el desempeño de la CS </w:t>
      </w:r>
      <w:r w:rsidRPr="00DA747D">
        <w:rPr>
          <w:rFonts w:ascii="Times New Roman" w:hAnsi="Times New Roman" w:cs="Times New Roman"/>
          <w:sz w:val="24"/>
          <w:szCs w:val="24"/>
          <w:lang w:val="es-ES_tradnl"/>
        </w:rPr>
        <w:fldChar w:fldCharType="begin" w:fldLock="1"/>
      </w:r>
      <w:r w:rsidRPr="00DA747D">
        <w:rPr>
          <w:rFonts w:ascii="Times New Roman" w:hAnsi="Times New Roman" w:cs="Times New Roman"/>
          <w:sz w:val="24"/>
          <w:szCs w:val="24"/>
          <w:lang w:val="es-ES_tradnl"/>
        </w:rPr>
        <w:instrText>ADDIN CSL_CITATION {"citationItems":[{"id":"ITEM-1","itemData":{"abstract":"The purpose of this study is to identify and analyze the metrics that have been published in the literature on green supply chain management (GSCM) and sustainable supply chain management (SSCM). The metrics were identified based on a structured content analysis of 445 articles published up to the end of 2012. A total of 2555 unique metrics were identified. The majority of the metrics were used only once, which indicates a lack of agreement on how performance should be measured in these areas. Five metrics were used more than 20 times: quality (31 times), air emissions (28), greenhouse gas emissions (24), energy use (24), and energy consumption (21). As highlighted in that list, multiple metrics were used to measure similar issues in many cases. For example, a detailed analysis showed that 76 different metrics were identified for issues focusing on water. As a part of the analysis conducted, each metric was classified according to 13 key characteristics of SSCM drawn from the literature. The analysis showed that environmental issues were represented to the greatest extent. Over one-third of the identified metrics were classified as cross-cutting metrics, meaning that they addressed more than one key characteristic of SSCM. Based on the analysis conducted, an original conceptual framework for structuring the development of metrics in GSCM and SSCM is presented. This paper presents one of the first in-depth investigations of the use of metrics in GSCM and SSCM. It is anticipated that the analysis and framework will provide a strong basis for future academic and practitioner work.","author":[{"dropping-particle":"","family":"Ahi","given":"P","non-dropping-particle":"","parse-names":false,"suffix":""},{"dropping-particle":"","family":"Searcy","given":"C","non-dropping-particle":"","parse-names":false,"suffix":""}],"container-title":"Journal of Cleaner Production","id":"ITEM-1","issue":"1","issued":{"date-parts":[["2015"]]},"page":"360–377","title":"An analysis of metrics used to measure performance in green and sustainable supply chains","type":"article-journal","volume":"86"},"uris":["http://www.mendeley.com/documents/?uuid=cb4fd039-d0b6-4424-b418-704d7ca688a6"]}],"mendeley":{"formattedCitation":"(Ahi &amp; Searcy, 2015)","plainTextFormattedCitation":"(Ahi &amp; Searcy, 2015)","previouslyFormattedCitation":"(Ahi &amp; Searcy, 2015)"},"properties":{"noteIndex":0},"schema":"https://github.com/citation-style-language/schema/raw/master/csl-citation.json"}</w:instrText>
      </w:r>
      <w:r w:rsidRPr="00DA747D">
        <w:rPr>
          <w:rFonts w:ascii="Times New Roman" w:hAnsi="Times New Roman" w:cs="Times New Roman"/>
          <w:sz w:val="24"/>
          <w:szCs w:val="24"/>
          <w:lang w:val="es-ES_tradnl"/>
        </w:rPr>
        <w:fldChar w:fldCharType="separate"/>
      </w:r>
      <w:r w:rsidRPr="00DA747D">
        <w:rPr>
          <w:rFonts w:ascii="Times New Roman" w:hAnsi="Times New Roman" w:cs="Times New Roman"/>
          <w:noProof/>
          <w:sz w:val="24"/>
          <w:szCs w:val="24"/>
          <w:lang w:val="es-ES_tradnl"/>
        </w:rPr>
        <w:t>(Ahi y Searcy, 2015)</w:t>
      </w:r>
      <w:r w:rsidRPr="00DA747D">
        <w:rPr>
          <w:rFonts w:ascii="Times New Roman" w:hAnsi="Times New Roman" w:cs="Times New Roman"/>
          <w:sz w:val="24"/>
          <w:szCs w:val="24"/>
          <w:lang w:val="es-ES_tradnl"/>
        </w:rPr>
        <w:fldChar w:fldCharType="end"/>
      </w:r>
      <w:r w:rsidRPr="00DA747D">
        <w:rPr>
          <w:rFonts w:ascii="Times New Roman" w:hAnsi="Times New Roman" w:cs="Times New Roman"/>
          <w:sz w:val="24"/>
          <w:szCs w:val="24"/>
          <w:lang w:val="es-ES_tradnl"/>
        </w:rPr>
        <w:t xml:space="preserve">, de </w:t>
      </w:r>
      <w:r w:rsidRPr="00DA747D">
        <w:rPr>
          <w:rFonts w:ascii="Times New Roman" w:hAnsi="Times New Roman" w:cs="Times New Roman"/>
          <w:sz w:val="24"/>
          <w:szCs w:val="24"/>
        </w:rPr>
        <w:t xml:space="preserve">poseer capacidades ágiles como condiciones necesarias para maximizar el desempeño de la cadena de suministro sostenible </w:t>
      </w:r>
      <w:r w:rsidRPr="00DA747D">
        <w:rPr>
          <w:rFonts w:ascii="Times New Roman" w:hAnsi="Times New Roman" w:cs="Times New Roman"/>
          <w:sz w:val="24"/>
          <w:szCs w:val="24"/>
        </w:rPr>
        <w:fldChar w:fldCharType="begin" w:fldLock="1"/>
      </w:r>
      <w:r w:rsidRPr="00DA747D">
        <w:rPr>
          <w:rFonts w:ascii="Times New Roman" w:hAnsi="Times New Roman" w:cs="Times New Roman"/>
          <w:sz w:val="24"/>
          <w:szCs w:val="24"/>
        </w:rPr>
        <w:instrText>ADDIN CSL_CITATION {"citationItems":[{"id":"ITEM-1","itemData":{"DOI":"10.1016/j.ijpe.2019.09.022","ISSN":"0925-5273","author":[{"dropping-particle":"","family":"Gey","given":"Dan’Asabe Godwin","non-dropping-particle":"","parse-names":false,"suffix":""},{"dropping-particle":"","family":"Yusuf","given":"Yahaya","non-dropping-particle":"","parse-names":false,"suffix":""},{"dropping-particle":"","family":"Menhat","given":"Masha S.","non-dropping-particle":"","parse-names":false,"suffix":""},{"dropping-particle":"","family":"Abubakar","given":"Tijjani","non-dropping-particle":"","parse-names":false,"suffix":""},{"dropping-particle":"","family":"Ogbuke","given":"Nnamdi J.","non-dropping-particle":"","parse-names":false,"suffix":""}],"container-title":"International Journal of Production Economics","id":"ITEM-1","issued":{"date-parts":[["2020"]]},"page":"107501","publisher":"Elsevier","title":"Agile capabilities as necessary conditions for maximising sustainable supply chain performance: An empirical investigation","type":"article-journal","volume":"222"},"uris":["http://www.mendeley.com/documents/?uuid=228e063e-0334-4990-8941-985d6ced5286"]}],"mendeley":{"formattedCitation":"(Gey et al., 2020)","manualFormatting":"(Gey, Yusuf, Menhat, Abubakar y Ogbuke, 2020)","plainTextFormattedCitation":"(Gey et al., 2020)","previouslyFormattedCitation":"(Gey et al., 2020)"},"properties":{"noteIndex":0},"schema":"https://github.com/citation-style-language/schema/raw/master/csl-citation.json"}</w:instrText>
      </w:r>
      <w:r w:rsidRPr="00DA747D">
        <w:rPr>
          <w:rFonts w:ascii="Times New Roman" w:hAnsi="Times New Roman" w:cs="Times New Roman"/>
          <w:sz w:val="24"/>
          <w:szCs w:val="24"/>
        </w:rPr>
        <w:fldChar w:fldCharType="separate"/>
      </w:r>
      <w:r w:rsidRPr="00DA747D">
        <w:rPr>
          <w:rFonts w:ascii="Times New Roman" w:hAnsi="Times New Roman" w:cs="Times New Roman"/>
          <w:noProof/>
          <w:sz w:val="24"/>
          <w:szCs w:val="24"/>
        </w:rPr>
        <w:t>(Gey, Yusuf, Menhat, Abubakar y Ogbuke, 2020)</w:t>
      </w:r>
      <w:r w:rsidRPr="00DA747D">
        <w:rPr>
          <w:rFonts w:ascii="Times New Roman" w:hAnsi="Times New Roman" w:cs="Times New Roman"/>
          <w:sz w:val="24"/>
          <w:szCs w:val="24"/>
        </w:rPr>
        <w:fldChar w:fldCharType="end"/>
      </w:r>
      <w:r w:rsidRPr="00DA747D">
        <w:rPr>
          <w:rFonts w:ascii="Times New Roman" w:hAnsi="Times New Roman" w:cs="Times New Roman"/>
          <w:sz w:val="24"/>
          <w:szCs w:val="24"/>
          <w:lang w:val="es-ES_tradnl"/>
        </w:rPr>
        <w:t xml:space="preserve"> y de administrar la relación entre los participantes y sus recursos </w:t>
      </w:r>
      <w:r w:rsidRPr="00DA747D">
        <w:rPr>
          <w:rFonts w:ascii="Times New Roman" w:hAnsi="Times New Roman" w:cs="Times New Roman"/>
          <w:sz w:val="24"/>
          <w:szCs w:val="24"/>
          <w:lang w:val="es-ES_tradnl"/>
        </w:rPr>
        <w:fldChar w:fldCharType="begin" w:fldLock="1"/>
      </w:r>
      <w:r w:rsidRPr="00DA747D">
        <w:rPr>
          <w:rFonts w:ascii="Times New Roman" w:hAnsi="Times New Roman" w:cs="Times New Roman"/>
          <w:sz w:val="24"/>
          <w:szCs w:val="24"/>
          <w:lang w:val="es-ES_tradnl"/>
        </w:rPr>
        <w:instrText>ADDIN CSL_CITATION {"citationItems":[{"id":"ITEM-1","itemData":{"author":[{"dropping-particle":"","family":"Icarte-Ahumada","given":"Gabriel A","non-dropping-particle":"","parse-names":false,"suffix":""}],"container-title":"Ingeniare. Revista chilena de ingeniería","id":"ITEM-1","issue":"4","issued":{"date-parts":[["2016"]]},"page":"663-679","title":"Aplicaciones de inteligencia artificial en procesos de cadenas de suministros: una revisión sistemática Applications of artificial intelligence in supply chain process : a systematic review","type":"article-journal","volume":"24"},"uris":["http://www.mendeley.com/documents/?uuid=6b102bb7-2516-442e-99ff-cd41686f66e4"]}],"mendeley":{"formattedCitation":"(Icarte-Ahumada, 2016)","plainTextFormattedCitation":"(Icarte-Ahumada, 2016)","previouslyFormattedCitation":"(Icarte-Ahumada, 2016)"},"properties":{"noteIndex":0},"schema":"https://github.com/citation-style-language/schema/raw/master/csl-citation.json"}</w:instrText>
      </w:r>
      <w:r w:rsidRPr="00DA747D">
        <w:rPr>
          <w:rFonts w:ascii="Times New Roman" w:hAnsi="Times New Roman" w:cs="Times New Roman"/>
          <w:sz w:val="24"/>
          <w:szCs w:val="24"/>
          <w:lang w:val="es-ES_tradnl"/>
        </w:rPr>
        <w:fldChar w:fldCharType="separate"/>
      </w:r>
      <w:r w:rsidRPr="00DA747D">
        <w:rPr>
          <w:rFonts w:ascii="Times New Roman" w:hAnsi="Times New Roman" w:cs="Times New Roman"/>
          <w:noProof/>
          <w:sz w:val="24"/>
          <w:szCs w:val="24"/>
          <w:lang w:val="es-ES_tradnl"/>
        </w:rPr>
        <w:t>(Icarte Ahumada, 2016)</w:t>
      </w:r>
      <w:r w:rsidRPr="00DA747D">
        <w:rPr>
          <w:rFonts w:ascii="Times New Roman" w:hAnsi="Times New Roman" w:cs="Times New Roman"/>
          <w:sz w:val="24"/>
          <w:szCs w:val="24"/>
          <w:lang w:val="es-ES_tradnl"/>
        </w:rPr>
        <w:fldChar w:fldCharType="end"/>
      </w:r>
      <w:r w:rsidRPr="00DA747D">
        <w:rPr>
          <w:rFonts w:ascii="Times New Roman" w:hAnsi="Times New Roman" w:cs="Times New Roman"/>
          <w:sz w:val="24"/>
          <w:szCs w:val="24"/>
          <w:lang w:val="es-ES_tradnl"/>
        </w:rPr>
        <w:t xml:space="preserve">. En la actualidad el </w:t>
      </w:r>
      <w:r w:rsidRPr="00DA747D">
        <w:rPr>
          <w:rFonts w:ascii="Times New Roman" w:hAnsi="Times New Roman" w:cs="Times New Roman"/>
          <w:sz w:val="24"/>
          <w:szCs w:val="24"/>
          <w:lang w:val="es-ES_tradnl"/>
        </w:rPr>
        <w:lastRenderedPageBreak/>
        <w:t xml:space="preserve">desempeño de las se considera un factor clave de análisis para el mejoramiento de los procesos de dichas cadenas </w:t>
      </w:r>
      <w:r w:rsidRPr="00DA747D">
        <w:rPr>
          <w:rFonts w:ascii="Times New Roman" w:hAnsi="Times New Roman" w:cs="Times New Roman"/>
          <w:sz w:val="24"/>
          <w:szCs w:val="24"/>
          <w:lang w:val="es-ES_tradnl"/>
        </w:rPr>
        <w:fldChar w:fldCharType="begin" w:fldLock="1"/>
      </w:r>
      <w:r w:rsidRPr="00DA747D">
        <w:rPr>
          <w:rFonts w:ascii="Times New Roman" w:hAnsi="Times New Roman" w:cs="Times New Roman"/>
          <w:sz w:val="24"/>
          <w:szCs w:val="24"/>
          <w:lang w:val="es-ES_tradnl"/>
        </w:rPr>
        <w:instrText>ADDIN CSL_CITATION {"citationItems":[{"id":"ITEM-1","itemData":{"DOI":"10.14419/ijet.v7i4.26.27938","abstract":"In this study the improvement of supply chain process based on the supply chain management has been considered. In this regard, two vital factor of time and cost has been taken into account to optimize the process of product delivery. To harness the available methods, among the all options, the construction company’s integration has been elicited in order to improve the business process by concentrating best logistic and supply chain factors to improve the construction quality and standards. By ensuing the proposed methods, the importance of supply chain relationships in construction companies as well as efficiency of the flowed information in terms of relevant data to improve customer and supplier relation has been manifested. In the strategies, followed aforementioned trends, the best potential tools for improvement of constructed companies have been identified. At the end, implementing the mentioned strategies, the obtained results attested the quality performance and supply chain management expediency.","author":[{"dropping-particle":"","family":"Kumar","given":"Vivek","non-dropping-particle":"","parse-names":false,"suffix":""},{"dropping-particle":"","family":"Kumar","given":"Vikash","non-dropping-particle":"","parse-names":false,"suffix":""},{"dropping-particle":"","family":"Rao","given":"Y.","non-dropping-particle":"","parse-names":false,"suffix":""},{"dropping-particle":"","family":"Veeramalla","given":"Shashi","non-dropping-particle":"","parse-names":false,"suffix":""}],"container-title":"International Journal of Supply Chain Management","id":"ITEM-1","issue":"1","issued":{"date-parts":[["2019"]]},"page":"1-7","title":"Supply Chain Performance Influencer in Construction Domain: A Key Factor Analysis","type":"article-journal","volume":"4"},"uris":["http://www.mendeley.com/documents/?uuid=1c20a2e1-1d15-4b6f-aee5-dc884544d96d"]}],"mendeley":{"formattedCitation":"(Kumar, Kumar, Rao, &amp; Veeramalla, 2019)","manualFormatting":"(Kumar, Kumar, Rao y Veeramalla, 2019)","plainTextFormattedCitation":"(Kumar, Kumar, Rao, &amp; Veeramalla, 2019)","previouslyFormattedCitation":"(Kumar, Kumar, Rao, &amp; Veeramalla, 2019)"},"properties":{"noteIndex":0},"schema":"https://github.com/citation-style-language/schema/raw/master/csl-citation.json"}</w:instrText>
      </w:r>
      <w:r w:rsidRPr="00DA747D">
        <w:rPr>
          <w:rFonts w:ascii="Times New Roman" w:hAnsi="Times New Roman" w:cs="Times New Roman"/>
          <w:sz w:val="24"/>
          <w:szCs w:val="24"/>
          <w:lang w:val="es-ES_tradnl"/>
        </w:rPr>
        <w:fldChar w:fldCharType="separate"/>
      </w:r>
      <w:r w:rsidRPr="00DA747D">
        <w:rPr>
          <w:rFonts w:ascii="Times New Roman" w:hAnsi="Times New Roman" w:cs="Times New Roman"/>
          <w:noProof/>
          <w:sz w:val="24"/>
          <w:szCs w:val="24"/>
          <w:lang w:val="es-ES_tradnl"/>
        </w:rPr>
        <w:t>(Kumar, Kumar, Rao y Veeramalla, 2019)</w:t>
      </w:r>
      <w:r w:rsidRPr="00DA747D">
        <w:rPr>
          <w:rFonts w:ascii="Times New Roman" w:hAnsi="Times New Roman" w:cs="Times New Roman"/>
          <w:sz w:val="24"/>
          <w:szCs w:val="24"/>
          <w:lang w:val="es-ES_tradnl"/>
        </w:rPr>
        <w:fldChar w:fldCharType="end"/>
      </w:r>
      <w:r w:rsidRPr="00DA747D">
        <w:rPr>
          <w:rFonts w:ascii="Times New Roman" w:hAnsi="Times New Roman" w:cs="Times New Roman"/>
          <w:sz w:val="24"/>
          <w:szCs w:val="24"/>
          <w:lang w:val="es-ES_tradnl"/>
        </w:rPr>
        <w:t xml:space="preserve">. </w:t>
      </w:r>
    </w:p>
    <w:p w:rsidR="00DA747D" w:rsidRPr="00DA747D" w:rsidRDefault="00DA747D" w:rsidP="00DA747D">
      <w:pPr>
        <w:jc w:val="both"/>
        <w:rPr>
          <w:rFonts w:ascii="Times New Roman" w:hAnsi="Times New Roman" w:cs="Times New Roman"/>
          <w:sz w:val="24"/>
          <w:szCs w:val="24"/>
          <w:lang w:val="es-ES_tradnl"/>
        </w:rPr>
      </w:pPr>
      <w:r w:rsidRPr="00DA747D">
        <w:rPr>
          <w:rFonts w:ascii="Times New Roman" w:hAnsi="Times New Roman" w:cs="Times New Roman"/>
          <w:sz w:val="24"/>
          <w:szCs w:val="24"/>
          <w:lang w:val="es-ES_tradnl"/>
        </w:rPr>
        <w:t xml:space="preserve">La mejora continua de las CS requiere de una colaboración efectiva de todos los elementos que la componen </w:t>
      </w:r>
      <w:r w:rsidRPr="00DA747D">
        <w:rPr>
          <w:rFonts w:ascii="Times New Roman" w:hAnsi="Times New Roman" w:cs="Times New Roman"/>
          <w:sz w:val="24"/>
          <w:szCs w:val="24"/>
          <w:lang w:val="es-ES_tradnl"/>
        </w:rPr>
        <w:fldChar w:fldCharType="begin" w:fldLock="1"/>
      </w:r>
      <w:r w:rsidRPr="00DA747D">
        <w:rPr>
          <w:rFonts w:ascii="Times New Roman" w:hAnsi="Times New Roman" w:cs="Times New Roman"/>
          <w:sz w:val="24"/>
          <w:szCs w:val="24"/>
          <w:lang w:val="es-ES_tradnl"/>
        </w:rPr>
        <w:instrText>ADDIN CSL_CITATION {"citationItems":[{"id":"ITEM-1","itemData":{"ISBN":"978-0-470-09588-1","author":[{"dropping-particle":"","family":"Parmenter","given":"D","non-dropping-particle":"","parse-names":false,"suffix":""}],"id":"ITEM-1","issued":{"date-parts":[["2015"]]},"number-of-pages":"448","publisher":"John Wiley &amp; Sons, Inc.","publisher-place":"New Jersey, USA.","title":"Key performance indicators: developing, implementing, and using winning KPIs","type":"book"},"uris":["http://www.mendeley.com/documents/?uuid=ad9d3a98-90bd-47df-bfaf-1f317bce9e63"]}],"mendeley":{"formattedCitation":"(Parmenter, 2015)","manualFormatting":"(Parmenter, 2015)","plainTextFormattedCitation":"(Parmenter, 2015)","previouslyFormattedCitation":"(Parmenter, 2015)"},"properties":{"noteIndex":0},"schema":"https://github.com/citation-style-language/schema/raw/master/csl-citation.json"}</w:instrText>
      </w:r>
      <w:r w:rsidRPr="00DA747D">
        <w:rPr>
          <w:rFonts w:ascii="Times New Roman" w:hAnsi="Times New Roman" w:cs="Times New Roman"/>
          <w:sz w:val="24"/>
          <w:szCs w:val="24"/>
          <w:lang w:val="es-ES_tradnl"/>
        </w:rPr>
        <w:fldChar w:fldCharType="separate"/>
      </w:r>
      <w:r w:rsidRPr="00DA747D">
        <w:rPr>
          <w:rFonts w:ascii="Times New Roman" w:hAnsi="Times New Roman" w:cs="Times New Roman"/>
          <w:noProof/>
          <w:sz w:val="24"/>
          <w:szCs w:val="24"/>
          <w:lang w:val="es-ES_tradnl"/>
        </w:rPr>
        <w:t>(Parmenter, 2015)</w:t>
      </w:r>
      <w:r w:rsidRPr="00DA747D">
        <w:rPr>
          <w:rFonts w:ascii="Times New Roman" w:hAnsi="Times New Roman" w:cs="Times New Roman"/>
          <w:sz w:val="24"/>
          <w:szCs w:val="24"/>
          <w:lang w:val="es-ES_tradnl"/>
        </w:rPr>
        <w:fldChar w:fldCharType="end"/>
      </w:r>
      <w:r w:rsidRPr="00DA747D">
        <w:rPr>
          <w:rFonts w:ascii="Times New Roman" w:hAnsi="Times New Roman" w:cs="Times New Roman"/>
          <w:sz w:val="24"/>
          <w:szCs w:val="24"/>
          <w:lang w:val="es-ES_tradnl"/>
        </w:rPr>
        <w:t xml:space="preserve">. Este enfoque de gestión hace necesario reducir el riesgo y el negativo impacto ambiental a los niveles fijados </w:t>
      </w:r>
      <w:r w:rsidRPr="00DA747D">
        <w:rPr>
          <w:rFonts w:ascii="Times New Roman" w:hAnsi="Times New Roman" w:cs="Times New Roman"/>
          <w:sz w:val="24"/>
          <w:szCs w:val="24"/>
          <w:lang w:val="es-ES_tradnl"/>
        </w:rPr>
        <w:fldChar w:fldCharType="begin" w:fldLock="1"/>
      </w:r>
      <w:r w:rsidRPr="00DA747D">
        <w:rPr>
          <w:rFonts w:ascii="Times New Roman" w:hAnsi="Times New Roman" w:cs="Times New Roman"/>
          <w:sz w:val="24"/>
          <w:szCs w:val="24"/>
          <w:lang w:val="es-ES_tradnl"/>
        </w:rPr>
        <w:instrText>ADDIN CSL_CITATION {"citationItems":[{"id":"ITEM-1","itemData":{"DOI":"10.1080/09537287.2012.666859","ISSN":"09537287 (ISSN)","abstract":"The main purpose of this research is to develop and deploy an analytical framework for measuring the environmental performance of manufacturing supply chains. This work's theoretical bases combine and reconcile three major areas: supply chain management, environmental management and performance measurement. Researchers have suggested many empirical criteria for green supply chain (GSC) performance measurement and proposed both qualitative and quantitative frameworks. However, these are mainly operational in nature and specific to the focal company. This research develops an innovative GSC performance measurement framework by integrating supply chain processes (supplier relationship management, internal supply chain management and customer relationship management) with organisational decision levels (both strategic and operational). Environmental planning, environmental auditing, management commitment, environmental performance, economic performance and operational performance are the key level constructs. The proposed framework is then applied to three selected manufacturing organisations in the UK. Their GSC performance is measured and benchmarked by using the analytic hierarchy process (AHP), a multiple-attribute decision-making technique. The AHP-based framework offers an effective way to measure and benchmark organisations GSC performance. This study has both theoretical and practical implications. Theoretically it contributes holistic constructs for designing a GSC and managing it for sustainability; and practically it helps industry practitioners to measure and improve the environmental performance of their supply chain. © 2013 Copyright Taylor and Francis Group, LLC.","author":[{"dropping-particle":"","family":"Dey","given":"P K","non-dropping-particle":"","parse-names":false,"suffix":""},{"dropping-particle":"","family":"Cheffi","given":"W","non-dropping-particle":"","parse-names":false,"suffix":""}],"container-title":"Production Planning and Control","id":"ITEM-1","issue":"8-9","issued":{"date-parts":[["2013"]]},"page":"702-720","title":"Green supply chain performance measurement using the analytic hierarchy process: A comparative analysis of manufacturing organisations","type":"article-journal","volume":"24"},"uris":["http://www.mendeley.com/documents/?uuid=cc2d3c0e-9f55-4e34-9449-79491d68181a"]}],"mendeley":{"formattedCitation":"(Dey &amp; Cheffi, 2013)","manualFormatting":"(Dey &amp; Cheffi, 2013)","plainTextFormattedCitation":"(Dey &amp; Cheffi, 2013)","previouslyFormattedCitation":"(Dey &amp; Cheffi, 2013)"},"properties":{"noteIndex":0},"schema":"https://github.com/citation-style-language/schema/raw/master/csl-citation.json"}</w:instrText>
      </w:r>
      <w:r w:rsidRPr="00DA747D">
        <w:rPr>
          <w:rFonts w:ascii="Times New Roman" w:hAnsi="Times New Roman" w:cs="Times New Roman"/>
          <w:sz w:val="24"/>
          <w:szCs w:val="24"/>
          <w:lang w:val="es-ES_tradnl"/>
        </w:rPr>
        <w:fldChar w:fldCharType="separate"/>
      </w:r>
      <w:r w:rsidRPr="00DA747D">
        <w:rPr>
          <w:rFonts w:ascii="Times New Roman" w:hAnsi="Times New Roman" w:cs="Times New Roman"/>
          <w:noProof/>
          <w:sz w:val="24"/>
          <w:szCs w:val="24"/>
          <w:lang w:val="es-ES_tradnl"/>
        </w:rPr>
        <w:t>(Dey y Cheffi, 2013)</w:t>
      </w:r>
      <w:r w:rsidRPr="00DA747D">
        <w:rPr>
          <w:rFonts w:ascii="Times New Roman" w:hAnsi="Times New Roman" w:cs="Times New Roman"/>
          <w:sz w:val="24"/>
          <w:szCs w:val="24"/>
          <w:lang w:val="es-ES_tradnl"/>
        </w:rPr>
        <w:fldChar w:fldCharType="end"/>
      </w:r>
      <w:r w:rsidRPr="00DA747D">
        <w:rPr>
          <w:rFonts w:ascii="Times New Roman" w:hAnsi="Times New Roman" w:cs="Times New Roman"/>
          <w:sz w:val="24"/>
          <w:szCs w:val="24"/>
          <w:lang w:val="es-ES_tradnl"/>
        </w:rPr>
        <w:t xml:space="preserve">, acentuando la utilidad de considerar varios criterios para evaluar y mejorar el desempeño de la CS, mediante métricas integradas en un indicador o índice general </w:t>
      </w:r>
      <w:r w:rsidRPr="00DA747D">
        <w:rPr>
          <w:rFonts w:ascii="Times New Roman" w:hAnsi="Times New Roman" w:cs="Times New Roman"/>
          <w:sz w:val="24"/>
          <w:szCs w:val="24"/>
          <w:lang w:val="es-ES_tradnl"/>
        </w:rPr>
        <w:fldChar w:fldCharType="begin" w:fldLock="1"/>
      </w:r>
      <w:r w:rsidRPr="00DA747D">
        <w:rPr>
          <w:rFonts w:ascii="Times New Roman" w:hAnsi="Times New Roman" w:cs="Times New Roman"/>
          <w:sz w:val="24"/>
          <w:szCs w:val="24"/>
          <w:lang w:val="es-ES_tradnl"/>
        </w:rPr>
        <w:instrText>ADDIN CSL_CITATION {"citationItems":[{"id":"ITEM-1","itemData":{"DOI":"10.1108/BIJ-05-2012-0034","abstract":"Purpose – A growing body of literature has begun in the direction of supply chain performance measurement. However, selecting the appropriate set of key performance indicators (KPIs) for measuring supply chain performance have always remained a challenge. The purpose of this paper is to identify the KPIs and categorize them specifically for measuring retail supply chain performance. Design/methodology/approach – A qualitative approach, based on literature has been adopted. Published literature from refereed journals on supply chain performance measurement has been considered and various approaches for developing KPIs have been studied to develop a theoretical framework for performance measurement in retail supply chain. Findings – The paper identifies key indicators for performance measurement and classifies them into fourmajor categories: transport optimization, information technology optimization, inventory optimization and resource optimization. These key indicators are arranged precisely for retail industry. A theoretical framework is proposed to link the performance of these constructs on financial performance of the firm. Research limitations/implications – Future research can be carried out to validate the relevance and applicability of identified indicators. The study can be further conducted to measure the interrelationships between the KPIs and their impact on financial performance of the firm. Practical implications – This study proposes a list of indicators for retail industry, which are presented in appropriate categories so that it can be used by the focussed teams for further improvement. Originality/value – To the best of authors’ knowledge, no other study has categorized the KPIs into groups, specifically for measuring retail supply chain performance. The researcher also intends to carry out further empirical study to test the proposed theoretical framework. ©Emerald Group Publishing Limited.","author":[{"dropping-particle":"","family":"Anand","given":"N","non-dropping-particle":"","parse-names":false,"suffix":""},{"dropping-particle":"","family":"Grover","given":"N","non-dropping-particle":"","parse-names":false,"suffix":""}],"container-title":"Benchmarking","id":"ITEM-1","issue":"1","issued":{"date-parts":[["2015"]]},"page":"135-166","title":"Measuring retail supply chain performance: Theoretical model using key performance indicators (KPIs)","type":"article-journal","volume":"22"},"uris":["http://www.mendeley.com/documents/?uuid=71c2a510-0e8b-47dd-868d-dfe87f2a5b75"]}],"mendeley":{"formattedCitation":"(Anand &amp; Grover, 2015)","manualFormatting":"(Anand &amp; Grover, 2015)","plainTextFormattedCitation":"(Anand &amp; Grover, 2015)","previouslyFormattedCitation":"(Anand &amp; Grover, 2015)"},"properties":{"noteIndex":0},"schema":"https://github.com/citation-style-language/schema/raw/master/csl-citation.json"}</w:instrText>
      </w:r>
      <w:r w:rsidRPr="00DA747D">
        <w:rPr>
          <w:rFonts w:ascii="Times New Roman" w:hAnsi="Times New Roman" w:cs="Times New Roman"/>
          <w:sz w:val="24"/>
          <w:szCs w:val="24"/>
          <w:lang w:val="es-ES_tradnl"/>
        </w:rPr>
        <w:fldChar w:fldCharType="separate"/>
      </w:r>
      <w:r w:rsidRPr="00DA747D">
        <w:rPr>
          <w:rFonts w:ascii="Times New Roman" w:hAnsi="Times New Roman" w:cs="Times New Roman"/>
          <w:noProof/>
          <w:sz w:val="24"/>
          <w:szCs w:val="24"/>
          <w:lang w:val="es-ES_tradnl"/>
        </w:rPr>
        <w:t>(Anand y Grover, 2015)</w:t>
      </w:r>
      <w:r w:rsidRPr="00DA747D">
        <w:rPr>
          <w:rFonts w:ascii="Times New Roman" w:hAnsi="Times New Roman" w:cs="Times New Roman"/>
          <w:sz w:val="24"/>
          <w:szCs w:val="24"/>
          <w:lang w:val="es-ES_tradnl"/>
        </w:rPr>
        <w:fldChar w:fldCharType="end"/>
      </w:r>
      <w:r w:rsidRPr="00DA747D">
        <w:rPr>
          <w:rFonts w:ascii="Times New Roman" w:hAnsi="Times New Roman" w:cs="Times New Roman"/>
          <w:sz w:val="24"/>
          <w:szCs w:val="24"/>
          <w:lang w:val="es-ES_tradnl"/>
        </w:rPr>
        <w:t>.</w:t>
      </w:r>
    </w:p>
    <w:p w:rsidR="00DA747D" w:rsidRPr="00DA747D" w:rsidRDefault="00DA747D" w:rsidP="00DA747D">
      <w:pPr>
        <w:jc w:val="both"/>
        <w:rPr>
          <w:rFonts w:ascii="Times New Roman" w:hAnsi="Times New Roman" w:cs="Times New Roman"/>
          <w:sz w:val="24"/>
          <w:szCs w:val="24"/>
          <w:lang w:val="es-ES_tradnl"/>
        </w:rPr>
      </w:pPr>
      <w:r w:rsidRPr="00DA747D">
        <w:rPr>
          <w:rFonts w:ascii="Times New Roman" w:hAnsi="Times New Roman" w:cs="Times New Roman"/>
          <w:color w:val="221E1F"/>
          <w:sz w:val="24"/>
          <w:szCs w:val="24"/>
          <w:lang w:val="es-ES_tradnl"/>
        </w:rPr>
        <w:t xml:space="preserve">Las expectativas del siglo XXI </w:t>
      </w:r>
      <w:r w:rsidRPr="00DA747D">
        <w:rPr>
          <w:rFonts w:ascii="Times New Roman" w:hAnsi="Times New Roman" w:cs="Times New Roman"/>
          <w:color w:val="000000" w:themeColor="text1"/>
          <w:sz w:val="24"/>
          <w:szCs w:val="24"/>
          <w:lang w:val="es-ES_tradnl"/>
        </w:rPr>
        <w:t xml:space="preserve">han cambiado </w:t>
      </w:r>
      <w:r w:rsidRPr="00DA747D">
        <w:rPr>
          <w:rFonts w:ascii="Times New Roman" w:hAnsi="Times New Roman" w:cs="Times New Roman"/>
          <w:color w:val="221E1F"/>
          <w:sz w:val="24"/>
          <w:szCs w:val="24"/>
          <w:lang w:val="es-ES_tradnl"/>
        </w:rPr>
        <w:t xml:space="preserve">y se observa un énfasis en las prácticas limpias y la dimensión social, manteniéndose el criterio económico en el desempeño de una CS, con el nombre de cadenas de suministro sostenibles (CSS) </w:t>
      </w:r>
      <w:r w:rsidRPr="00DA747D">
        <w:rPr>
          <w:rFonts w:ascii="Times New Roman" w:hAnsi="Times New Roman" w:cs="Times New Roman"/>
          <w:color w:val="221E1F"/>
          <w:sz w:val="24"/>
          <w:szCs w:val="24"/>
          <w:lang w:val="es-ES_tradnl"/>
        </w:rPr>
        <w:fldChar w:fldCharType="begin" w:fldLock="1"/>
      </w:r>
      <w:r w:rsidRPr="00DA747D">
        <w:rPr>
          <w:rFonts w:ascii="Times New Roman" w:hAnsi="Times New Roman" w:cs="Times New Roman"/>
          <w:color w:val="221E1F"/>
          <w:sz w:val="24"/>
          <w:szCs w:val="24"/>
          <w:lang w:val="es-ES_tradnl"/>
        </w:rPr>
        <w:instrText>ADDIN CSL_CITATION {"citationItems":[{"id":"ITEM-1","itemData":{"DOI":"10.11144/Javeriana.cao29-53.oacs.","ISSN":"0120-3592","abstract":"Knowledge about sustainable supply chain practices in developing eco- nomies is still lacking. Consequently, this research empirically explores the organizational antecedents and the implementation of Sustainable Supply Chain Management (SSCM) practices for a purposeful sample of focal firms in Colombia. A semi-structured qualitative research de- sign is followed. This study contributes to the development of SSCM theory by providing empirical grounds for understanding the nature of these practices and the extent of their implementation in a particular industrial context, as well as by assessing whether and how they affect the focal firms' competitiveness. Additionally, the main results suggest that environmental and social responsibilities are increasingly important issues for the stakeholders of focal companies in emergent economies.","author":[{"dropping-particle":"","family":"Chacón Vargas","given":"Jairo Raúl","non-dropping-particle":"","parse-names":false,"suffix":""},{"dropping-particle":"","family":"Moreno Mantilla","given":"Carlos Eduardo","non-dropping-particle":"","parse-names":false,"suffix":""}],"container-title":"Cuadernos de Administración","id":"ITEM-1","issue":"53","issued":{"date-parts":[["2016"]]},"page":"46","title":"Organizational antecedents and capabilities for sustainable supply chain management in developing economies: The case of Colombian focal firms","type":"article-journal","volume":"29"},"uris":["http://www.mendeley.com/documents/?uuid=ff4bf281-0f3a-4499-8bb6-1e4ec3fae605"]},{"id":"ITEM-2","itemData":{"DOI":"10.1016/j.procir.2014.07.035","ISBN":"6075510133","ISSN":"22128271","author":[{"dropping-particle":"","family":"Chin","given":"Thoo Ai","non-dropping-particle":"","parse-names":false,"suffix":""},{"dropping-particle":"","family":"Tat","given":"Huam Hon","non-dropping-particle":"","parse-names":false,"suffix":""},{"dropping-particle":"","family":"Sulaiman","given":"Zuraidah","non-dropping-particle":"","parse-names":false,"suffix":""}],"container-title":"Procedia CIRP","id":"ITEM-2","issue":"2015","issued":{"date-parts":[["2015"]]},"page":"695-699","publisher":"Elsevier B.V.","title":"Green Supply Chain Management, Environmental Collaboration and Sustainability Performance","type":"article-journal","volume":"26"},"uris":["http://www.mendeley.com/documents/?uuid=f20f4755-c919-40c3-a55d-933c8bd807a7"]}],"mendeley":{"formattedCitation":"(Chacón Vargas &amp; Moreno Mantilla, 2016; Chin, Tat, &amp; Sulaiman, 2015)","manualFormatting":"(Chacón Vargas &amp; Moreno Mantilla, 2016; Chin et al., 2015)","plainTextFormattedCitation":"(Chacón Vargas &amp; Moreno Mantilla, 2016; Chin, Tat, &amp; Sulaiman, 2015)","previouslyFormattedCitation":"(Chacón Vargas &amp; Moreno Mantilla, 2016; Chin, Tat, &amp; Sulaiman, 2015)"},"properties":{"noteIndex":0},"schema":"https://github.com/citation-style-language/schema/raw/master/csl-citation.json"}</w:instrText>
      </w:r>
      <w:r w:rsidRPr="00DA747D">
        <w:rPr>
          <w:rFonts w:ascii="Times New Roman" w:hAnsi="Times New Roman" w:cs="Times New Roman"/>
          <w:color w:val="221E1F"/>
          <w:sz w:val="24"/>
          <w:szCs w:val="24"/>
          <w:lang w:val="es-ES_tradnl"/>
        </w:rPr>
        <w:fldChar w:fldCharType="separate"/>
      </w:r>
      <w:r w:rsidRPr="00DA747D">
        <w:rPr>
          <w:rFonts w:ascii="Times New Roman" w:hAnsi="Times New Roman" w:cs="Times New Roman"/>
          <w:noProof/>
          <w:color w:val="221E1F"/>
          <w:sz w:val="24"/>
          <w:szCs w:val="24"/>
          <w:lang w:val="es-ES_tradnl"/>
        </w:rPr>
        <w:t xml:space="preserve">(Chacón Vargas y Moreno Mantilla, 2016; Chin, Tat y </w:t>
      </w:r>
      <w:r w:rsidRPr="00DA747D">
        <w:rPr>
          <w:rFonts w:ascii="Times New Roman" w:hAnsi="Times New Roman" w:cs="Times New Roman"/>
          <w:noProof/>
          <w:sz w:val="24"/>
          <w:szCs w:val="24"/>
          <w:lang w:val="es-ES_tradnl"/>
        </w:rPr>
        <w:t>Sulaiman</w:t>
      </w:r>
      <w:r w:rsidRPr="00DA747D">
        <w:rPr>
          <w:rFonts w:ascii="Times New Roman" w:hAnsi="Times New Roman" w:cs="Times New Roman"/>
          <w:noProof/>
          <w:color w:val="221E1F"/>
          <w:sz w:val="24"/>
          <w:szCs w:val="24"/>
          <w:lang w:val="es-ES_tradnl"/>
        </w:rPr>
        <w:t>, 2015)</w:t>
      </w:r>
      <w:r w:rsidRPr="00DA747D">
        <w:rPr>
          <w:rFonts w:ascii="Times New Roman" w:hAnsi="Times New Roman" w:cs="Times New Roman"/>
          <w:color w:val="221E1F"/>
          <w:sz w:val="24"/>
          <w:szCs w:val="24"/>
          <w:lang w:val="es-ES_tradnl"/>
        </w:rPr>
        <w:fldChar w:fldCharType="end"/>
      </w:r>
      <w:r w:rsidRPr="00DA747D">
        <w:rPr>
          <w:rFonts w:ascii="Times New Roman" w:hAnsi="Times New Roman" w:cs="Times New Roman"/>
          <w:sz w:val="24"/>
          <w:szCs w:val="24"/>
          <w:lang w:val="es-ES_tradnl"/>
        </w:rPr>
        <w:t xml:space="preserve">. La sostenibilidad en el desempeño de la CS </w:t>
      </w:r>
      <w:r w:rsidRPr="00DA747D">
        <w:rPr>
          <w:rFonts w:ascii="Times New Roman" w:hAnsi="Times New Roman" w:cs="Times New Roman"/>
          <w:sz w:val="24"/>
          <w:szCs w:val="24"/>
          <w:lang w:val="es-ES_tradnl"/>
        </w:rPr>
        <w:fldChar w:fldCharType="begin" w:fldLock="1"/>
      </w:r>
      <w:r w:rsidRPr="00DA747D">
        <w:rPr>
          <w:rFonts w:ascii="Times New Roman" w:hAnsi="Times New Roman" w:cs="Times New Roman"/>
          <w:sz w:val="24"/>
          <w:szCs w:val="24"/>
          <w:lang w:val="es-ES_tradnl"/>
        </w:rPr>
        <w:instrText>ADDIN CSL_CITATION {"citationItems":[{"id":"ITEM-1","itemData":{"DOI":"10.1016/j.ijpe.2017.12.007","ISSN":"09255273","abstract":"Nowadays, most organizations consider adoption of sustainable practices as not only a competitive advantage but also a necessity for long-term survival. It is, therefore, imperative that we include sustainability in measuring the supply chain performance of a firm. However, very few studies have investigated the impact of sustainability on supply chain performance. This paper presents a unique approach for calculating a supply chain performance index, which could be used by automobile firms. Based on literature review and expert opinion, we first identified the supply chain functions that influence sustainability and supply chain performance. Subsequently, a questionnaire was designed, and a survey of Indian automobile firms was conducted. The partial least squares technique was used to explore the relationship between the identified factors and supply chain performance. Moreover, an integrated model combining the partial least squares and analytic hierarchy process was developed to compute the supply chain performance index. We further found that sustainability performance mediates the relationships of supply chain functions to supply chain performance. Finally, implications to theory and practice are discussed, especially for emerging economies.","author":[{"dropping-particle":"","family":"Katiyar","given":"Rajesh","non-dropping-particle":"","parse-names":false,"suffix":""},{"dropping-particle":"","family":"Meena","given":"Purushottam L.","non-dropping-particle":"","parse-names":false,"suffix":""},{"dropping-particle":"","family":"Barua","given":"Mukesh Kumar","non-dropping-particle":"","parse-names":false,"suffix":""},{"dropping-particle":"","family":"Tibrewala","given":"Rajen","non-dropping-particle":"","parse-names":false,"suffix":""},{"dropping-particle":"","family":"Kumar","given":"Gopal","non-dropping-particle":"","parse-names":false,"suffix":""}],"container-title":"International Journal of Production Economics","id":"ITEM-1","issue":"2018","issued":{"date-parts":[["2018"]]},"page":"303-316","publisher":"Elsevier B.V.","title":"Impact of sustainability and manufacturing practices on supply chain performance: Findings from an emerging economy","type":"article-journal","volume":"197"},"uris":["http://www.mendeley.com/documents/?uuid=976ac3cc-404d-4520-9f42-72f825a66da2"]}],"mendeley":{"formattedCitation":"(Katiyar, Meena, Barua, Tibrewala, &amp; Kumar, 2018)","manualFormatting":"( Katiyar, Barua, Tibrewala y Kumar, 2018)","plainTextFormattedCitation":"(Katiyar, Meena, Barua, Tibrewala, &amp; Kumar, 2018)","previouslyFormattedCitation":"(Katiyar, Meena, Barua, Tibrewala, &amp; Kumar, 2018)"},"properties":{"noteIndex":0},"schema":"https://github.com/citation-style-language/schema/raw/master/csl-citation.json"}</w:instrText>
      </w:r>
      <w:r w:rsidRPr="00DA747D">
        <w:rPr>
          <w:rFonts w:ascii="Times New Roman" w:hAnsi="Times New Roman" w:cs="Times New Roman"/>
          <w:sz w:val="24"/>
          <w:szCs w:val="24"/>
          <w:lang w:val="es-ES_tradnl"/>
        </w:rPr>
        <w:fldChar w:fldCharType="separate"/>
      </w:r>
      <w:r w:rsidRPr="00DA747D">
        <w:rPr>
          <w:rFonts w:ascii="Times New Roman" w:hAnsi="Times New Roman" w:cs="Times New Roman"/>
          <w:noProof/>
          <w:sz w:val="24"/>
          <w:szCs w:val="24"/>
          <w:lang w:val="es-ES_tradnl"/>
        </w:rPr>
        <w:t>(Katiyar, Barua, Tibre</w:t>
      </w:r>
      <w:r w:rsidRPr="00DA747D">
        <w:rPr>
          <w:rFonts w:ascii="Times New Roman" w:hAnsi="Times New Roman" w:cs="Times New Roman"/>
          <w:noProof/>
          <w:sz w:val="24"/>
          <w:szCs w:val="24"/>
          <w:highlight w:val="yellow"/>
          <w:lang w:val="es-ES_tradnl"/>
        </w:rPr>
        <w:t>wala y Ku</w:t>
      </w:r>
      <w:r w:rsidRPr="00DA747D">
        <w:rPr>
          <w:rFonts w:ascii="Times New Roman" w:hAnsi="Times New Roman" w:cs="Times New Roman"/>
          <w:noProof/>
          <w:sz w:val="24"/>
          <w:szCs w:val="24"/>
          <w:lang w:val="es-ES_tradnl"/>
        </w:rPr>
        <w:t>mar, 2018)</w:t>
      </w:r>
      <w:r w:rsidRPr="00DA747D">
        <w:rPr>
          <w:rFonts w:ascii="Times New Roman" w:hAnsi="Times New Roman" w:cs="Times New Roman"/>
          <w:sz w:val="24"/>
          <w:szCs w:val="24"/>
          <w:lang w:val="es-ES_tradnl"/>
        </w:rPr>
        <w:fldChar w:fldCharType="end"/>
      </w:r>
      <w:r w:rsidRPr="00DA747D">
        <w:rPr>
          <w:rFonts w:ascii="Times New Roman" w:hAnsi="Times New Roman" w:cs="Times New Roman"/>
          <w:sz w:val="24"/>
          <w:szCs w:val="24"/>
          <w:lang w:val="es-ES_tradnl"/>
        </w:rPr>
        <w:t xml:space="preserve">, ha ganado interés entre académicos y empresarios por la consideración de aspectos sociales y ambientales </w:t>
      </w:r>
      <w:r w:rsidRPr="00DA747D">
        <w:rPr>
          <w:rFonts w:ascii="Times New Roman" w:hAnsi="Times New Roman" w:cs="Times New Roman"/>
          <w:sz w:val="24"/>
          <w:szCs w:val="24"/>
          <w:lang w:val="es-ES_tradnl"/>
        </w:rPr>
        <w:fldChar w:fldCharType="begin" w:fldLock="1"/>
      </w:r>
      <w:r w:rsidRPr="00DA747D">
        <w:rPr>
          <w:rFonts w:ascii="Times New Roman" w:hAnsi="Times New Roman" w:cs="Times New Roman"/>
          <w:sz w:val="24"/>
          <w:szCs w:val="24"/>
          <w:lang w:val="es-ES_tradnl"/>
        </w:rPr>
        <w:instrText>ADDIN CSL_CITATION {"citationItems":[{"id":"ITEM-1","itemData":{"DOI":"10.1016/j.ijpe.2017.10.025","ISSN":"09255273","abstract":"Sustainability is gaining interest among academics and practitioners due to increased stakeholder awareness of environmental and social issues. However, relatively little research has been conducted on the extent to which firms have integrated social sustainability aspects into the management of their supply chains in emerging economies. The purpose of this article is to explore the social issues pertinent to suppliers and to identify measures and dimensions related to social sustainability in emerging economies. Further, it explores the benefits suppliers and buyers gain by effectively managing such social issues. For this purpose, first, in-depth interviews were conducted with 27 supply chain managers. Further, a survey was conducted in Indian manufacturing industries and co-variance-based structural equation modeling was used to test the hypothesized model. The findings reveal that there are 18 validated supplier social sustainability measures underlying five social dimensions: labor rights, safety and health, societal responsibility, diversity, and product responsibility. The results also suggest a positive relationship between supplier social sustainability practices and supply chain performance mediated by supplier performance. In addition, the role of the buyer's commitment and investment moderates both suppliers and supply chain performance. These results are relevant because they not only identify the social issues plaguing supply chains in emerging economies, but also have practical implications for organizations trying to build socially sustainable supply chains for competitive advantage.","author":[{"dropping-particle":"","family":"Mani","given":"Venkatesh","non-dropping-particle":"","parse-names":false,"suffix":""},{"dropping-particle":"","family":"Gunasekaran","given":"Angappa","non-dropping-particle":"","parse-names":false,"suffix":""},{"dropping-particle":"","family":"Delgado","given":"Catarina","non-dropping-particle":"","parse-names":false,"suffix":""}],"container-title":"International Journal of Production Economics","id":"ITEM-1","issue":"March 2018","issued":{"date-parts":[["2018"]]},"page":"259-272","publisher":"Elsevier Ltd","title":"Enhancing supply chain performance through supplier social sustainability: An emerging economy perspective","type":"article-journal","volume":"195"},"uris":["http://www.mendeley.com/documents/?uuid=db8c38dc-1441-465c-973a-14250015d581"]}],"mendeley":{"formattedCitation":"(Mani, Gunasekaran, &amp; Delgado, 2018)","manualFormatting":"( Mani, Gunasekaran y Delgado, 2018)","plainTextFormattedCitation":"(Mani, Gunasekaran, &amp; Delgado, 2018)","previouslyFormattedCitation":"(Mani, Gunasekaran, &amp; Delgado, 2018)"},"properties":{"noteIndex":0},"schema":"https://github.com/citation-style-language/schema/raw/master/csl-citation.json"}</w:instrText>
      </w:r>
      <w:r w:rsidRPr="00DA747D">
        <w:rPr>
          <w:rFonts w:ascii="Times New Roman" w:hAnsi="Times New Roman" w:cs="Times New Roman"/>
          <w:sz w:val="24"/>
          <w:szCs w:val="24"/>
          <w:lang w:val="es-ES_tradnl"/>
        </w:rPr>
        <w:fldChar w:fldCharType="separate"/>
      </w:r>
      <w:r w:rsidRPr="00DA747D">
        <w:rPr>
          <w:rFonts w:ascii="Times New Roman" w:hAnsi="Times New Roman" w:cs="Times New Roman"/>
          <w:noProof/>
          <w:sz w:val="24"/>
          <w:szCs w:val="24"/>
          <w:lang w:val="es-ES_tradnl"/>
        </w:rPr>
        <w:t>(Mani, Gunasekaran y Delgado, 2018)</w:t>
      </w:r>
      <w:r w:rsidRPr="00DA747D">
        <w:rPr>
          <w:rFonts w:ascii="Times New Roman" w:hAnsi="Times New Roman" w:cs="Times New Roman"/>
          <w:sz w:val="24"/>
          <w:szCs w:val="24"/>
          <w:lang w:val="es-ES_tradnl"/>
        </w:rPr>
        <w:fldChar w:fldCharType="end"/>
      </w:r>
      <w:r w:rsidRPr="00DA747D">
        <w:rPr>
          <w:rFonts w:ascii="Times New Roman" w:hAnsi="Times New Roman" w:cs="Times New Roman"/>
          <w:sz w:val="24"/>
          <w:szCs w:val="24"/>
          <w:lang w:val="es-ES_tradnl"/>
        </w:rPr>
        <w:t xml:space="preserve">. Esto requiere de mecanismos robustos de medición, necesarios para transitar hacia una economía más limpia </w:t>
      </w:r>
      <w:r w:rsidRPr="00DA747D">
        <w:rPr>
          <w:rFonts w:ascii="Times New Roman" w:hAnsi="Times New Roman" w:cs="Times New Roman"/>
          <w:color w:val="000000" w:themeColor="text1"/>
          <w:sz w:val="24"/>
          <w:szCs w:val="24"/>
          <w:lang w:val="es-ES_tradnl"/>
        </w:rPr>
        <w:fldChar w:fldCharType="begin" w:fldLock="1"/>
      </w:r>
      <w:r w:rsidRPr="00DA747D">
        <w:rPr>
          <w:rFonts w:ascii="Times New Roman" w:hAnsi="Times New Roman" w:cs="Times New Roman"/>
          <w:color w:val="000000" w:themeColor="text1"/>
          <w:sz w:val="24"/>
          <w:szCs w:val="24"/>
          <w:lang w:val="es-ES_tradnl"/>
        </w:rPr>
        <w:instrText>ADDIN CSL_CITATION {"citationItems":[{"id":"ITEM-1","itemData":{"DOI":"10.1016/j.ejor.2017.10.057","ISSN":"03772217","abstract":"The development of robust mechanisms for supply chain performance measurement have been identified as an integral step needed for the transition towards sustainable supply chain systems and a greener global economy. However, measuring the environmental performance of supply chains is a challenging task, due to several factors, such as the lack of standardised methodologies and the inherent multi-criteria nature of the problem. By leveraging the capability of a Multi-Regional Input-Output framework to handle the complex and global nature of supply chains, the current work presents a robust environmental sustainable performance measurement model underpinned by industrial lifecycle thinking.As a result, some theoretical insights are provided and an empirical application of the model to the Metal Products industry of the BRICS (Brazil, Russia, India, China, and South Africa) nations undertaken in an attempt to address some of the methodological and applied measurement challenges. In particular, this allowed the modelling of carbon emissions trends within, and between the BRICS nations and with the Rest-of-the-World over a 20-year period (1992-2011) as well as providing an opportunity to hypothesis on their future carbon emissions performances. Specific analyses of the Metal Product industry showed that demand represents the main driver for the increasing carbon footprint. However, the overall decline in reported carbon footprint was due to improvements in emissions intensity and efficiency gains induced by technology. The study further assesses the effects of imports and economic growth on carbon footprint and discusses the implications of the study to sustainability transition processes in the BRICS nations.","author":[{"dropping-particle":"","family":"Acquaye","given":"Adolf","non-dropping-particle":"","parse-names":false,"suffix":""},{"dropping-particle":"","family":"Ibn-Mohammed","given":"Taofeeq","non-dropping-particle":"","parse-names":false,"suffix":""},{"dropping-particle":"","family":"Genovese","given":"Andrea","non-dropping-particle":"","parse-names":false,"suffix":""},{"dropping-particle":"","family":"Afrifa","given":"Godfred A","non-dropping-particle":"","parse-names":false,"suffix":""},{"dropping-particle":"","family":"Yamoah","given":"Fred A","non-dropping-particle":"","parse-names":false,"suffix":""},{"dropping-particle":"","family":"Oppon","given":"Eunice","non-dropping-particle":"","parse-names":false,"suffix":""}],"container-title":"European Journal of Operational Research","id":"ITEM-1","issue":"1","issued":{"date-parts":[["2017"]]},"page":"188-205","publisher":"Elsevier B.V.","title":"A quantitative model for environmentally sustainable supply chain performance measurement","type":"article-journal","volume":"268"},"uris":["http://www.mendeley.com/documents/?uuid=32ffff6f-18b7-4fe8-8519-b969a5392a00"]}],"mendeley":{"formattedCitation":"(Acquaye et al., 2017)","manualFormatting":"(Acquaye, Ibn, Genovese, Afrifa, Yamoah y Oppon, 2017)","plainTextFormattedCitation":"(Acquaye et al., 2017)","previouslyFormattedCitation":"(Acquaye et al., 2017)"},"properties":{"noteIndex":0},"schema":"https://github.com/citation-style-language/schema/raw/master/csl-citation.json"}</w:instrText>
      </w:r>
      <w:r w:rsidRPr="00DA747D">
        <w:rPr>
          <w:rFonts w:ascii="Times New Roman" w:hAnsi="Times New Roman" w:cs="Times New Roman"/>
          <w:color w:val="000000" w:themeColor="text1"/>
          <w:sz w:val="24"/>
          <w:szCs w:val="24"/>
          <w:lang w:val="es-ES_tradnl"/>
        </w:rPr>
        <w:fldChar w:fldCharType="separate"/>
      </w:r>
      <w:r w:rsidRPr="00DA747D">
        <w:rPr>
          <w:rFonts w:ascii="Times New Roman" w:hAnsi="Times New Roman" w:cs="Times New Roman"/>
          <w:noProof/>
          <w:color w:val="000000" w:themeColor="text1"/>
          <w:sz w:val="24"/>
          <w:szCs w:val="24"/>
          <w:lang w:val="es-ES_tradnl"/>
        </w:rPr>
        <w:t>(Acquaye, Ibn, Genovese, Afrifa, Yamo</w:t>
      </w:r>
      <w:r w:rsidRPr="00DA747D">
        <w:rPr>
          <w:rFonts w:ascii="Times New Roman" w:hAnsi="Times New Roman" w:cs="Times New Roman"/>
          <w:noProof/>
          <w:color w:val="000000" w:themeColor="text1"/>
          <w:sz w:val="24"/>
          <w:szCs w:val="24"/>
          <w:highlight w:val="yellow"/>
          <w:lang w:val="es-ES_tradnl"/>
        </w:rPr>
        <w:t>ah y Op</w:t>
      </w:r>
      <w:r w:rsidRPr="00DA747D">
        <w:rPr>
          <w:rFonts w:ascii="Times New Roman" w:hAnsi="Times New Roman" w:cs="Times New Roman"/>
          <w:noProof/>
          <w:color w:val="000000" w:themeColor="text1"/>
          <w:sz w:val="24"/>
          <w:szCs w:val="24"/>
          <w:lang w:val="es-ES_tradnl"/>
        </w:rPr>
        <w:t>pon, 2017)</w:t>
      </w:r>
      <w:r w:rsidRPr="00DA747D">
        <w:rPr>
          <w:rFonts w:ascii="Times New Roman" w:hAnsi="Times New Roman" w:cs="Times New Roman"/>
          <w:color w:val="000000" w:themeColor="text1"/>
          <w:sz w:val="24"/>
          <w:szCs w:val="24"/>
          <w:lang w:val="es-ES_tradnl"/>
        </w:rPr>
        <w:fldChar w:fldCharType="end"/>
      </w:r>
      <w:r w:rsidRPr="00DA747D">
        <w:rPr>
          <w:rFonts w:ascii="Times New Roman" w:hAnsi="Times New Roman" w:cs="Times New Roman"/>
          <w:color w:val="000000" w:themeColor="text1"/>
          <w:sz w:val="24"/>
          <w:szCs w:val="24"/>
          <w:lang w:val="es-ES_tradnl"/>
        </w:rPr>
        <w:t xml:space="preserve">. Las métricas empleadas en esta evaluación están dirigidas a los </w:t>
      </w:r>
      <w:r w:rsidRPr="00DA747D">
        <w:rPr>
          <w:rFonts w:ascii="Times New Roman" w:hAnsi="Times New Roman" w:cs="Times New Roman"/>
          <w:sz w:val="24"/>
          <w:szCs w:val="24"/>
          <w:lang w:val="es-ES_tradnl"/>
        </w:rPr>
        <w:t xml:space="preserve">actores claves, al contexto de sostenibilidad y a sus características. </w:t>
      </w:r>
    </w:p>
    <w:p w:rsidR="00DA747D" w:rsidRPr="00DA747D" w:rsidRDefault="00DA747D" w:rsidP="00DA747D">
      <w:pPr>
        <w:pStyle w:val="NormalWeb"/>
        <w:spacing w:before="0" w:beforeAutospacing="0" w:after="0" w:afterAutospacing="0" w:line="276" w:lineRule="auto"/>
        <w:jc w:val="both"/>
        <w:rPr>
          <w:lang w:val="es-ES_tradnl"/>
        </w:rPr>
      </w:pPr>
      <w:r w:rsidRPr="00DA747D">
        <w:rPr>
          <w:lang w:val="es-ES_tradnl"/>
        </w:rPr>
        <w:t xml:space="preserve">Varios investigadores han realizado importantes aportes </w:t>
      </w:r>
      <w:r w:rsidRPr="00DA747D">
        <w:rPr>
          <w:color w:val="000000" w:themeColor="text1"/>
          <w:lang w:val="es-ES_tradnl"/>
        </w:rPr>
        <w:t xml:space="preserve">utilizando técnicas </w:t>
      </w:r>
      <w:r w:rsidRPr="00DA747D">
        <w:rPr>
          <w:lang w:val="es-ES_tradnl"/>
        </w:rPr>
        <w:t xml:space="preserve">con enfoque difuso debido a la incertidumbre de la información para evaluar el desempeño, sin mostrar un indicador integral. A su vez, estos indicadores están compuestos por criterios con un enfoque funcional o departamental de la CS </w:t>
      </w:r>
      <w:r w:rsidRPr="00DA747D">
        <w:rPr>
          <w:lang w:val="es-ES_tradnl"/>
        </w:rPr>
        <w:fldChar w:fldCharType="begin" w:fldLock="1"/>
      </w:r>
      <w:r w:rsidRPr="00DA747D">
        <w:rPr>
          <w:lang w:val="es-ES_tradnl"/>
        </w:rPr>
        <w:instrText>ADDIN CSL_CITATION {"citationItems":[{"id":"ITEM-1","itemData":{"DOI":"10.1016/j.ejor.2017.10.057","ISSN":"03772217","abstract":"The development of robust mechanisms for supply chain performance measurement have been identified as an integral step needed for the transition towards sustainable supply chain systems and a greener global economy. However, measuring the environmental performance of supply chains is a challenging task, due to several factors, such as the lack of standardised methodologies and the inherent multi-criteria nature of the problem. By leveraging the capability of a Multi-Regional Input-Output framework to handle the complex and global nature of supply chains, the current work presents a robust environmental sustainable performance measurement model underpinned by industrial lifecycle thinking.As a result, some theoretical insights are provided and an empirical application of the model to the Metal Products industry of the BRICS (Brazil, Russia, India, China, and South Africa) nations undertaken in an attempt to address some of the methodological and applied measurement challenges. In particular, this allowed the modelling of carbon emissions trends within, and between the BRICS nations and with the Rest-of-the-World over a 20-year period (1992-2011) as well as providing an opportunity to hypothesis on their future carbon emissions performances. Specific analyses of the Metal Product industry showed that demand represents the main driver for the increasing carbon footprint. However, the overall decline in reported carbon footprint was due to improvements in emissions intensity and efficiency gains induced by technology. The study further assesses the effects of imports and economic growth on carbon footprint and discusses the implications of the study to sustainability transition processes in the BRICS nations.","author":[{"dropping-particle":"","family":"Acquaye","given":"Adolf","non-dropping-particle":"","parse-names":false,"suffix":""},{"dropping-particle":"","family":"Ibn-Mohammed","given":"Taofeeq","non-dropping-particle":"","parse-names":false,"suffix":""},{"dropping-particle":"","family":"Genovese","given":"Andrea","non-dropping-particle":"","parse-names":false,"suffix":""},{"dropping-particle":"","family":"Afrifa","given":"Godfred A","non-dropping-particle":"","parse-names":false,"suffix":""},{"dropping-particle":"","family":"Yamoah","given":"Fred A","non-dropping-particle":"","parse-names":false,"suffix":""},{"dropping-particle":"","family":"Oppon","given":"Eunice","non-dropping-particle":"","parse-names":false,"suffix":""}],"container-title":"European Journal of Operational Research","id":"ITEM-1","issue":"1","issued":{"date-parts":[["2017"]]},"page":"188-205","publisher":"Elsevier B.V.","title":"A quantitative model for environmentally sustainable supply chain performance measurement","type":"article-journal","volume":"268"},"uris":["http://www.mendeley.com/documents/?uuid=32ffff6f-18b7-4fe8-8519-b969a5392a00"]},{"id":"ITEM-2","itemData":{"DOI":"10.1016/j.procir.2014.07.035","ISBN":"6075510133","ISSN":"22128271","author":[{"dropping-particle":"","family":"Chin","given":"Thoo Ai","non-dropping-particle":"","parse-names":false,"suffix":""},{"dropping-particle":"","family":"Tat","given":"Huam Hon","non-dropping-particle":"","parse-names":false,"suffix":""},{"dropping-particle":"","family":"Sulaiman","given":"Zuraidah","non-dropping-particle":"","parse-names":false,"suffix":""}],"container-title":"Procedia CIRP","id":"ITEM-2","issue":"2015","issued":{"date-parts":[["2015"]]},"page":"695-699","publisher":"Elsevier B.V.","title":"Green Supply Chain Management, Environmental Collaboration and Sustainability Performance","type":"article-journal","volume":"26"},"uris":["http://www.mendeley.com/documents/?uuid=f20f4755-c919-40c3-a55d-933c8bd807a7"]},{"id":"ITEM-3","itemData":{"DOI":"10.1016/j.jclepro.2014.09.089","ISBN":"8814997888","ISSN":"09596526","author":[{"dropping-particle":"","family":"Jakhar","given":"Suresh Kumar","non-dropping-particle":"","parse-names":false,"suffix":""}],"container-title":"Journal of Cleaner Production","id":"ITEM-3","issue":"2015","issued":{"date-parts":[["2015"]]},"page":"391-413","publisher":"Elsevier Ltd","title":"Performance evaluation and a flow allocation decision model for a sustainable supply chain of an apparel industry","type":"article-journal","volume":"87"},"uris":["http://www.mendeley.com/documents/?uuid=3e2bdaf1-b369-4773-8aa0-712bccb50929"]},{"id":"ITEM-4","itemData":{"ISBN":"9780985549763","ISSN":"21698767","abstract":"©IEOM Society International. The purpose of this paper is to introduce a framework to measure the sustainable performance of supply chains. The supply chain stakeholders in this study are suppliers, a manufacturer, customer and the surrounding community. The proposed sustainable supply chain performance measurement consists of three dimensions with 14 indicators. In order to assess overall sustainability of the studied supply chain, a composite index is developed to combine all indicators to reflect the sustainability performance of the supply chain. The case of the sugar industry in Thailand is selected as an illustrative case. There are 4 steps to create the composite index which are (1) measuring value (2) normalization method (3) weighting of indicators (4) aggregation method. The numerical example, based on obtained data of the Thai sugar industry, is provided in order to explain how to calculate the composite index. The findings show that the overall sustainable supply chain score of the manufacturer is 55.61% while suppliers, customers and the community, achieved a composite index score of 80.97% and 75.00% respectively. The major contribution of this paper is the development of sustainable supply chain indicators between supply chain stakeholders and an approach to measure overall sustainable supply chain performance via the development of a composite index.","author":[{"dropping-particle":"","family":"Sopadang","given":"A","non-dropping-particle":"","parse-names":false,"suffix":""},{"dropping-particle":"","family":"Wichaisri","given":"S","non-dropping-particle":"","parse-names":false,"suffix":""},{"dropping-particle":"","family":"Banomyong","given":"R","non-dropping-particle":"","parse-names":false,"suffix":""}],"container-title":"Proceedings of the International Conference on Industrial Engineering and Operations Management","id":"ITEM-4","issued":{"date-parts":[["2017"]]},"page":"1-12","title":"Sustainable supply chain performance measurement a case study of the sugar industry","type":"paper-conference"},"uris":["http://www.mendeley.com/documents/?uuid=16affee3-106f-4485-b471-46352d93b5eb"]},{"id":"ITEM-5","itemData":{"DOI":"10.3233/JIFS-16802","ISSN":"18758967","abstract":"Today, with the development of economic globalization, the quality\\ncompetition between enterprises has extended to the supply chain. If the\\nenterprises want to get sustainable development, the traditional\\nclosed{''}Vertical Integration{''} mode needs to be changed;\\n``Horizontal Integration{''} has become the inevitable choice of\\nenterprises. With the development of performance management and supply\\nchain technology, the combination of the two and focusing on the green\\nsupply chain quality management under low-carbon agricultural economy\\nenvironment have become the hot topics in both academic area and\\npractical area. In this paper, we study on the multiple attribute\\ndecision making problems to estimate the green supply chain performance\\nunder low-carbon agricultural economy environment with 2-tuple\\nlinguistic information. Then, we propose the 2-tuple power Einstein\\nweighted geometric (2TPEWG) operatorfor aggregating 2-tuple linguistic\\ninformation, and then apply 2TPEWG operator for evaluating the green\\nsupply chain performance under low-carbon agricultural economy\\nenvironment with 2-tuple linguistic information. In the end, we propose\\nan example to test the effectiveness of our proposed method.","author":[{"dropping-particle":"","family":"Tong","given":"Yun","non-dropping-particle":"","parse-names":false,"suffix":""}],"container-title":"Journal of Intelligent and Fuzzy Systems","id":"ITEM-5","issue":"3","issued":{"date-parts":[["2017"]]},"page":"2717-2723","title":"Model for evaluating the green supply chain performance under low-carbon agricultural economy environment with 2-tuple linguistic information","type":"article-journal","volume":"32"},"uris":["http://www.mendeley.com/documents/?uuid=41bd312b-4e07-4893-9634-5ea9e4757194"]},{"id":"ITEM-6","itemData":{"DOI":"10.1016/j.cie.2016.02.020","ISSN":"03608352","author":[{"dropping-particle":"","family":"Uygun","given":"Özer","non-dropping-particle":"","parse-names":false,"suffix":""},{"dropping-particle":"","family":"Dede","given":"Ayşe","non-dropping-particle":"","parse-names":false,"suffix":""}],"container-title":"Computers &amp; Industrial Engineering","id":"ITEM-6","issue":"2016","issued":{"date-parts":[["2016"]]},"page":"502--511.","title":"Performance evaluation of green supply chain management using integrated fuzzy multi-criteria decision making techniques","type":"article-journal","volume":"102"},"uris":["http://www.mendeley.com/documents/?uuid=4646f505-2a5b-4bb9-b10a-824c73785c04"]},{"id":"ITEM-7","itemData":{"author":[{"dropping-particle":"","family":"Wang","given":"F","non-dropping-particle":"","parse-names":false,"suffix":""}],"container-title":"2nd International Conference on Economics, Trade and Development","id":"ITEM-7","issued":{"date-parts":[["2012"]]},"page":"111-114","publisher":"IACSIT","publisher-place":"Singapore","title":"Research on performance measurement of green supply chain management","type":"paper-conference","volume":"36"},"uris":["http://www.mendeley.com/documents/?uuid=656f1797-3bba-4f2f-81e8-d602e8eeb5f5"]},{"id":"ITEM-8","itemData":{"DOI":"10.3233/JIFS-16576","ISSN":"10641246","author":[{"dropping-particle":"","family":"Zhang","given":"Huan","non-dropping-particle":"","parse-names":false,"suffix":""}],"container-title":"Journal of Intelligent &amp; Fuzzy Systems","id":"ITEM-8","issue":"3","issued":{"date-parts":[["2017"]]},"page":"2625-2631","title":"Research on fuzzy evaluation of performance in green supply chain based on environmental economics","type":"article-journal","volume":"32"},"uris":["http://www.mendeley.com/documents/?uuid=75010775-837e-400a-a428-d55bd4ecf6fd"]}],"mendeley":{"formattedCitation":"(Acquaye et al., 2017; Chin et al., 2015; Jakhar, 2015; Sopadang, Wichaisri, &amp; Banomyong, 2017; Tong, 2017; Uygun &amp; Dede, 2016; Wang, 2012; H. Zhang, 2017)","manualFormatting":"(Acquaye et al., 2017; Chin et al., 2015; Jakhar, 2015; Sopadang et al., 2017; Tong, 2017; Uygun &amp; Dede, 2016; Wang, 2012; Zhang, 2017)","plainTextFormattedCitation":"(Acquaye et al., 2017; Chin et al., 2015; Jakhar, 2015; Sopadang, Wichaisri, &amp; Banomyong, 2017; Tong, 2017; Uygun &amp; Dede, 2016; Wang, 2012; H. Zhang, 2017)","previouslyFormattedCitation":"(Acquaye et al., 2017; Chin et al., 2015; Jakhar, 2015; Sopadang, Wichaisri, &amp; Banomyong, 2017; Tong, 2017; Uygun &amp; Dede, 2016; Wang, 2012; H. Zhang, 2017)"},"properties":{"noteIndex":0},"schema":"https://github.com/citation-style-language/schema/raw/master/csl-citation.json"}</w:instrText>
      </w:r>
      <w:r w:rsidRPr="00DA747D">
        <w:rPr>
          <w:lang w:val="es-ES_tradnl"/>
        </w:rPr>
        <w:fldChar w:fldCharType="separate"/>
      </w:r>
      <w:r w:rsidRPr="00DA747D">
        <w:rPr>
          <w:noProof/>
          <w:lang w:val="es-ES_tradnl"/>
        </w:rPr>
        <w:t>(Acquaye et al. 2017; Chin et al., 2015; Jakhar, 2015; Sopadang, Wicha</w:t>
      </w:r>
      <w:r w:rsidRPr="00DA747D">
        <w:rPr>
          <w:noProof/>
          <w:highlight w:val="yellow"/>
          <w:lang w:val="es-ES_tradnl"/>
        </w:rPr>
        <w:t>isri y Ba</w:t>
      </w:r>
      <w:r w:rsidRPr="00DA747D">
        <w:rPr>
          <w:noProof/>
          <w:lang w:val="es-ES_tradnl"/>
        </w:rPr>
        <w:t>nomyong, 2017; Tong, 2017; Uygun y Dede, 2016; Wang, 2012; Zhang, 2017)</w:t>
      </w:r>
      <w:r w:rsidRPr="00DA747D">
        <w:rPr>
          <w:lang w:val="es-ES_tradnl"/>
        </w:rPr>
        <w:fldChar w:fldCharType="end"/>
      </w:r>
      <w:r w:rsidRPr="00DA747D">
        <w:rPr>
          <w:lang w:val="es-ES_tradnl"/>
        </w:rPr>
        <w:t xml:space="preserve">  y no por procesos, con la excepción de </w:t>
      </w:r>
      <w:r w:rsidRPr="00DA747D">
        <w:rPr>
          <w:lang w:val="es-ES_tradnl"/>
        </w:rPr>
        <w:fldChar w:fldCharType="begin" w:fldLock="1"/>
      </w:r>
      <w:r w:rsidRPr="00DA747D">
        <w:rPr>
          <w:lang w:val="es-ES_tradnl"/>
        </w:rPr>
        <w:instrText>ADDIN CSL_CITATION {"citationItems":[{"id":"ITEM-1","itemData":{"DOI":"10.1080/00207540801932498","ISBN":"0020-7543","ISSN":"0020-7543","abstract":"Supply chain operation with sustainable consideration has become an increasingly important issue in recent years. However, the decision framework with integrated costing and performance evaluation for green supply chain (GSC) has not been well developed so far in the literature. For this reason, this paper is aimed to propose a fuzzy goal programming (FGP) approach that integrates activity-based costing (ABC) and performance evaluation in a value-chain structure for optimal GSC supplier selection and flow allocation. The FGP approach is particularly suitable for such a decision model which includes flexible goals, financial and non-financial measures, quantitative and qualitative methods, multi-layer structure, multiple criteria, multiple objectives, and multiple strategies. An activity-based example of structural GSC with relevant costs and performances is presented for computing the composite performance indices of the GSC suppliers. A green supply chain of a mobile phone is used as an illustrative case. Several objective structures and their results are compared. The sensitivity analyses show that pure maximisation of financial profit can achieve the highest profit level, which also has the largest Euclidean distance to the multiple aspiration goals. In order to determine the final objective structure, an analytic hierarchy process (AHP) is used. This paper provides a new approach to assess and control a complex GSC based on value-chain activities, and obtain a more precise solution. The establishment of this GSC model not only helps decision-makers to monitor GSC comprehensive performance but also can facilitate further improvement and development of GSC management.","author":[{"dropping-particle":"","family":"Tsai","given":"W.-H.","non-dropping-particle":"","parse-names":false,"suffix":""},{"dropping-particle":"","family":"Hung","given":"Shih-Jieh","non-dropping-particle":"","parse-names":false,"suffix":""}],"container-title":"International Journal of Production Research","id":"ITEM-1","issue":"18","issued":{"date-parts":[["2009"]]},"page":"4991-5017","title":"A fuzzy goal programming approach for green supply chain optimisation under activity-based costing and performance evaluation with a value-chain structure","type":"article-journal","volume":"47"},"uris":["http://www.mendeley.com/documents/?uuid=4962ecba-b743-419d-badb-63e1d7355c51"]}],"mendeley":{"formattedCitation":"(Tsai &amp; Hung, 2009)","plainTextFormattedCitation":"(Tsai &amp; Hung, 2009)","previouslyFormattedCitation":"(Tsai &amp; Hung, 2009)"},"properties":{"noteIndex":0},"schema":"https://github.com/citation-style-language/schema/raw/master/csl-citation.json"}</w:instrText>
      </w:r>
      <w:r w:rsidRPr="00DA747D">
        <w:rPr>
          <w:lang w:val="es-ES_tradnl"/>
        </w:rPr>
        <w:fldChar w:fldCharType="separate"/>
      </w:r>
      <w:r w:rsidRPr="00DA747D">
        <w:rPr>
          <w:noProof/>
          <w:lang w:val="es-ES_tradnl"/>
        </w:rPr>
        <w:t>(Tsai y Hung, 2009)</w:t>
      </w:r>
      <w:r w:rsidRPr="00DA747D">
        <w:rPr>
          <w:lang w:val="es-ES_tradnl"/>
        </w:rPr>
        <w:fldChar w:fldCharType="end"/>
      </w:r>
      <w:r w:rsidRPr="00DA747D">
        <w:rPr>
          <w:lang w:val="es-ES_tradnl"/>
        </w:rPr>
        <w:t xml:space="preserve">. </w:t>
      </w:r>
      <w:r w:rsidRPr="00DA747D">
        <w:rPr>
          <w:lang w:val="es-ES_tradnl"/>
        </w:rPr>
        <w:fldChar w:fldCharType="begin" w:fldLock="1"/>
      </w:r>
      <w:r w:rsidRPr="00DA747D">
        <w:rPr>
          <w:lang w:val="es-ES_tradnl"/>
        </w:rPr>
        <w:instrText>ADDIN CSL_CITATION {"citationItems":[{"id":"ITEM-1","itemData":{"DOI":"10.1080/00207540801932498","ISBN":"0020-7543","ISSN":"0020-7543","abstract":"Supply chain operation with sustainable consideration has become an increasingly important issue in recent years. However, the decision framework with integrated costing and performance evaluation for green supply chain (GSC) has not been well developed so far in the literature. For this reason, this paper is aimed to propose a fuzzy goal programming (FGP) approach that integrates activity-based costing (ABC) and performance evaluation in a value-chain structure for optimal GSC supplier selection and flow allocation. The FGP approach is particularly suitable for such a decision model which includes flexible goals, financial and non-financial measures, quantitative and qualitative methods, multi-layer structure, multiple criteria, multiple objectives, and multiple strategies. An activity-based example of structural GSC with relevant costs and performances is presented for computing the composite performance indices of the GSC suppliers. A green supply chain of a mobile phone is used as an illustrative case. Several objective structures and their results are compared. The sensitivity analyses show that pure maximisation of financial profit can achieve the highest profit level, which also has the largest Euclidean distance to the multiple aspiration goals. In order to determine the final objective structure, an analytic hierarchy process (AHP) is used. This paper provides a new approach to assess and control a complex GSC based on value-chain activities, and obtain a more precise solution. The establishment of this GSC model not only helps decision-makers to monitor GSC comprehensive performance but also can facilitate further improvement and development of GSC management.","author":[{"dropping-particle":"","family":"Tsai","given":"W.-H.","non-dropping-particle":"","parse-names":false,"suffix":""},{"dropping-particle":"","family":"Hung","given":"Shih-Jieh","non-dropping-particle":"","parse-names":false,"suffix":""}],"container-title":"International Journal of Production Research","id":"ITEM-1","issue":"18","issued":{"date-parts":[["2009"]]},"page":"4991-5017","title":"A fuzzy goal programming approach for green supply chain optimisation under activity-based costing and performance evaluation with a value-chain structure","type":"article-journal","volume":"47"},"uris":["http://www.mendeley.com/documents/?uuid=4ee9e0e9-ef86-46c0-b417-af5c5da9ddff"]}],"mendeley":{"formattedCitation":"(Tsai &amp; Hung, 2009)","manualFormatting":"Tsai y Hung (2009)","plainTextFormattedCitation":"(Tsai &amp; Hung, 2009)","previouslyFormattedCitation":"(Tsai &amp; Hung, 2009)"},"properties":{"noteIndex":0},"schema":"https://github.com/citation-style-language/schema/raw/master/csl-citation.json"}</w:instrText>
      </w:r>
      <w:r w:rsidRPr="00DA747D">
        <w:rPr>
          <w:lang w:val="es-ES_tradnl"/>
        </w:rPr>
        <w:fldChar w:fldCharType="separate"/>
      </w:r>
      <w:r w:rsidRPr="00DA747D">
        <w:rPr>
          <w:noProof/>
          <w:lang w:val="es-ES_tradnl"/>
        </w:rPr>
        <w:t>Tsai y Hung (2009)</w:t>
      </w:r>
      <w:r w:rsidRPr="00DA747D">
        <w:rPr>
          <w:lang w:val="es-ES_tradnl"/>
        </w:rPr>
        <w:fldChar w:fldCharType="end"/>
      </w:r>
      <w:r w:rsidRPr="00DA747D">
        <w:rPr>
          <w:lang w:val="es-ES_tradnl"/>
        </w:rPr>
        <w:t>, aunque analizaron</w:t>
      </w:r>
      <w:r w:rsidRPr="00DA747D">
        <w:rPr>
          <w:color w:val="FF0000"/>
          <w:lang w:val="es-ES_tradnl"/>
        </w:rPr>
        <w:t xml:space="preserve"> </w:t>
      </w:r>
      <w:r w:rsidRPr="00DA747D">
        <w:rPr>
          <w:lang w:val="es-ES_tradnl"/>
        </w:rPr>
        <w:t>el desempeño de CS mediante criterios con enfoque a procesos internos, solo consideraron los eslabones de abastecimiento y manufactura, utilizando criterios de las dimensiones económica y ambiental. También fueron utilizados métodos basados en múltiples criterios, como el de Jerarquías Analíticas o de Saaty (</w:t>
      </w:r>
      <w:r w:rsidRPr="00DA747D">
        <w:rPr>
          <w:highlight w:val="yellow"/>
          <w:lang w:val="es-ES_tradnl"/>
        </w:rPr>
        <w:t>AHP</w:t>
      </w:r>
      <w:r w:rsidRPr="00DA747D">
        <w:rPr>
          <w:lang w:val="es-ES_tradnl"/>
        </w:rPr>
        <w:t>), pero sin proponer un indicador integral y los criterios utilizados fueron funcionales.</w:t>
      </w:r>
    </w:p>
    <w:p w:rsidR="00DA747D" w:rsidRPr="00DA747D" w:rsidRDefault="00DA747D" w:rsidP="00DA747D">
      <w:pPr>
        <w:jc w:val="both"/>
        <w:rPr>
          <w:rFonts w:ascii="Times New Roman" w:hAnsi="Times New Roman" w:cs="Times New Roman"/>
          <w:sz w:val="24"/>
          <w:szCs w:val="24"/>
          <w:lang w:val="es-ES_tradnl"/>
        </w:rPr>
      </w:pPr>
      <w:r w:rsidRPr="00DA747D">
        <w:rPr>
          <w:rFonts w:ascii="Times New Roman" w:hAnsi="Times New Roman" w:cs="Times New Roman"/>
          <w:sz w:val="24"/>
          <w:szCs w:val="24"/>
          <w:lang w:val="es-ES_tradnl"/>
        </w:rPr>
        <w:t xml:space="preserve">Los autores mencionados en el tema de la evaluación del desempeño de CSS han realizado aportes importantes, entre los que resaltan el empleo de diferentes herramientas matemáticas incluyendo métodos basados en múltiples criterios, el tratamiento de hasta dos dimensiones del desarrollo sostenible y algunas incursiones en el enfoque a procesos de las CS. Todos combinan métodos de investigación cuantitativos y cualitativos, lo cual es acertado en estos estudios. Sin embargo, dejan una brecha en la investigación hacia la definición de un indicador integral para evaluar toda la CS con enfoque a procesos considerando las tres dimensiones del desarrollo sostenible. </w:t>
      </w:r>
    </w:p>
    <w:p w:rsidR="00DA747D" w:rsidRPr="00DA747D" w:rsidRDefault="00DA747D" w:rsidP="00DA747D">
      <w:pPr>
        <w:jc w:val="both"/>
        <w:rPr>
          <w:rFonts w:ascii="Times New Roman" w:hAnsi="Times New Roman" w:cs="Times New Roman"/>
          <w:sz w:val="24"/>
          <w:szCs w:val="24"/>
          <w:lang w:val="es-ES_tradnl"/>
        </w:rPr>
      </w:pPr>
      <w:r w:rsidRPr="00DA747D">
        <w:rPr>
          <w:rFonts w:ascii="Times New Roman" w:hAnsi="Times New Roman" w:cs="Times New Roman"/>
          <w:sz w:val="24"/>
          <w:szCs w:val="24"/>
          <w:lang w:val="es-ES_tradnl"/>
        </w:rPr>
        <w:lastRenderedPageBreak/>
        <w:t>Es opinión de los autores del presente artículo que, si bien es importante la evaluación de procesos y eslabones de una CS, también es necesario evaluarla integralmente. Esta afirmación se justifica por la presencia de las denominadas relaciones de conflicto en la toma de decisiones, donde mejoras en algún proceso, pueden deteriorar el funcionamiento de otros y de la CS como un todo. Ello se acentúa cuando se consideran diferentes dimensiones de la sostenibilidad, por lo que las medidas que se apliquen deben mejorar el desempeño de toda la CS. Por esa razón, el objetivo general del presente artículo resulta desarrollar una herramienta metodológica para evaluar el desempeño de CSS, mediante un indicador integral e indicadores parciales enfocados a procesos, considerando las tres dimensiones de la sostenibilidad y empleando métodos basados en múltiples criterios.</w:t>
      </w:r>
    </w:p>
    <w:p w:rsidR="00DA747D" w:rsidRPr="00DA747D" w:rsidRDefault="00DA747D" w:rsidP="00DA747D">
      <w:pPr>
        <w:jc w:val="both"/>
        <w:rPr>
          <w:rFonts w:ascii="Times New Roman" w:hAnsi="Times New Roman" w:cs="Times New Roman"/>
          <w:sz w:val="24"/>
          <w:szCs w:val="24"/>
          <w:lang w:val="es-ES_tradnl"/>
        </w:rPr>
      </w:pPr>
      <w:r w:rsidRPr="00DA747D">
        <w:rPr>
          <w:rFonts w:ascii="Times New Roman" w:hAnsi="Times New Roman" w:cs="Times New Roman"/>
          <w:sz w:val="24"/>
          <w:szCs w:val="24"/>
          <w:lang w:val="es-ES_tradnl"/>
        </w:rPr>
        <w:t>Para demostrar la factibilidad y bondades de la herramienta metodológica desarrollada, se tomó como estudio de caso la CS cubana de contadores de energía eléctrica. Esta CS utilizaba un enfoque a procesos en la gestión, pero basaba la toma de decisiones logísticas en los tradicionales criterios económicos y carecía de una herramienta que incluyera criterios ambientales y sociales, constituyó esta la situación problemática que originó la investigación. Para facilitar la lectura y comprensión, el artículo fue estructurado en las siguientes secciones: introducción, marco teórico, metodología, análisis de los resultados y conclusiones.</w:t>
      </w:r>
    </w:p>
    <w:p w:rsidR="00A21A1F" w:rsidRPr="00DA747D" w:rsidRDefault="00A21A1F" w:rsidP="00FF3346">
      <w:pPr>
        <w:spacing w:after="0" w:line="360" w:lineRule="auto"/>
        <w:jc w:val="both"/>
        <w:rPr>
          <w:rFonts w:ascii="Times New Roman" w:hAnsi="Times New Roman" w:cs="Times New Roman"/>
          <w:sz w:val="24"/>
          <w:szCs w:val="24"/>
          <w:lang w:val="es-ES_tradnl"/>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DA747D" w:rsidRPr="00DA747D" w:rsidRDefault="00DA747D" w:rsidP="00DA747D">
      <w:pPr>
        <w:jc w:val="both"/>
        <w:rPr>
          <w:rFonts w:ascii="Times New Roman" w:hAnsi="Times New Roman" w:cs="Times New Roman"/>
          <w:sz w:val="24"/>
          <w:szCs w:val="24"/>
          <w:lang w:val="es-ES_tradnl"/>
        </w:rPr>
      </w:pPr>
      <w:r w:rsidRPr="00DA747D">
        <w:rPr>
          <w:rFonts w:ascii="Times New Roman" w:hAnsi="Times New Roman" w:cs="Times New Roman"/>
          <w:sz w:val="24"/>
          <w:szCs w:val="24"/>
          <w:lang w:val="es-ES_tradnl"/>
        </w:rPr>
        <w:t xml:space="preserve">El método propuesto está compuesto por cinco pasos de trabajo que son explicados a continuación: </w:t>
      </w:r>
    </w:p>
    <w:p w:rsidR="00DA747D" w:rsidRPr="00DA747D" w:rsidRDefault="00DA747D" w:rsidP="00DA747D">
      <w:pPr>
        <w:pStyle w:val="Prrafodelista"/>
        <w:numPr>
          <w:ilvl w:val="0"/>
          <w:numId w:val="5"/>
        </w:numPr>
        <w:jc w:val="both"/>
        <w:rPr>
          <w:rFonts w:ascii="Times New Roman" w:hAnsi="Times New Roman" w:cs="Times New Roman"/>
          <w:sz w:val="24"/>
          <w:szCs w:val="24"/>
          <w:lang w:val="es-ES_tradnl"/>
        </w:rPr>
      </w:pPr>
      <w:r w:rsidRPr="00DA747D">
        <w:rPr>
          <w:rFonts w:ascii="Times New Roman" w:hAnsi="Times New Roman" w:cs="Times New Roman"/>
          <w:sz w:val="24"/>
          <w:szCs w:val="24"/>
          <w:lang w:val="es-ES_tradnl"/>
        </w:rPr>
        <w:t>Paso 1 - Seleccionar criterios para calcular el SCPI. Se identifican los posibles criterios que pudieran servir para calcular el desempeño de la CSS. Primeramente, se deberá seleccionar un grupo de expertos en el tema que puedan de forma rápida y eficiente identificarlos y seleccionarlos. Luego, se deberá realizar una búsqueda en la literatura que permita la identificación de los posibles criterios a considerar en la evaluación. Una vez definidos, se deberán seleccionar los que se ajustan a las características del objeto de estudio. Para ello, pueden emplearse grupos de expertos apoyados por métodos de clasificación. Los criterios seleccionados para la evaluación deberán analizar las dimensiones económicas, ambientales y sociales.</w:t>
      </w:r>
    </w:p>
    <w:p w:rsidR="00DA747D" w:rsidRPr="00DA747D" w:rsidRDefault="00DA747D" w:rsidP="00DA747D">
      <w:pPr>
        <w:pStyle w:val="Prrafodelista"/>
        <w:numPr>
          <w:ilvl w:val="0"/>
          <w:numId w:val="5"/>
        </w:numPr>
        <w:spacing w:line="240" w:lineRule="auto"/>
        <w:jc w:val="both"/>
        <w:rPr>
          <w:rFonts w:ascii="Times New Roman" w:hAnsi="Times New Roman" w:cs="Times New Roman"/>
          <w:sz w:val="24"/>
          <w:szCs w:val="24"/>
          <w:lang w:val="es-ES_tradnl"/>
        </w:rPr>
      </w:pPr>
      <w:r w:rsidRPr="00DA747D">
        <w:rPr>
          <w:rFonts w:ascii="Times New Roman" w:hAnsi="Times New Roman" w:cs="Times New Roman"/>
          <w:sz w:val="24"/>
          <w:szCs w:val="24"/>
          <w:lang w:val="es-ES_tradnl"/>
        </w:rPr>
        <w:t>Paso 2 - Establecer escala para cada criterio. Luego de calculados e identificados los expertos se fija la escala de evaluación para cada criterio y para el desempeño de la CSS. Para esto se pueden emplear técnicas de recopilación de información. La aplicación de los pasos 1 y 2 serán demostrados en el acápite referido a los resultados.</w:t>
      </w:r>
    </w:p>
    <w:p w:rsidR="00DA747D" w:rsidRPr="00DA747D" w:rsidRDefault="00DA747D" w:rsidP="00DA747D">
      <w:pPr>
        <w:pStyle w:val="Prrafodelista"/>
        <w:numPr>
          <w:ilvl w:val="0"/>
          <w:numId w:val="5"/>
        </w:numPr>
        <w:spacing w:line="240" w:lineRule="auto"/>
        <w:jc w:val="both"/>
        <w:rPr>
          <w:rFonts w:ascii="Times New Roman" w:hAnsi="Times New Roman" w:cs="Times New Roman"/>
          <w:sz w:val="24"/>
          <w:szCs w:val="24"/>
          <w:lang w:val="es-ES_tradnl"/>
        </w:rPr>
      </w:pPr>
      <w:r w:rsidRPr="00DA747D">
        <w:rPr>
          <w:rFonts w:ascii="Times New Roman" w:hAnsi="Times New Roman" w:cs="Times New Roman"/>
          <w:sz w:val="24"/>
          <w:szCs w:val="24"/>
          <w:lang w:val="es-ES_tradnl"/>
        </w:rPr>
        <w:t xml:space="preserve">Paso 3 - Calcular valor de cada criterio. Los criterios seleccionados para la evaluación del desempeño del estudio de caso, contenidos en el presente artículo, luego de aplicados los pasos anteriores fueron: servicio al cliente, productividad, rentabilidad, valor agregado e impacto ambiental. En el caso de los criterios servicio al cliente y rentabilidad se determinan de manera general para la CS, mientras que los restantes, </w:t>
      </w:r>
      <w:r w:rsidRPr="00DA747D">
        <w:rPr>
          <w:rFonts w:ascii="Times New Roman" w:hAnsi="Times New Roman" w:cs="Times New Roman"/>
          <w:sz w:val="24"/>
          <w:szCs w:val="24"/>
          <w:lang w:val="es-ES_tradnl"/>
        </w:rPr>
        <w:lastRenderedPageBreak/>
        <w:t>requieren un desglose por tipo de producto y proceso. La evaluación de cada uno de ellos se explica a continuación:</w:t>
      </w:r>
    </w:p>
    <w:p w:rsidR="00DA747D" w:rsidRPr="00DA747D" w:rsidRDefault="00DA747D" w:rsidP="00DA747D">
      <w:pPr>
        <w:pStyle w:val="Prrafodelista"/>
        <w:numPr>
          <w:ilvl w:val="0"/>
          <w:numId w:val="6"/>
        </w:numPr>
        <w:spacing w:line="240" w:lineRule="auto"/>
        <w:jc w:val="both"/>
        <w:rPr>
          <w:rFonts w:ascii="Times New Roman" w:hAnsi="Times New Roman" w:cs="Times New Roman"/>
          <w:sz w:val="24"/>
          <w:szCs w:val="24"/>
          <w:u w:val="single"/>
          <w:lang w:val="es-ES_tradnl"/>
        </w:rPr>
      </w:pPr>
      <w:r w:rsidRPr="00DA747D">
        <w:rPr>
          <w:rFonts w:ascii="Times New Roman" w:hAnsi="Times New Roman" w:cs="Times New Roman"/>
          <w:sz w:val="24"/>
          <w:szCs w:val="24"/>
          <w:lang w:val="es-ES_tradnl"/>
        </w:rPr>
        <w:t xml:space="preserve">Servicio al cliente. Para evaluar el nivel servicio al cliente (NSC) en las condiciones del estudio de caso desarrollado se empleó una encuesta que fue aplicada a los clientes para analizar los aspectos siguientes: expectativas del producto, entrega de pedidos, relaciones cliente-proveedor, disponibilidad del producto, calidad del producto, servicio postventa y correspondencia entre calidad y precio. Para ello, se utilizó una escala de Likert (1-pésima, 2-muy mala, 3-mala, 4-regular, 5-buena, 6-muy buena y 7-excelente). Luego se procesaron los resultados obteniéndose el valor del NSC. </w:t>
      </w:r>
    </w:p>
    <w:p w:rsidR="00DA747D" w:rsidRPr="00DA747D" w:rsidRDefault="00DA747D" w:rsidP="00DA747D">
      <w:pPr>
        <w:pStyle w:val="Prrafodelista"/>
        <w:numPr>
          <w:ilvl w:val="0"/>
          <w:numId w:val="6"/>
        </w:numPr>
        <w:autoSpaceDE w:val="0"/>
        <w:autoSpaceDN w:val="0"/>
        <w:adjustRightInd w:val="0"/>
        <w:spacing w:line="240" w:lineRule="auto"/>
        <w:jc w:val="both"/>
        <w:rPr>
          <w:rFonts w:ascii="Times New Roman" w:hAnsi="Times New Roman" w:cs="Times New Roman"/>
          <w:sz w:val="24"/>
          <w:szCs w:val="24"/>
          <w:lang w:val="es-ES_tradnl"/>
        </w:rPr>
      </w:pPr>
      <w:r w:rsidRPr="00DA747D">
        <w:rPr>
          <w:rFonts w:ascii="Times New Roman" w:hAnsi="Times New Roman" w:cs="Times New Roman"/>
          <w:sz w:val="24"/>
          <w:szCs w:val="24"/>
          <w:lang w:val="es-ES_tradnl"/>
        </w:rPr>
        <w:t>Tasa de valor agregado. Los autores del presente trabajo, consideran la tasa de valor agregado (TVA), como la relación del valor que se agrega a un producto, respecto al que se debía agregar, incluyendo los artículos recuperados. Algunos de los parámetros que comprenden su determinación están referidos a la unidad de producto y otros para un período de tiempo determinado. En este último caso, se toma el año como período analizado. El cálculo de  TVA se realiza mediante las expresiones (1), (2), (3) y (4), donde TVA es la tasa de valor agregado total de la CS;  VA</w:t>
      </w:r>
      <w:r w:rsidRPr="00DA747D">
        <w:rPr>
          <w:rFonts w:ascii="Times New Roman" w:hAnsi="Times New Roman" w:cs="Times New Roman"/>
          <w:sz w:val="24"/>
          <w:szCs w:val="24"/>
          <w:vertAlign w:val="subscript"/>
          <w:lang w:val="es-ES_tradnl"/>
        </w:rPr>
        <w:t xml:space="preserve">j, </w:t>
      </w:r>
      <w:r w:rsidRPr="00DA747D">
        <w:rPr>
          <w:rFonts w:ascii="Times New Roman" w:hAnsi="Times New Roman" w:cs="Times New Roman"/>
          <w:sz w:val="24"/>
          <w:szCs w:val="24"/>
          <w:lang w:val="es-ES_tradnl"/>
        </w:rPr>
        <w:t xml:space="preserve"> el valor real agregado al producto j en unidades monetarias al año;  VAT</w:t>
      </w:r>
      <w:r w:rsidRPr="00DA747D">
        <w:rPr>
          <w:rFonts w:ascii="Times New Roman" w:hAnsi="Times New Roman" w:cs="Times New Roman"/>
          <w:sz w:val="24"/>
          <w:szCs w:val="24"/>
          <w:vertAlign w:val="subscript"/>
          <w:lang w:val="es-ES_tradnl"/>
        </w:rPr>
        <w:t xml:space="preserve">j, </w:t>
      </w:r>
      <w:r w:rsidRPr="00DA747D">
        <w:rPr>
          <w:rFonts w:ascii="Times New Roman" w:hAnsi="Times New Roman" w:cs="Times New Roman"/>
          <w:sz w:val="24"/>
          <w:szCs w:val="24"/>
          <w:lang w:val="es-ES_tradnl"/>
        </w:rPr>
        <w:t xml:space="preserve">  el valor total que se debió agregar al producto j en unidades monetarias anuales; VAR</w:t>
      </w:r>
      <w:r w:rsidRPr="00DA747D">
        <w:rPr>
          <w:rFonts w:ascii="Times New Roman" w:hAnsi="Times New Roman" w:cs="Times New Roman"/>
          <w:sz w:val="24"/>
          <w:szCs w:val="24"/>
          <w:vertAlign w:val="subscript"/>
          <w:lang w:val="es-ES_tradnl"/>
        </w:rPr>
        <w:t>j</w:t>
      </w:r>
      <w:r w:rsidRPr="00DA747D">
        <w:rPr>
          <w:rFonts w:ascii="Times New Roman" w:hAnsi="Times New Roman" w:cs="Times New Roman"/>
          <w:sz w:val="24"/>
          <w:szCs w:val="24"/>
          <w:lang w:val="es-ES_tradnl"/>
        </w:rPr>
        <w:t xml:space="preserve"> es el valor agregado total a los productos j reprocesados en unidades monetarias al año; Vp</w:t>
      </w:r>
      <w:r w:rsidRPr="00DA747D">
        <w:rPr>
          <w:rFonts w:ascii="Times New Roman" w:hAnsi="Times New Roman" w:cs="Times New Roman"/>
          <w:sz w:val="24"/>
          <w:szCs w:val="24"/>
          <w:vertAlign w:val="subscript"/>
          <w:lang w:val="es-ES_tradnl"/>
        </w:rPr>
        <w:t>j</w:t>
      </w:r>
      <w:r w:rsidRPr="00DA747D">
        <w:rPr>
          <w:rFonts w:ascii="Times New Roman" w:hAnsi="Times New Roman" w:cs="Times New Roman"/>
          <w:sz w:val="24"/>
          <w:szCs w:val="24"/>
          <w:lang w:val="es-ES_tradnl"/>
        </w:rPr>
        <w:t xml:space="preserve"> es el volumen de producción del producto j en unidades de productos anuales; VA</w:t>
      </w:r>
      <w:r w:rsidRPr="00DA747D">
        <w:rPr>
          <w:rFonts w:ascii="Times New Roman" w:hAnsi="Times New Roman" w:cs="Times New Roman"/>
          <w:sz w:val="24"/>
          <w:szCs w:val="24"/>
          <w:vertAlign w:val="subscript"/>
          <w:lang w:val="es-ES_tradnl"/>
        </w:rPr>
        <w:t>ij,</w:t>
      </w:r>
      <w:r w:rsidRPr="00DA747D">
        <w:rPr>
          <w:rFonts w:ascii="Times New Roman" w:hAnsi="Times New Roman" w:cs="Times New Roman"/>
          <w:sz w:val="24"/>
          <w:szCs w:val="24"/>
          <w:lang w:val="es-ES_tradnl"/>
        </w:rPr>
        <w:t xml:space="preserve">  el valor agregado al producto j en el proceso i en unidades monetarias por unidad de producto; Cpd</w:t>
      </w:r>
      <w:r w:rsidRPr="00DA747D">
        <w:rPr>
          <w:rFonts w:ascii="Times New Roman" w:hAnsi="Times New Roman" w:cs="Times New Roman"/>
          <w:sz w:val="24"/>
          <w:szCs w:val="24"/>
          <w:vertAlign w:val="subscript"/>
          <w:lang w:val="es-ES_tradnl"/>
        </w:rPr>
        <w:t>j,</w:t>
      </w:r>
      <w:r w:rsidRPr="00DA747D">
        <w:rPr>
          <w:rFonts w:ascii="Times New Roman" w:hAnsi="Times New Roman" w:cs="Times New Roman"/>
          <w:sz w:val="24"/>
          <w:szCs w:val="24"/>
          <w:lang w:val="es-ES_tradnl"/>
        </w:rPr>
        <w:t xml:space="preserve">  la cantidad de productos j defectuosos en unidades de productos anuales; Pr</w:t>
      </w:r>
      <w:r w:rsidRPr="00DA747D">
        <w:rPr>
          <w:rFonts w:ascii="Times New Roman" w:hAnsi="Times New Roman" w:cs="Times New Roman"/>
          <w:sz w:val="24"/>
          <w:szCs w:val="24"/>
          <w:vertAlign w:val="subscript"/>
          <w:lang w:val="es-ES_tradnl"/>
        </w:rPr>
        <w:t>j,</w:t>
      </w:r>
      <w:r w:rsidRPr="00DA747D">
        <w:rPr>
          <w:rFonts w:ascii="Times New Roman" w:hAnsi="Times New Roman" w:cs="Times New Roman"/>
          <w:sz w:val="24"/>
          <w:szCs w:val="24"/>
          <w:lang w:val="es-ES_tradnl"/>
        </w:rPr>
        <w:t xml:space="preserve"> la cantidad total de productos j recuperados en unidades de productos al año y n es la cantidad de procesos de la CS. Las expresiones para el cálculo de la TVA fueron diseñadas bajo el supuesto de que todo producto defectuoso será reprocesado desde el inicio de la CS.</w:t>
      </w:r>
    </w:p>
    <w:p w:rsidR="00DA747D" w:rsidRPr="00DA747D" w:rsidRDefault="00DA747D" w:rsidP="00DA747D">
      <w:pPr>
        <w:pStyle w:val="Descripcin"/>
        <w:spacing w:after="0"/>
        <w:jc w:val="both"/>
        <w:rPr>
          <w:rFonts w:ascii="Times New Roman" w:hAnsi="Times New Roman"/>
          <w:b w:val="0"/>
          <w:color w:val="auto"/>
          <w:sz w:val="24"/>
          <w:szCs w:val="24"/>
        </w:rPr>
      </w:pPr>
      <w:r w:rsidRPr="00DA747D">
        <w:rPr>
          <w:rFonts w:ascii="Times New Roman" w:hAnsi="Times New Roman"/>
          <w:noProof/>
          <w:position w:val="-32"/>
          <w:sz w:val="24"/>
          <w:szCs w:val="24"/>
        </w:rPr>
        <w:object w:dxaOrig="19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0.9pt;height:33.65pt;mso-width-percent:0;mso-height-percent:0;mso-width-percent:0;mso-height-percent:0" o:ole="">
            <v:imagedata r:id="rId10" o:title=""/>
          </v:shape>
          <o:OLEObject Type="Embed" ProgID="Equation.DSMT4" ShapeID="_x0000_i1025" DrawAspect="Content" ObjectID="_1690266003" r:id="rId11"/>
        </w:object>
      </w:r>
      <w:r w:rsidRPr="00DA747D">
        <w:rPr>
          <w:rFonts w:ascii="Times New Roman" w:hAnsi="Times New Roman"/>
          <w:sz w:val="24"/>
          <w:szCs w:val="24"/>
        </w:rPr>
        <w:tab/>
      </w:r>
      <w:r w:rsidRPr="00DA747D">
        <w:rPr>
          <w:rFonts w:ascii="Times New Roman" w:hAnsi="Times New Roman"/>
          <w:color w:val="auto"/>
          <w:sz w:val="24"/>
          <w:szCs w:val="24"/>
        </w:rPr>
        <w:tab/>
      </w:r>
      <w:r w:rsidRPr="00DA747D">
        <w:rPr>
          <w:rFonts w:ascii="Times New Roman" w:hAnsi="Times New Roman"/>
          <w:b w:val="0"/>
          <w:color w:val="auto"/>
          <w:sz w:val="24"/>
          <w:szCs w:val="24"/>
        </w:rPr>
        <w:tab/>
        <w:t>(</w:t>
      </w:r>
      <w:r w:rsidRPr="00DA747D">
        <w:rPr>
          <w:rFonts w:ascii="Times New Roman" w:hAnsi="Times New Roman"/>
          <w:b w:val="0"/>
          <w:i/>
          <w:color w:val="auto"/>
          <w:sz w:val="24"/>
          <w:szCs w:val="24"/>
        </w:rPr>
        <w:fldChar w:fldCharType="begin"/>
      </w:r>
      <w:r w:rsidRPr="00DA747D">
        <w:rPr>
          <w:rFonts w:ascii="Times New Roman" w:hAnsi="Times New Roman"/>
          <w:b w:val="0"/>
          <w:color w:val="auto"/>
          <w:sz w:val="24"/>
          <w:szCs w:val="24"/>
        </w:rPr>
        <w:instrText xml:space="preserve"> SEQ ( \* ARABIC </w:instrText>
      </w:r>
      <w:r w:rsidRPr="00DA747D">
        <w:rPr>
          <w:rFonts w:ascii="Times New Roman" w:hAnsi="Times New Roman"/>
          <w:b w:val="0"/>
          <w:i/>
          <w:color w:val="auto"/>
          <w:sz w:val="24"/>
          <w:szCs w:val="24"/>
        </w:rPr>
        <w:fldChar w:fldCharType="separate"/>
      </w:r>
      <w:r w:rsidRPr="00DA747D">
        <w:rPr>
          <w:rFonts w:ascii="Times New Roman" w:hAnsi="Times New Roman"/>
          <w:b w:val="0"/>
          <w:noProof/>
          <w:color w:val="auto"/>
          <w:sz w:val="24"/>
          <w:szCs w:val="24"/>
        </w:rPr>
        <w:t>1</w:t>
      </w:r>
      <w:r w:rsidRPr="00DA747D">
        <w:rPr>
          <w:rFonts w:ascii="Times New Roman" w:hAnsi="Times New Roman"/>
          <w:b w:val="0"/>
          <w:i/>
          <w:color w:val="auto"/>
          <w:sz w:val="24"/>
          <w:szCs w:val="24"/>
        </w:rPr>
        <w:fldChar w:fldCharType="end"/>
      </w:r>
      <w:r w:rsidRPr="00DA747D">
        <w:rPr>
          <w:rFonts w:ascii="Times New Roman" w:hAnsi="Times New Roman"/>
          <w:b w:val="0"/>
          <w:color w:val="auto"/>
          <w:sz w:val="24"/>
          <w:szCs w:val="24"/>
        </w:rPr>
        <w:t>)</w:t>
      </w:r>
    </w:p>
    <w:p w:rsidR="00DA747D" w:rsidRPr="00DA747D" w:rsidRDefault="00DA747D" w:rsidP="00DA747D">
      <w:pPr>
        <w:pStyle w:val="Descripcin"/>
        <w:spacing w:after="0"/>
        <w:jc w:val="both"/>
        <w:rPr>
          <w:rFonts w:ascii="Times New Roman" w:hAnsi="Times New Roman"/>
          <w:b w:val="0"/>
          <w:i/>
          <w:color w:val="auto"/>
          <w:sz w:val="24"/>
          <w:szCs w:val="24"/>
        </w:rPr>
      </w:pPr>
      <w:r w:rsidRPr="00DA747D">
        <w:rPr>
          <w:rFonts w:ascii="Times New Roman" w:hAnsi="Times New Roman"/>
          <w:b w:val="0"/>
          <w:noProof/>
          <w:color w:val="auto"/>
          <w:position w:val="-28"/>
          <w:sz w:val="24"/>
          <w:szCs w:val="24"/>
        </w:rPr>
        <w:object w:dxaOrig="1960" w:dyaOrig="680">
          <v:shape id="_x0000_i1026" type="#_x0000_t75" alt="" style="width:87.35pt;height:30.1pt;mso-width-percent:0;mso-height-percent:0;mso-width-percent:0;mso-height-percent:0" o:ole="">
            <v:imagedata r:id="rId12" o:title=""/>
          </v:shape>
          <o:OLEObject Type="Embed" ProgID="Equation.DSMT4" ShapeID="_x0000_i1026" DrawAspect="Content" ObjectID="_1690266004" r:id="rId13"/>
        </w:object>
      </w:r>
      <w:r w:rsidRPr="00DA747D">
        <w:rPr>
          <w:rFonts w:ascii="Times New Roman" w:hAnsi="Times New Roman"/>
          <w:b w:val="0"/>
          <w:color w:val="auto"/>
          <w:sz w:val="24"/>
          <w:szCs w:val="24"/>
        </w:rPr>
        <w:tab/>
      </w:r>
      <w:r w:rsidRPr="00DA747D">
        <w:rPr>
          <w:rFonts w:ascii="Times New Roman" w:hAnsi="Times New Roman"/>
          <w:b w:val="0"/>
          <w:color w:val="auto"/>
          <w:sz w:val="24"/>
          <w:szCs w:val="24"/>
        </w:rPr>
        <w:tab/>
      </w:r>
      <w:r w:rsidRPr="00DA747D">
        <w:rPr>
          <w:rFonts w:ascii="Times New Roman" w:hAnsi="Times New Roman"/>
          <w:b w:val="0"/>
          <w:color w:val="auto"/>
          <w:sz w:val="24"/>
          <w:szCs w:val="24"/>
        </w:rPr>
        <w:tab/>
        <w:t>(</w:t>
      </w:r>
      <w:r w:rsidRPr="00DA747D">
        <w:rPr>
          <w:rFonts w:ascii="Times New Roman" w:hAnsi="Times New Roman"/>
          <w:b w:val="0"/>
          <w:i/>
          <w:color w:val="auto"/>
          <w:sz w:val="24"/>
          <w:szCs w:val="24"/>
        </w:rPr>
        <w:fldChar w:fldCharType="begin"/>
      </w:r>
      <w:r w:rsidRPr="00DA747D">
        <w:rPr>
          <w:rFonts w:ascii="Times New Roman" w:hAnsi="Times New Roman"/>
          <w:b w:val="0"/>
          <w:color w:val="auto"/>
          <w:sz w:val="24"/>
          <w:szCs w:val="24"/>
        </w:rPr>
        <w:instrText xml:space="preserve"> SEQ ( \* ARABIC </w:instrText>
      </w:r>
      <w:r w:rsidRPr="00DA747D">
        <w:rPr>
          <w:rFonts w:ascii="Times New Roman" w:hAnsi="Times New Roman"/>
          <w:b w:val="0"/>
          <w:i/>
          <w:color w:val="auto"/>
          <w:sz w:val="24"/>
          <w:szCs w:val="24"/>
        </w:rPr>
        <w:fldChar w:fldCharType="separate"/>
      </w:r>
      <w:r w:rsidRPr="00DA747D">
        <w:rPr>
          <w:rFonts w:ascii="Times New Roman" w:hAnsi="Times New Roman"/>
          <w:b w:val="0"/>
          <w:noProof/>
          <w:color w:val="auto"/>
          <w:sz w:val="24"/>
          <w:szCs w:val="24"/>
        </w:rPr>
        <w:t>2</w:t>
      </w:r>
      <w:r w:rsidRPr="00DA747D">
        <w:rPr>
          <w:rFonts w:ascii="Times New Roman" w:hAnsi="Times New Roman"/>
          <w:b w:val="0"/>
          <w:i/>
          <w:color w:val="auto"/>
          <w:sz w:val="24"/>
          <w:szCs w:val="24"/>
        </w:rPr>
        <w:fldChar w:fldCharType="end"/>
      </w:r>
      <w:r w:rsidRPr="00DA747D">
        <w:rPr>
          <w:rFonts w:ascii="Times New Roman" w:hAnsi="Times New Roman"/>
          <w:b w:val="0"/>
          <w:color w:val="auto"/>
          <w:sz w:val="24"/>
          <w:szCs w:val="24"/>
        </w:rPr>
        <w:t>)</w:t>
      </w:r>
    </w:p>
    <w:p w:rsidR="00DA747D" w:rsidRPr="00DA747D" w:rsidRDefault="00DA747D" w:rsidP="00DA747D">
      <w:pPr>
        <w:keepNext/>
        <w:autoSpaceDE w:val="0"/>
        <w:autoSpaceDN w:val="0"/>
        <w:adjustRightInd w:val="0"/>
        <w:jc w:val="both"/>
        <w:rPr>
          <w:rFonts w:ascii="Times New Roman" w:hAnsi="Times New Roman" w:cs="Times New Roman"/>
          <w:sz w:val="24"/>
          <w:szCs w:val="24"/>
          <w:lang w:val="es-ES_tradnl"/>
        </w:rPr>
      </w:pPr>
      <w:r w:rsidRPr="00DA747D">
        <w:rPr>
          <w:rFonts w:ascii="Times New Roman" w:hAnsi="Times New Roman" w:cs="Times New Roman"/>
          <w:noProof/>
          <w:position w:val="-28"/>
          <w:sz w:val="24"/>
          <w:szCs w:val="24"/>
          <w:lang w:val="es-ES_tradnl"/>
        </w:rPr>
        <w:object w:dxaOrig="3420" w:dyaOrig="680">
          <v:shape id="_x0000_i1027" type="#_x0000_t75" alt="" style="width:133.95pt;height:25.4pt;mso-width-percent:0;mso-height-percent:0;mso-width-percent:0;mso-height-percent:0" o:ole="">
            <v:imagedata r:id="rId14" o:title=""/>
          </v:shape>
          <o:OLEObject Type="Embed" ProgID="Equation.DSMT4" ShapeID="_x0000_i1027" DrawAspect="Content" ObjectID="_1690266005" r:id="rId15"/>
        </w:object>
      </w:r>
      <w:r w:rsidRPr="00DA747D">
        <w:rPr>
          <w:rFonts w:ascii="Times New Roman" w:hAnsi="Times New Roman" w:cs="Times New Roman"/>
          <w:sz w:val="24"/>
          <w:szCs w:val="24"/>
          <w:lang w:val="es-ES_tradnl"/>
        </w:rPr>
        <w:tab/>
      </w:r>
      <w:r w:rsidRPr="00DA747D">
        <w:rPr>
          <w:rFonts w:ascii="Times New Roman" w:hAnsi="Times New Roman" w:cs="Times New Roman"/>
          <w:sz w:val="24"/>
          <w:szCs w:val="24"/>
          <w:lang w:val="es-ES_tradnl"/>
        </w:rPr>
        <w:tab/>
        <w:t>(</w:t>
      </w:r>
      <w:r w:rsidRPr="00DA747D">
        <w:rPr>
          <w:rFonts w:ascii="Times New Roman" w:hAnsi="Times New Roman" w:cs="Times New Roman"/>
          <w:sz w:val="24"/>
          <w:szCs w:val="24"/>
          <w:lang w:val="es-ES_tradnl"/>
        </w:rPr>
        <w:fldChar w:fldCharType="begin"/>
      </w:r>
      <w:r w:rsidRPr="00DA747D">
        <w:rPr>
          <w:rFonts w:ascii="Times New Roman" w:hAnsi="Times New Roman" w:cs="Times New Roman"/>
          <w:sz w:val="24"/>
          <w:szCs w:val="24"/>
          <w:lang w:val="es-ES_tradnl"/>
        </w:rPr>
        <w:instrText xml:space="preserve"> SEQ ( \* ARABIC </w:instrText>
      </w:r>
      <w:r w:rsidRPr="00DA747D">
        <w:rPr>
          <w:rFonts w:ascii="Times New Roman" w:hAnsi="Times New Roman" w:cs="Times New Roman"/>
          <w:sz w:val="24"/>
          <w:szCs w:val="24"/>
          <w:lang w:val="es-ES_tradnl"/>
        </w:rPr>
        <w:fldChar w:fldCharType="separate"/>
      </w:r>
      <w:r w:rsidRPr="00DA747D">
        <w:rPr>
          <w:rFonts w:ascii="Times New Roman" w:hAnsi="Times New Roman" w:cs="Times New Roman"/>
          <w:noProof/>
          <w:sz w:val="24"/>
          <w:szCs w:val="24"/>
          <w:lang w:val="es-ES_tradnl"/>
        </w:rPr>
        <w:t>3</w:t>
      </w:r>
      <w:r w:rsidRPr="00DA747D">
        <w:rPr>
          <w:rFonts w:ascii="Times New Roman" w:hAnsi="Times New Roman" w:cs="Times New Roman"/>
          <w:sz w:val="24"/>
          <w:szCs w:val="24"/>
          <w:lang w:val="es-ES_tradnl"/>
        </w:rPr>
        <w:fldChar w:fldCharType="end"/>
      </w:r>
      <w:r w:rsidRPr="00DA747D">
        <w:rPr>
          <w:rFonts w:ascii="Times New Roman" w:hAnsi="Times New Roman" w:cs="Times New Roman"/>
          <w:sz w:val="24"/>
          <w:szCs w:val="24"/>
          <w:lang w:val="es-ES_tradnl"/>
        </w:rPr>
        <w:t>)</w:t>
      </w:r>
    </w:p>
    <w:p w:rsidR="00DA747D" w:rsidRPr="00DA747D" w:rsidRDefault="00DA747D" w:rsidP="00DA747D">
      <w:pPr>
        <w:pStyle w:val="Descripcin"/>
        <w:spacing w:after="0"/>
        <w:jc w:val="both"/>
        <w:rPr>
          <w:rFonts w:ascii="Times New Roman" w:hAnsi="Times New Roman"/>
          <w:b w:val="0"/>
          <w:sz w:val="24"/>
          <w:szCs w:val="24"/>
        </w:rPr>
      </w:pPr>
      <w:r w:rsidRPr="00DA747D">
        <w:rPr>
          <w:rFonts w:ascii="Times New Roman" w:hAnsi="Times New Roman"/>
          <w:b w:val="0"/>
          <w:noProof/>
          <w:position w:val="-28"/>
          <w:sz w:val="24"/>
          <w:szCs w:val="24"/>
        </w:rPr>
        <w:object w:dxaOrig="1900" w:dyaOrig="680">
          <v:shape id="_x0000_i1028" type="#_x0000_t75" alt="" style="width:87.35pt;height:30.1pt;mso-width-percent:0;mso-height-percent:0;mso-width-percent:0;mso-height-percent:0" o:ole="">
            <v:imagedata r:id="rId16" o:title=""/>
          </v:shape>
          <o:OLEObject Type="Embed" ProgID="Equation.DSMT4" ShapeID="_x0000_i1028" DrawAspect="Content" ObjectID="_1690266006" r:id="rId17"/>
        </w:object>
      </w:r>
      <w:r w:rsidRPr="00DA747D">
        <w:rPr>
          <w:rFonts w:ascii="Times New Roman" w:hAnsi="Times New Roman"/>
          <w:b w:val="0"/>
          <w:sz w:val="24"/>
          <w:szCs w:val="24"/>
        </w:rPr>
        <w:tab/>
      </w:r>
      <w:r w:rsidRPr="00DA747D">
        <w:rPr>
          <w:rFonts w:ascii="Times New Roman" w:hAnsi="Times New Roman"/>
          <w:b w:val="0"/>
          <w:sz w:val="24"/>
          <w:szCs w:val="24"/>
        </w:rPr>
        <w:tab/>
      </w:r>
      <w:r w:rsidRPr="00DA747D">
        <w:rPr>
          <w:rFonts w:ascii="Times New Roman" w:hAnsi="Times New Roman"/>
          <w:b w:val="0"/>
          <w:sz w:val="24"/>
          <w:szCs w:val="24"/>
        </w:rPr>
        <w:tab/>
      </w:r>
      <w:r w:rsidRPr="00DA747D">
        <w:rPr>
          <w:rFonts w:ascii="Times New Roman" w:hAnsi="Times New Roman"/>
          <w:b w:val="0"/>
          <w:color w:val="auto"/>
          <w:sz w:val="24"/>
          <w:szCs w:val="24"/>
        </w:rPr>
        <w:t>(</w:t>
      </w:r>
      <w:r w:rsidRPr="00DA747D">
        <w:rPr>
          <w:rFonts w:ascii="Times New Roman" w:hAnsi="Times New Roman"/>
          <w:b w:val="0"/>
          <w:i/>
          <w:color w:val="auto"/>
          <w:sz w:val="24"/>
          <w:szCs w:val="24"/>
        </w:rPr>
        <w:fldChar w:fldCharType="begin"/>
      </w:r>
      <w:r w:rsidRPr="00DA747D">
        <w:rPr>
          <w:rFonts w:ascii="Times New Roman" w:hAnsi="Times New Roman"/>
          <w:b w:val="0"/>
          <w:color w:val="auto"/>
          <w:sz w:val="24"/>
          <w:szCs w:val="24"/>
        </w:rPr>
        <w:instrText xml:space="preserve"> SEQ ( \* ARABIC </w:instrText>
      </w:r>
      <w:r w:rsidRPr="00DA747D">
        <w:rPr>
          <w:rFonts w:ascii="Times New Roman" w:hAnsi="Times New Roman"/>
          <w:b w:val="0"/>
          <w:i/>
          <w:color w:val="auto"/>
          <w:sz w:val="24"/>
          <w:szCs w:val="24"/>
        </w:rPr>
        <w:fldChar w:fldCharType="separate"/>
      </w:r>
      <w:r w:rsidRPr="00DA747D">
        <w:rPr>
          <w:rFonts w:ascii="Times New Roman" w:hAnsi="Times New Roman"/>
          <w:b w:val="0"/>
          <w:noProof/>
          <w:color w:val="auto"/>
          <w:sz w:val="24"/>
          <w:szCs w:val="24"/>
        </w:rPr>
        <w:t>4</w:t>
      </w:r>
      <w:r w:rsidRPr="00DA747D">
        <w:rPr>
          <w:rFonts w:ascii="Times New Roman" w:hAnsi="Times New Roman"/>
          <w:b w:val="0"/>
          <w:i/>
          <w:color w:val="auto"/>
          <w:sz w:val="24"/>
          <w:szCs w:val="24"/>
        </w:rPr>
        <w:fldChar w:fldCharType="end"/>
      </w:r>
      <w:r w:rsidRPr="00DA747D">
        <w:rPr>
          <w:rFonts w:ascii="Times New Roman" w:hAnsi="Times New Roman"/>
          <w:b w:val="0"/>
          <w:color w:val="auto"/>
          <w:sz w:val="24"/>
          <w:szCs w:val="24"/>
        </w:rPr>
        <w:t>)</w:t>
      </w:r>
    </w:p>
    <w:p w:rsidR="00DA747D" w:rsidRPr="00DA747D" w:rsidRDefault="00DA747D" w:rsidP="00DA747D">
      <w:pPr>
        <w:jc w:val="both"/>
        <w:rPr>
          <w:rFonts w:ascii="Times New Roman" w:hAnsi="Times New Roman" w:cs="Times New Roman"/>
          <w:sz w:val="24"/>
          <w:szCs w:val="24"/>
          <w:lang w:val="es-ES_tradnl"/>
        </w:rPr>
      </w:pPr>
      <w:r w:rsidRPr="00DA747D">
        <w:rPr>
          <w:rFonts w:ascii="Times New Roman" w:hAnsi="Times New Roman" w:cs="Times New Roman"/>
          <w:sz w:val="24"/>
          <w:szCs w:val="24"/>
          <w:lang w:val="es-ES_tradnl"/>
        </w:rPr>
        <w:t>Para calcular el VA</w:t>
      </w:r>
      <w:r w:rsidRPr="00DA747D">
        <w:rPr>
          <w:rFonts w:ascii="Times New Roman" w:hAnsi="Times New Roman" w:cs="Times New Roman"/>
          <w:sz w:val="24"/>
          <w:szCs w:val="24"/>
          <w:vertAlign w:val="subscript"/>
          <w:lang w:val="es-ES_tradnl"/>
        </w:rPr>
        <w:t>ij</w:t>
      </w:r>
      <w:r w:rsidRPr="00DA747D">
        <w:rPr>
          <w:rFonts w:ascii="Times New Roman" w:hAnsi="Times New Roman" w:cs="Times New Roman"/>
          <w:sz w:val="24"/>
          <w:szCs w:val="24"/>
          <w:lang w:val="es-ES_tradnl"/>
        </w:rPr>
        <w:t xml:space="preserve">, se utilizó la metodología de </w:t>
      </w:r>
      <w:r w:rsidRPr="00DA747D">
        <w:rPr>
          <w:rFonts w:ascii="Times New Roman" w:hAnsi="Times New Roman" w:cs="Times New Roman"/>
          <w:sz w:val="24"/>
          <w:szCs w:val="24"/>
          <w:lang w:val="es-ES_tradnl"/>
        </w:rPr>
        <w:fldChar w:fldCharType="begin" w:fldLock="1"/>
      </w:r>
      <w:r w:rsidRPr="00DA747D">
        <w:rPr>
          <w:rFonts w:ascii="Times New Roman" w:hAnsi="Times New Roman" w:cs="Times New Roman"/>
          <w:sz w:val="24"/>
          <w:szCs w:val="24"/>
          <w:lang w:val="es-ES_tradnl"/>
        </w:rPr>
        <w:instrText>ADDIN CSL_CITATION {"citationItems":[{"id":"ITEM-1","itemData":{"author":[{"dropping-particle":"","family":"Vinajera-Zamora","given":"Andrey","non-dropping-particle":"","parse-names":false,"suffix":""},{"dropping-particle":"","family":"Marrero-Delgado","given":"Fernando","non-dropping-particle":"","parse-names":false,"suffix":""},{"dropping-particle":"","family":"Ruiz-Morales","given":"Mariana","non-dropping-particle":"","parse-names":false,"suffix":""}],"container-title":"Ingeniare. Revista chilena de ingeniería","id":"ITEM-1","issue":"3","issued":{"date-parts":[["2017"]]},"page":"535-546","title":"Método para calcular el valor agregado en cadenas de suministro de productos electromecánico","type":"article-journal","volume":"25"},"uris":["http://www.mendeley.com/documents/?uuid=e510b6ae-805c-489a-b56c-bbd6c7a37aad"]}],"mendeley":{"formattedCitation":"(Vinajera-Zamora, Marrero-Delgado, &amp; Ruiz-Morales, 2017)","manualFormatting":"Vinajera-Zamora, Marrero-Delgado y Ruiz-Morales (2017)","plainTextFormattedCitation":"(Vinajera-Zamora, Marrero-Delgado, &amp; Ruiz-Morales, 2017)","previouslyFormattedCitation":"(Vinajera-Zamora, Marrero-Delgado, &amp; Ruiz-Morales, 2017)"},"properties":{"noteIndex":0},"schema":"https://github.com/citation-style-language/schema/raw/master/csl-citation.json"}</w:instrText>
      </w:r>
      <w:r w:rsidRPr="00DA747D">
        <w:rPr>
          <w:rFonts w:ascii="Times New Roman" w:hAnsi="Times New Roman" w:cs="Times New Roman"/>
          <w:sz w:val="24"/>
          <w:szCs w:val="24"/>
          <w:lang w:val="es-ES_tradnl"/>
        </w:rPr>
        <w:fldChar w:fldCharType="separate"/>
      </w:r>
      <w:r w:rsidRPr="00DA747D">
        <w:rPr>
          <w:rFonts w:ascii="Times New Roman" w:hAnsi="Times New Roman" w:cs="Times New Roman"/>
          <w:noProof/>
          <w:sz w:val="24"/>
          <w:szCs w:val="24"/>
          <w:lang w:val="es-ES_tradnl"/>
        </w:rPr>
        <w:t>Vinajera-Zamora, Marrero-Delgado y Ruiz-Morales (2017)</w:t>
      </w:r>
      <w:r w:rsidRPr="00DA747D">
        <w:rPr>
          <w:rFonts w:ascii="Times New Roman" w:hAnsi="Times New Roman" w:cs="Times New Roman"/>
          <w:sz w:val="24"/>
          <w:szCs w:val="24"/>
          <w:lang w:val="es-ES_tradnl"/>
        </w:rPr>
        <w:fldChar w:fldCharType="end"/>
      </w:r>
      <w:r w:rsidRPr="00DA747D">
        <w:rPr>
          <w:rFonts w:ascii="Times New Roman" w:hAnsi="Times New Roman" w:cs="Times New Roman"/>
          <w:sz w:val="24"/>
          <w:szCs w:val="24"/>
          <w:lang w:val="es-ES_tradnl"/>
        </w:rPr>
        <w:t>, reflejada en las expresiones (5) y (6). El término Sw</w:t>
      </w:r>
      <w:r w:rsidRPr="00DA747D">
        <w:rPr>
          <w:rFonts w:ascii="Times New Roman" w:hAnsi="Times New Roman" w:cs="Times New Roman"/>
          <w:sz w:val="24"/>
          <w:szCs w:val="24"/>
          <w:vertAlign w:val="subscript"/>
          <w:lang w:val="es-ES_tradnl"/>
        </w:rPr>
        <w:t>ij</w:t>
      </w:r>
      <w:r w:rsidRPr="00DA747D">
        <w:rPr>
          <w:rFonts w:ascii="Times New Roman" w:hAnsi="Times New Roman" w:cs="Times New Roman"/>
          <w:sz w:val="24"/>
          <w:szCs w:val="24"/>
          <w:lang w:val="es-ES_tradnl"/>
        </w:rPr>
        <w:t xml:space="preserve"> expresa el peso específico promedio del proceso i en el producto j, es decir el nivel de importancia de un proceso en el producto que se procesa. Constituye un valor promedio de la relación de tres parámetros esenciales que son: el costo agregado por el proceso i al producto j en unidades monetarias por unidad de producto (C</w:t>
      </w:r>
      <w:r w:rsidRPr="00DA747D">
        <w:rPr>
          <w:rFonts w:ascii="Times New Roman" w:hAnsi="Times New Roman" w:cs="Times New Roman"/>
          <w:sz w:val="24"/>
          <w:szCs w:val="24"/>
          <w:vertAlign w:val="subscript"/>
          <w:lang w:val="es-ES_tradnl"/>
        </w:rPr>
        <w:t>ij</w:t>
      </w:r>
      <w:r w:rsidRPr="00DA747D">
        <w:rPr>
          <w:rFonts w:ascii="Times New Roman" w:hAnsi="Times New Roman" w:cs="Times New Roman"/>
          <w:sz w:val="24"/>
          <w:szCs w:val="24"/>
          <w:lang w:val="es-ES_tradnl"/>
        </w:rPr>
        <w:t>)</w:t>
      </w:r>
      <w:r w:rsidRPr="00DA747D">
        <w:rPr>
          <w:rFonts w:ascii="Times New Roman" w:hAnsi="Times New Roman" w:cs="Times New Roman"/>
          <w:sz w:val="24"/>
          <w:szCs w:val="24"/>
          <w:vertAlign w:val="subscript"/>
          <w:lang w:val="es-ES_tradnl"/>
        </w:rPr>
        <w:t xml:space="preserve">, </w:t>
      </w:r>
      <w:r w:rsidRPr="00DA747D">
        <w:rPr>
          <w:rFonts w:ascii="Times New Roman" w:hAnsi="Times New Roman" w:cs="Times New Roman"/>
          <w:sz w:val="24"/>
          <w:szCs w:val="24"/>
          <w:lang w:val="es-ES_tradnl"/>
        </w:rPr>
        <w:t>respecto al costo total de producto para toda la CS en las mismas unidades de medida (C</w:t>
      </w:r>
      <w:r w:rsidRPr="00DA747D">
        <w:rPr>
          <w:rFonts w:ascii="Times New Roman" w:hAnsi="Times New Roman" w:cs="Times New Roman"/>
          <w:sz w:val="24"/>
          <w:szCs w:val="24"/>
          <w:vertAlign w:val="subscript"/>
          <w:lang w:val="es-ES_tradnl"/>
        </w:rPr>
        <w:t>j</w:t>
      </w:r>
      <w:r w:rsidRPr="00DA747D">
        <w:rPr>
          <w:rFonts w:ascii="Times New Roman" w:hAnsi="Times New Roman" w:cs="Times New Roman"/>
          <w:sz w:val="24"/>
          <w:szCs w:val="24"/>
          <w:lang w:val="es-ES_tradnl"/>
        </w:rPr>
        <w:t>); tiempo de elaboración del proceso i en el producto j en unidades de tiempo por unidad de producto (t</w:t>
      </w:r>
      <w:r w:rsidRPr="00DA747D">
        <w:rPr>
          <w:rFonts w:ascii="Times New Roman" w:hAnsi="Times New Roman" w:cs="Times New Roman"/>
          <w:sz w:val="24"/>
          <w:szCs w:val="24"/>
          <w:vertAlign w:val="subscript"/>
          <w:lang w:val="es-ES_tradnl"/>
        </w:rPr>
        <w:t>ij</w:t>
      </w:r>
      <w:r w:rsidRPr="00DA747D">
        <w:rPr>
          <w:rFonts w:ascii="Times New Roman" w:hAnsi="Times New Roman" w:cs="Times New Roman"/>
          <w:sz w:val="24"/>
          <w:szCs w:val="24"/>
          <w:lang w:val="es-ES_tradnl"/>
        </w:rPr>
        <w:t>) respecto al tiempo del producto en la CS en iguales unidades de medida (T</w:t>
      </w:r>
      <w:r w:rsidRPr="00DA747D">
        <w:rPr>
          <w:rFonts w:ascii="Times New Roman" w:hAnsi="Times New Roman" w:cs="Times New Roman"/>
          <w:sz w:val="24"/>
          <w:szCs w:val="24"/>
          <w:vertAlign w:val="subscript"/>
          <w:lang w:val="es-ES_tradnl"/>
        </w:rPr>
        <w:t>j</w:t>
      </w:r>
      <w:r w:rsidRPr="00DA747D">
        <w:rPr>
          <w:rFonts w:ascii="Times New Roman" w:hAnsi="Times New Roman" w:cs="Times New Roman"/>
          <w:sz w:val="24"/>
          <w:szCs w:val="24"/>
          <w:lang w:val="es-ES_tradnl"/>
        </w:rPr>
        <w:t xml:space="preserve">) y finalmente el tiempo de retraso </w:t>
      </w:r>
      <w:r w:rsidRPr="00DA747D">
        <w:rPr>
          <w:rFonts w:ascii="Times New Roman" w:hAnsi="Times New Roman" w:cs="Times New Roman"/>
          <w:sz w:val="24"/>
          <w:szCs w:val="24"/>
          <w:lang w:val="es-ES_tradnl"/>
        </w:rPr>
        <w:lastRenderedPageBreak/>
        <w:t>promedio total del producto i en unidades de tiempo por unidad de producto  (Dt</w:t>
      </w:r>
      <w:r w:rsidRPr="00DA747D">
        <w:rPr>
          <w:rFonts w:ascii="Times New Roman" w:hAnsi="Times New Roman" w:cs="Times New Roman"/>
          <w:sz w:val="24"/>
          <w:szCs w:val="24"/>
          <w:vertAlign w:val="subscript"/>
          <w:lang w:val="es-ES_tradnl"/>
        </w:rPr>
        <w:t>ij</w:t>
      </w:r>
      <w:r w:rsidRPr="00DA747D">
        <w:rPr>
          <w:rFonts w:ascii="Times New Roman" w:hAnsi="Times New Roman" w:cs="Times New Roman"/>
          <w:sz w:val="24"/>
          <w:szCs w:val="24"/>
          <w:lang w:val="es-ES_tradnl"/>
        </w:rPr>
        <w:t xml:space="preserve">), respecto al tiempo total de retraso del producto en toda la CS en las mismas unidades (Dt). De esta forma se considera el impacto del proceso más costoso, el que más demora y el que mayores atrasos provoca. El otro término empleado es Bj, que constituye el beneficio neto del producto j en unidades monetarias por unidad de producto. </w:t>
      </w:r>
    </w:p>
    <w:p w:rsidR="00DA747D" w:rsidRPr="00DA747D" w:rsidRDefault="00DA747D" w:rsidP="00DA747D">
      <w:pPr>
        <w:pStyle w:val="Descripcin"/>
        <w:spacing w:after="0"/>
        <w:jc w:val="both"/>
        <w:rPr>
          <w:rFonts w:ascii="Times New Roman" w:hAnsi="Times New Roman"/>
          <w:b w:val="0"/>
          <w:color w:val="auto"/>
          <w:sz w:val="24"/>
          <w:szCs w:val="24"/>
        </w:rPr>
      </w:pPr>
      <w:r w:rsidRPr="00DA747D">
        <w:rPr>
          <w:rFonts w:ascii="Times New Roman" w:hAnsi="Times New Roman"/>
          <w:noProof/>
          <w:position w:val="-34"/>
          <w:sz w:val="24"/>
          <w:szCs w:val="24"/>
        </w:rPr>
        <w:object w:dxaOrig="2460" w:dyaOrig="800">
          <v:shape id="_x0000_i1029" type="#_x0000_t75" alt="" style="width:123.95pt;height:38.35pt;mso-width-percent:0;mso-height-percent:0;mso-width-percent:0;mso-height-percent:0" o:ole="">
            <v:imagedata r:id="rId18" o:title=""/>
          </v:shape>
          <o:OLEObject Type="Embed" ProgID="Equation.DSMT4" ShapeID="_x0000_i1029" DrawAspect="Content" ObjectID="_1690266007" r:id="rId19"/>
        </w:object>
      </w:r>
      <w:r w:rsidRPr="00DA747D">
        <w:rPr>
          <w:rFonts w:ascii="Times New Roman" w:hAnsi="Times New Roman"/>
          <w:color w:val="auto"/>
          <w:sz w:val="24"/>
          <w:szCs w:val="24"/>
        </w:rPr>
        <w:tab/>
      </w:r>
      <w:r w:rsidRPr="00DA747D">
        <w:rPr>
          <w:rFonts w:ascii="Times New Roman" w:hAnsi="Times New Roman"/>
          <w:sz w:val="24"/>
          <w:szCs w:val="24"/>
        </w:rPr>
        <w:tab/>
      </w:r>
      <w:r w:rsidRPr="00DA747D">
        <w:rPr>
          <w:rFonts w:ascii="Times New Roman" w:hAnsi="Times New Roman"/>
          <w:b w:val="0"/>
          <w:color w:val="auto"/>
          <w:sz w:val="24"/>
          <w:szCs w:val="24"/>
        </w:rPr>
        <w:t>(</w:t>
      </w:r>
      <w:r w:rsidRPr="00DA747D">
        <w:rPr>
          <w:rFonts w:ascii="Times New Roman" w:hAnsi="Times New Roman"/>
          <w:b w:val="0"/>
          <w:i/>
          <w:color w:val="auto"/>
          <w:sz w:val="24"/>
          <w:szCs w:val="24"/>
        </w:rPr>
        <w:fldChar w:fldCharType="begin"/>
      </w:r>
      <w:r w:rsidRPr="00DA747D">
        <w:rPr>
          <w:rFonts w:ascii="Times New Roman" w:hAnsi="Times New Roman"/>
          <w:b w:val="0"/>
          <w:color w:val="auto"/>
          <w:sz w:val="24"/>
          <w:szCs w:val="24"/>
        </w:rPr>
        <w:instrText xml:space="preserve"> SEQ ( \* ARABIC </w:instrText>
      </w:r>
      <w:r w:rsidRPr="00DA747D">
        <w:rPr>
          <w:rFonts w:ascii="Times New Roman" w:hAnsi="Times New Roman"/>
          <w:b w:val="0"/>
          <w:i/>
          <w:color w:val="auto"/>
          <w:sz w:val="24"/>
          <w:szCs w:val="24"/>
        </w:rPr>
        <w:fldChar w:fldCharType="separate"/>
      </w:r>
      <w:r w:rsidRPr="00DA747D">
        <w:rPr>
          <w:rFonts w:ascii="Times New Roman" w:hAnsi="Times New Roman"/>
          <w:b w:val="0"/>
          <w:noProof/>
          <w:color w:val="auto"/>
          <w:sz w:val="24"/>
          <w:szCs w:val="24"/>
        </w:rPr>
        <w:t>5</w:t>
      </w:r>
      <w:r w:rsidRPr="00DA747D">
        <w:rPr>
          <w:rFonts w:ascii="Times New Roman" w:hAnsi="Times New Roman"/>
          <w:b w:val="0"/>
          <w:i/>
          <w:color w:val="auto"/>
          <w:sz w:val="24"/>
          <w:szCs w:val="24"/>
        </w:rPr>
        <w:fldChar w:fldCharType="end"/>
      </w:r>
      <w:r w:rsidRPr="00DA747D">
        <w:rPr>
          <w:rFonts w:ascii="Times New Roman" w:hAnsi="Times New Roman"/>
          <w:b w:val="0"/>
          <w:color w:val="auto"/>
          <w:sz w:val="24"/>
          <w:szCs w:val="24"/>
        </w:rPr>
        <w:t>)</w:t>
      </w:r>
    </w:p>
    <w:p w:rsidR="00DA747D" w:rsidRPr="00DA747D" w:rsidRDefault="00DA747D" w:rsidP="00DA747D">
      <w:pPr>
        <w:pStyle w:val="Descripcin"/>
        <w:spacing w:after="0"/>
        <w:jc w:val="both"/>
        <w:rPr>
          <w:rFonts w:ascii="Times New Roman" w:hAnsi="Times New Roman"/>
          <w:b w:val="0"/>
          <w:color w:val="000000" w:themeColor="text1"/>
          <w:sz w:val="24"/>
          <w:szCs w:val="24"/>
        </w:rPr>
      </w:pPr>
      <w:r w:rsidRPr="00DA747D">
        <w:rPr>
          <w:rFonts w:ascii="Times New Roman" w:hAnsi="Times New Roman"/>
          <w:noProof/>
          <w:position w:val="-14"/>
          <w:sz w:val="24"/>
          <w:szCs w:val="24"/>
          <w:lang w:eastAsia="es-ES"/>
        </w:rPr>
        <w:object w:dxaOrig="1920" w:dyaOrig="390">
          <v:shape id="_x0000_i1030" type="#_x0000_t75" alt="" style="width:97.4pt;height:20.05pt;mso-width-percent:0;mso-height-percent:0;mso-width-percent:0;mso-height-percent:0" o:ole="">
            <v:imagedata r:id="rId20" o:title=""/>
          </v:shape>
          <o:OLEObject Type="Embed" ProgID="Equation.DSMT4" ShapeID="_x0000_i1030" DrawAspect="Content" ObjectID="_1690266008" r:id="rId21"/>
        </w:object>
      </w:r>
      <w:r w:rsidRPr="00DA747D">
        <w:rPr>
          <w:rFonts w:ascii="Times New Roman" w:hAnsi="Times New Roman"/>
          <w:sz w:val="24"/>
          <w:szCs w:val="24"/>
          <w:lang w:eastAsia="es-ES"/>
        </w:rPr>
        <w:tab/>
      </w:r>
      <w:r w:rsidRPr="00DA747D">
        <w:rPr>
          <w:rFonts w:ascii="Times New Roman" w:hAnsi="Times New Roman"/>
          <w:sz w:val="24"/>
          <w:szCs w:val="24"/>
          <w:lang w:eastAsia="es-ES"/>
        </w:rPr>
        <w:tab/>
      </w:r>
      <w:r w:rsidRPr="00DA747D">
        <w:rPr>
          <w:rFonts w:ascii="Times New Roman" w:hAnsi="Times New Roman"/>
          <w:sz w:val="24"/>
          <w:szCs w:val="24"/>
          <w:lang w:eastAsia="es-ES"/>
        </w:rPr>
        <w:tab/>
      </w:r>
      <w:r w:rsidRPr="00DA747D">
        <w:rPr>
          <w:rFonts w:ascii="Times New Roman" w:hAnsi="Times New Roman"/>
          <w:b w:val="0"/>
          <w:color w:val="auto"/>
          <w:sz w:val="24"/>
          <w:szCs w:val="24"/>
        </w:rPr>
        <w:t>(</w:t>
      </w:r>
      <w:r w:rsidRPr="00DA747D">
        <w:rPr>
          <w:rFonts w:ascii="Times New Roman" w:hAnsi="Times New Roman"/>
          <w:b w:val="0"/>
          <w:color w:val="auto"/>
          <w:sz w:val="24"/>
          <w:szCs w:val="24"/>
        </w:rPr>
        <w:fldChar w:fldCharType="begin"/>
      </w:r>
      <w:r w:rsidRPr="00DA747D">
        <w:rPr>
          <w:rFonts w:ascii="Times New Roman" w:hAnsi="Times New Roman"/>
          <w:b w:val="0"/>
          <w:color w:val="auto"/>
          <w:sz w:val="24"/>
          <w:szCs w:val="24"/>
        </w:rPr>
        <w:instrText xml:space="preserve"> SEQ ( \* ARABIC </w:instrText>
      </w:r>
      <w:r w:rsidRPr="00DA747D">
        <w:rPr>
          <w:rFonts w:ascii="Times New Roman" w:hAnsi="Times New Roman"/>
          <w:b w:val="0"/>
          <w:color w:val="auto"/>
          <w:sz w:val="24"/>
          <w:szCs w:val="24"/>
        </w:rPr>
        <w:fldChar w:fldCharType="separate"/>
      </w:r>
      <w:r w:rsidRPr="00DA747D">
        <w:rPr>
          <w:rFonts w:ascii="Times New Roman" w:hAnsi="Times New Roman"/>
          <w:b w:val="0"/>
          <w:color w:val="auto"/>
          <w:sz w:val="24"/>
          <w:szCs w:val="24"/>
        </w:rPr>
        <w:t>6</w:t>
      </w:r>
      <w:r w:rsidRPr="00DA747D">
        <w:rPr>
          <w:rFonts w:ascii="Times New Roman" w:hAnsi="Times New Roman"/>
          <w:b w:val="0"/>
          <w:color w:val="auto"/>
          <w:sz w:val="24"/>
          <w:szCs w:val="24"/>
        </w:rPr>
        <w:fldChar w:fldCharType="end"/>
      </w:r>
      <w:r w:rsidRPr="00DA747D">
        <w:rPr>
          <w:rFonts w:ascii="Times New Roman" w:hAnsi="Times New Roman"/>
          <w:b w:val="0"/>
          <w:color w:val="auto"/>
          <w:sz w:val="24"/>
          <w:szCs w:val="24"/>
        </w:rPr>
        <w:t>)</w:t>
      </w:r>
    </w:p>
    <w:p w:rsidR="00DA747D" w:rsidRPr="00DA747D" w:rsidRDefault="00DA747D" w:rsidP="00DA747D">
      <w:pPr>
        <w:pStyle w:val="Prrafodelista"/>
        <w:numPr>
          <w:ilvl w:val="0"/>
          <w:numId w:val="6"/>
        </w:numPr>
        <w:autoSpaceDE w:val="0"/>
        <w:autoSpaceDN w:val="0"/>
        <w:adjustRightInd w:val="0"/>
        <w:spacing w:line="240" w:lineRule="auto"/>
        <w:jc w:val="both"/>
        <w:rPr>
          <w:rFonts w:ascii="Times New Roman" w:hAnsi="Times New Roman" w:cs="Times New Roman"/>
          <w:sz w:val="24"/>
          <w:szCs w:val="24"/>
          <w:lang w:val="es-ES_tradnl"/>
        </w:rPr>
      </w:pPr>
      <w:r w:rsidRPr="00DA747D">
        <w:rPr>
          <w:rFonts w:ascii="Times New Roman" w:hAnsi="Times New Roman" w:cs="Times New Roman"/>
          <w:sz w:val="24"/>
          <w:szCs w:val="24"/>
          <w:lang w:val="es-ES_tradnl"/>
        </w:rPr>
        <w:t xml:space="preserve">Productividad. En este criterio se propuso el Análisis Envolvente de Datos (DEA, por sus siglas en inglés) de </w:t>
      </w:r>
      <w:r w:rsidRPr="00DA747D">
        <w:rPr>
          <w:rFonts w:ascii="Times New Roman" w:hAnsi="Times New Roman" w:cs="Times New Roman"/>
          <w:sz w:val="24"/>
          <w:szCs w:val="24"/>
          <w:lang w:val="es-ES_tradnl"/>
        </w:rPr>
        <w:fldChar w:fldCharType="begin" w:fldLock="1"/>
      </w:r>
      <w:r w:rsidRPr="00DA747D">
        <w:rPr>
          <w:rFonts w:ascii="Times New Roman" w:hAnsi="Times New Roman" w:cs="Times New Roman"/>
          <w:sz w:val="24"/>
          <w:szCs w:val="24"/>
          <w:lang w:val="es-ES_tradnl"/>
        </w:rPr>
        <w:instrText>ADDIN CSL_CITATION {"citationItems":[{"id":"ITEM-1","itemData":{"ISBN":"0377-2217","author":[{"dropping-particle":"","family":"Charnes","given":"Abraham","non-dropping-particle":"","parse-names":false,"suffix":""},{"dropping-particle":"","family":"Cooper","given":"William W","non-dropping-particle":"","parse-names":false,"suffix":""},{"dropping-particle":"","family":"Rhodes","given":"Edwardo","non-dropping-particle":"","parse-names":false,"suffix":""}],"container-title":"European Journal of Operational Research","id":"ITEM-1","issue":"6","issued":{"date-parts":[["1978"]]},"page":"429-444","title":"Measuring the efficiency of decision making units","type":"article-journal","volume":"2"},"uris":["http://www.mendeley.com/documents/?uuid=2dcad691-00b2-4c96-ab7e-cc5bdeaa6cb8"]}],"mendeley":{"formattedCitation":"(Charnes, Cooper, &amp; Rhodes, 1978)","plainTextFormattedCitation":"(Charnes, Cooper, &amp; Rhodes, 1978)","previouslyFormattedCitation":"(Charnes, Cooper, &amp; Rhodes, 1978)"},"properties":{"noteIndex":0},"schema":"https://github.com/citation-style-language/schema/raw/master/csl-citation.json"}</w:instrText>
      </w:r>
      <w:r w:rsidRPr="00DA747D">
        <w:rPr>
          <w:rFonts w:ascii="Times New Roman" w:hAnsi="Times New Roman" w:cs="Times New Roman"/>
          <w:sz w:val="24"/>
          <w:szCs w:val="24"/>
          <w:lang w:val="es-ES_tradnl"/>
        </w:rPr>
        <w:fldChar w:fldCharType="separate"/>
      </w:r>
      <w:r w:rsidRPr="00DA747D">
        <w:rPr>
          <w:rFonts w:ascii="Times New Roman" w:hAnsi="Times New Roman" w:cs="Times New Roman"/>
          <w:sz w:val="24"/>
          <w:szCs w:val="24"/>
          <w:lang w:val="es-ES_tradnl"/>
        </w:rPr>
        <w:t>Charnes, Cooper y Rhodes (1978)</w:t>
      </w:r>
      <w:r w:rsidRPr="00DA747D">
        <w:rPr>
          <w:rFonts w:ascii="Times New Roman" w:hAnsi="Times New Roman" w:cs="Times New Roman"/>
          <w:sz w:val="24"/>
          <w:szCs w:val="24"/>
          <w:lang w:val="es-ES_tradnl"/>
        </w:rPr>
        <w:fldChar w:fldCharType="end"/>
      </w:r>
      <w:r w:rsidRPr="00DA747D">
        <w:rPr>
          <w:rFonts w:ascii="Times New Roman" w:hAnsi="Times New Roman" w:cs="Times New Roman"/>
          <w:sz w:val="24"/>
          <w:szCs w:val="24"/>
          <w:lang w:val="es-ES_tradnl"/>
        </w:rPr>
        <w:t>, que parte de identificar las entradas (materias primas, energía y otros insumos) y las salidas (por ejemplo productos y recursos financieros) que son analizados para establecer pesos de esas entradas y salidas. Con estos pesos se calculan las eficiencias en el consumo de los recursos que se ubican en una matriz de eficiencia cruzada y se determina el valor promedio mediante la expresión (7), donde (Pj) es la productividad del producto j en la CS y eij es la eficiencia promedio del proceso i en el producto j. El valor de (Pj) debe fluctuar entre 0 y 1, siendo mayor la productividad en la medida que se acerca al extremo superior.</w:t>
      </w:r>
    </w:p>
    <w:p w:rsidR="00DA747D" w:rsidRPr="00DA747D" w:rsidRDefault="00DA747D" w:rsidP="00DA747D">
      <w:pPr>
        <w:pStyle w:val="Descripcin"/>
        <w:spacing w:after="0"/>
        <w:jc w:val="both"/>
        <w:rPr>
          <w:rFonts w:ascii="Times New Roman" w:hAnsi="Times New Roman"/>
          <w:sz w:val="24"/>
          <w:szCs w:val="24"/>
        </w:rPr>
      </w:pPr>
      <w:r w:rsidRPr="00DA747D">
        <w:rPr>
          <w:rFonts w:ascii="Times New Roman" w:hAnsi="Times New Roman"/>
          <w:noProof/>
          <w:position w:val="-28"/>
          <w:sz w:val="24"/>
          <w:szCs w:val="24"/>
        </w:rPr>
        <w:object w:dxaOrig="1219" w:dyaOrig="680">
          <v:shape id="_x0000_i1031" type="#_x0000_t75" alt="" style="width:61.4pt;height:33.65pt;mso-width-percent:0;mso-height-percent:0;mso-width-percent:0;mso-height-percent:0" o:ole="">
            <v:imagedata r:id="rId22" o:title=""/>
          </v:shape>
          <o:OLEObject Type="Embed" ProgID="Equation.DSMT4" ShapeID="_x0000_i1031" DrawAspect="Content" ObjectID="_1690266009" r:id="rId23"/>
        </w:object>
      </w:r>
      <w:r w:rsidRPr="00DA747D">
        <w:rPr>
          <w:rFonts w:ascii="Times New Roman" w:hAnsi="Times New Roman"/>
          <w:sz w:val="24"/>
          <w:szCs w:val="24"/>
        </w:rPr>
        <w:tab/>
      </w:r>
      <w:r w:rsidRPr="00DA747D">
        <w:rPr>
          <w:rFonts w:ascii="Times New Roman" w:hAnsi="Times New Roman"/>
          <w:sz w:val="24"/>
          <w:szCs w:val="24"/>
        </w:rPr>
        <w:tab/>
      </w:r>
      <w:r w:rsidRPr="00DA747D">
        <w:rPr>
          <w:rFonts w:ascii="Times New Roman" w:hAnsi="Times New Roman"/>
          <w:sz w:val="24"/>
          <w:szCs w:val="24"/>
        </w:rPr>
        <w:tab/>
      </w:r>
      <w:r w:rsidRPr="00DA747D">
        <w:rPr>
          <w:rFonts w:ascii="Times New Roman" w:hAnsi="Times New Roman"/>
          <w:sz w:val="24"/>
          <w:szCs w:val="24"/>
        </w:rPr>
        <w:tab/>
      </w:r>
      <w:r w:rsidRPr="00DA747D">
        <w:rPr>
          <w:rFonts w:ascii="Times New Roman" w:hAnsi="Times New Roman"/>
          <w:b w:val="0"/>
          <w:color w:val="auto"/>
          <w:sz w:val="24"/>
          <w:szCs w:val="24"/>
        </w:rPr>
        <w:t>(</w:t>
      </w:r>
      <w:r w:rsidRPr="00DA747D">
        <w:rPr>
          <w:rFonts w:ascii="Times New Roman" w:hAnsi="Times New Roman"/>
          <w:b w:val="0"/>
          <w:i/>
          <w:color w:val="auto"/>
          <w:sz w:val="24"/>
          <w:szCs w:val="24"/>
        </w:rPr>
        <w:fldChar w:fldCharType="begin"/>
      </w:r>
      <w:r w:rsidRPr="00DA747D">
        <w:rPr>
          <w:rFonts w:ascii="Times New Roman" w:hAnsi="Times New Roman"/>
          <w:b w:val="0"/>
          <w:color w:val="auto"/>
          <w:sz w:val="24"/>
          <w:szCs w:val="24"/>
        </w:rPr>
        <w:instrText xml:space="preserve"> SEQ ( \* ARABIC </w:instrText>
      </w:r>
      <w:r w:rsidRPr="00DA747D">
        <w:rPr>
          <w:rFonts w:ascii="Times New Roman" w:hAnsi="Times New Roman"/>
          <w:b w:val="0"/>
          <w:i/>
          <w:color w:val="auto"/>
          <w:sz w:val="24"/>
          <w:szCs w:val="24"/>
        </w:rPr>
        <w:fldChar w:fldCharType="separate"/>
      </w:r>
      <w:r w:rsidRPr="00DA747D">
        <w:rPr>
          <w:rFonts w:ascii="Times New Roman" w:hAnsi="Times New Roman"/>
          <w:b w:val="0"/>
          <w:noProof/>
          <w:color w:val="auto"/>
          <w:sz w:val="24"/>
          <w:szCs w:val="24"/>
        </w:rPr>
        <w:t>7</w:t>
      </w:r>
      <w:r w:rsidRPr="00DA747D">
        <w:rPr>
          <w:rFonts w:ascii="Times New Roman" w:hAnsi="Times New Roman"/>
          <w:b w:val="0"/>
          <w:i/>
          <w:color w:val="auto"/>
          <w:sz w:val="24"/>
          <w:szCs w:val="24"/>
        </w:rPr>
        <w:fldChar w:fldCharType="end"/>
      </w:r>
      <w:r w:rsidRPr="00DA747D">
        <w:rPr>
          <w:rFonts w:ascii="Times New Roman" w:hAnsi="Times New Roman"/>
          <w:b w:val="0"/>
          <w:color w:val="auto"/>
          <w:sz w:val="24"/>
          <w:szCs w:val="24"/>
        </w:rPr>
        <w:t>)</w:t>
      </w:r>
    </w:p>
    <w:p w:rsidR="00DA747D" w:rsidRPr="00DA747D" w:rsidRDefault="00DA747D" w:rsidP="00DA747D">
      <w:pPr>
        <w:pStyle w:val="Prrafodelista"/>
        <w:numPr>
          <w:ilvl w:val="0"/>
          <w:numId w:val="6"/>
        </w:numPr>
        <w:autoSpaceDE w:val="0"/>
        <w:autoSpaceDN w:val="0"/>
        <w:adjustRightInd w:val="0"/>
        <w:spacing w:line="240" w:lineRule="auto"/>
        <w:jc w:val="both"/>
        <w:rPr>
          <w:rFonts w:ascii="Times New Roman" w:hAnsi="Times New Roman" w:cs="Times New Roman"/>
          <w:sz w:val="24"/>
          <w:szCs w:val="24"/>
          <w:lang w:val="es-ES_tradnl"/>
        </w:rPr>
      </w:pPr>
      <w:r w:rsidRPr="00DA747D">
        <w:rPr>
          <w:rFonts w:ascii="Times New Roman" w:hAnsi="Times New Roman" w:cs="Times New Roman"/>
          <w:sz w:val="24"/>
          <w:szCs w:val="24"/>
          <w:lang w:val="es-ES_tradnl"/>
        </w:rPr>
        <w:t>Rentabilidad. La rentabilidad debe ser calculada utilizando el modelo DUPONT de rendimiento sobre la inversión (ROI, por sus siglas en inglés) a través de la expresión (8), donde Np son las ganancias netas y A los activos, ambos expresados en unidades monetarias totales.</w:t>
      </w:r>
    </w:p>
    <w:p w:rsidR="00DA747D" w:rsidRPr="00DA747D" w:rsidRDefault="00DA747D" w:rsidP="00DA747D">
      <w:pPr>
        <w:pStyle w:val="Descripcin"/>
        <w:spacing w:after="0"/>
        <w:jc w:val="both"/>
        <w:rPr>
          <w:rFonts w:ascii="Times New Roman" w:hAnsi="Times New Roman"/>
          <w:b w:val="0"/>
          <w:color w:val="000000"/>
          <w:sz w:val="24"/>
          <w:szCs w:val="24"/>
        </w:rPr>
      </w:pPr>
      <w:r w:rsidRPr="00DA747D">
        <w:rPr>
          <w:rFonts w:ascii="Times New Roman" w:hAnsi="Times New Roman"/>
          <w:noProof/>
          <w:position w:val="-24"/>
          <w:sz w:val="24"/>
          <w:szCs w:val="24"/>
        </w:rPr>
        <w:object w:dxaOrig="1060" w:dyaOrig="620">
          <v:shape id="_x0000_i1032" type="#_x0000_t75" alt="" style="width:47.8pt;height:28.9pt;mso-width-percent:0;mso-height-percent:0;mso-width-percent:0;mso-height-percent:0" o:ole="">
            <v:imagedata r:id="rId24" o:title=""/>
          </v:shape>
          <o:OLEObject Type="Embed" ProgID="Equation.DSMT4" ShapeID="_x0000_i1032" DrawAspect="Content" ObjectID="_1690266010" r:id="rId25"/>
        </w:object>
      </w:r>
      <w:r w:rsidRPr="00DA747D">
        <w:rPr>
          <w:rFonts w:ascii="Times New Roman" w:hAnsi="Times New Roman"/>
          <w:sz w:val="24"/>
          <w:szCs w:val="24"/>
        </w:rPr>
        <w:tab/>
      </w:r>
      <w:r w:rsidRPr="00DA747D">
        <w:rPr>
          <w:rFonts w:ascii="Times New Roman" w:hAnsi="Times New Roman"/>
          <w:sz w:val="24"/>
          <w:szCs w:val="24"/>
        </w:rPr>
        <w:tab/>
      </w:r>
      <w:r w:rsidRPr="00DA747D">
        <w:rPr>
          <w:rFonts w:ascii="Times New Roman" w:hAnsi="Times New Roman"/>
          <w:sz w:val="24"/>
          <w:szCs w:val="24"/>
        </w:rPr>
        <w:tab/>
      </w:r>
      <w:r w:rsidRPr="00DA747D">
        <w:rPr>
          <w:rFonts w:ascii="Times New Roman" w:hAnsi="Times New Roman"/>
          <w:sz w:val="24"/>
          <w:szCs w:val="24"/>
        </w:rPr>
        <w:tab/>
      </w:r>
      <w:r w:rsidRPr="00DA747D">
        <w:rPr>
          <w:rFonts w:ascii="Times New Roman" w:hAnsi="Times New Roman"/>
          <w:b w:val="0"/>
          <w:color w:val="000000"/>
          <w:sz w:val="24"/>
          <w:szCs w:val="24"/>
        </w:rPr>
        <w:t>(</w:t>
      </w:r>
      <w:r w:rsidRPr="00DA747D">
        <w:rPr>
          <w:rFonts w:ascii="Times New Roman" w:hAnsi="Times New Roman"/>
          <w:b w:val="0"/>
          <w:i/>
          <w:iCs/>
          <w:color w:val="000000"/>
          <w:sz w:val="24"/>
          <w:szCs w:val="24"/>
        </w:rPr>
        <w:fldChar w:fldCharType="begin"/>
      </w:r>
      <w:r w:rsidRPr="00DA747D">
        <w:rPr>
          <w:rFonts w:ascii="Times New Roman" w:hAnsi="Times New Roman"/>
          <w:b w:val="0"/>
          <w:color w:val="000000"/>
          <w:sz w:val="24"/>
          <w:szCs w:val="24"/>
        </w:rPr>
        <w:instrText xml:space="preserve"> SEQ ( \* ARABIC </w:instrText>
      </w:r>
      <w:r w:rsidRPr="00DA747D">
        <w:rPr>
          <w:rFonts w:ascii="Times New Roman" w:hAnsi="Times New Roman"/>
          <w:b w:val="0"/>
          <w:i/>
          <w:iCs/>
          <w:color w:val="000000"/>
          <w:sz w:val="24"/>
          <w:szCs w:val="24"/>
        </w:rPr>
        <w:fldChar w:fldCharType="separate"/>
      </w:r>
      <w:r w:rsidRPr="00DA747D">
        <w:rPr>
          <w:rFonts w:ascii="Times New Roman" w:hAnsi="Times New Roman"/>
          <w:b w:val="0"/>
          <w:noProof/>
          <w:color w:val="000000"/>
          <w:sz w:val="24"/>
          <w:szCs w:val="24"/>
        </w:rPr>
        <w:t>8</w:t>
      </w:r>
      <w:r w:rsidRPr="00DA747D">
        <w:rPr>
          <w:rFonts w:ascii="Times New Roman" w:hAnsi="Times New Roman"/>
          <w:b w:val="0"/>
          <w:i/>
          <w:iCs/>
          <w:color w:val="000000"/>
          <w:sz w:val="24"/>
          <w:szCs w:val="24"/>
        </w:rPr>
        <w:fldChar w:fldCharType="end"/>
      </w:r>
      <w:r w:rsidRPr="00DA747D">
        <w:rPr>
          <w:rFonts w:ascii="Times New Roman" w:hAnsi="Times New Roman"/>
          <w:b w:val="0"/>
          <w:color w:val="000000"/>
          <w:sz w:val="24"/>
          <w:szCs w:val="24"/>
        </w:rPr>
        <w:t>)</w:t>
      </w:r>
    </w:p>
    <w:p w:rsidR="00DA747D" w:rsidRPr="00DA747D" w:rsidRDefault="00DA747D" w:rsidP="00DA747D">
      <w:pPr>
        <w:pStyle w:val="Prrafodelista"/>
        <w:numPr>
          <w:ilvl w:val="0"/>
          <w:numId w:val="6"/>
        </w:numPr>
        <w:autoSpaceDE w:val="0"/>
        <w:autoSpaceDN w:val="0"/>
        <w:adjustRightInd w:val="0"/>
        <w:spacing w:line="240" w:lineRule="auto"/>
        <w:jc w:val="both"/>
        <w:rPr>
          <w:rFonts w:ascii="Times New Roman" w:hAnsi="Times New Roman" w:cs="Times New Roman"/>
          <w:sz w:val="24"/>
          <w:szCs w:val="24"/>
          <w:lang w:val="es-ES_tradnl"/>
        </w:rPr>
      </w:pPr>
      <w:r w:rsidRPr="00DA747D">
        <w:rPr>
          <w:rFonts w:ascii="Times New Roman" w:hAnsi="Times New Roman" w:cs="Times New Roman"/>
          <w:sz w:val="24"/>
          <w:szCs w:val="24"/>
          <w:lang w:val="es-ES_tradnl"/>
        </w:rPr>
        <w:t xml:space="preserve">Impacto ambiental. Para el análisis del impacto ambiental fue utilizada la metodología del ACV. Para ello se procedió al empleo del modelo del DEA, resultando en el procedimiento ACV+DEA propuesto por </w:t>
      </w:r>
      <w:r w:rsidRPr="00DA747D">
        <w:rPr>
          <w:rFonts w:ascii="Times New Roman" w:hAnsi="Times New Roman" w:cs="Times New Roman"/>
          <w:sz w:val="24"/>
          <w:szCs w:val="24"/>
          <w:lang w:val="es-ES_tradnl"/>
        </w:rPr>
        <w:fldChar w:fldCharType="begin" w:fldLock="1"/>
      </w:r>
      <w:r w:rsidRPr="00DA747D">
        <w:rPr>
          <w:rFonts w:ascii="Times New Roman" w:hAnsi="Times New Roman" w:cs="Times New Roman"/>
          <w:sz w:val="24"/>
          <w:szCs w:val="24"/>
          <w:lang w:val="es-ES_tradnl"/>
        </w:rPr>
        <w:instrText>ADDIN CSL_CITATION {"citationItems":[{"id":"ITEM-1","itemData":{"DOI":"10.1007/s11367-010-0154-9","ISBN":"1136701001","ISSN":"09483349","author":[{"dropping-particle":"","family":"Vázquez-Rowe","given":"Ian","non-dropping-particle":"","parse-names":false,"suffix":""},{"dropping-particle":"","family":"Iribarren","given":"Diego","non-dropping-particle":"","parse-names":false,"suffix":""},{"dropping-particle":"","family":"Moreira","given":"Maria Teresa","non-dropping-particle":"","parse-names":false,"suffix":""},{"dropping-particle":"","family":"Feijoo","given":"Gumersindo","non-dropping-particle":"","parse-names":false,"suffix":""}],"container-title":"International Journal of Life Cycle Assessment","id":"ITEM-1","issue":"3","issued":{"date-parts":[["2010"]]},"page":"272-283","title":"Combined application of life cycle assessment and data envelopment analysis as a methodological approach for the assessment of fisheries","type":"article-journal","volume":"15"},"uris":["http://www.mendeley.com/documents/?uuid=3bf85b74-0c52-4331-acf5-4f78262546c5"]}],"mendeley":{"formattedCitation":"(Vázquez-Rowe, Iribarren, Moreira, &amp; Feijoo, 2010)","plainTextFormattedCitation":"(Vázquez-Rowe, Iribarren, Moreira, &amp; Feijoo, 2010)","previouslyFormattedCitation":"(Vázquez-Rowe, Iribarren, Moreira, &amp; Feijoo, 2010)"},"properties":{"noteIndex":0},"schema":"https://github.com/citation-style-language/schema/raw/master/csl-citation.json"}</w:instrText>
      </w:r>
      <w:r w:rsidRPr="00DA747D">
        <w:rPr>
          <w:rFonts w:ascii="Times New Roman" w:hAnsi="Times New Roman" w:cs="Times New Roman"/>
          <w:sz w:val="24"/>
          <w:szCs w:val="24"/>
          <w:lang w:val="es-ES_tradnl"/>
        </w:rPr>
        <w:fldChar w:fldCharType="separate"/>
      </w:r>
      <w:r w:rsidRPr="00DA747D">
        <w:rPr>
          <w:rFonts w:ascii="Times New Roman" w:hAnsi="Times New Roman" w:cs="Times New Roman"/>
          <w:sz w:val="24"/>
          <w:szCs w:val="24"/>
          <w:lang w:val="es-ES_tradnl"/>
        </w:rPr>
        <w:t>(Vázquez-Rowe, Iribarren, Moreira y Feijoo, 2010)</w:t>
      </w:r>
      <w:r w:rsidRPr="00DA747D">
        <w:rPr>
          <w:rFonts w:ascii="Times New Roman" w:hAnsi="Times New Roman" w:cs="Times New Roman"/>
          <w:sz w:val="24"/>
          <w:szCs w:val="24"/>
          <w:lang w:val="es-ES_tradnl"/>
        </w:rPr>
        <w:fldChar w:fldCharType="end"/>
      </w:r>
      <w:r w:rsidRPr="00DA747D">
        <w:rPr>
          <w:rFonts w:ascii="Times New Roman" w:hAnsi="Times New Roman" w:cs="Times New Roman"/>
          <w:sz w:val="24"/>
          <w:szCs w:val="24"/>
          <w:lang w:val="es-ES_tradnl"/>
        </w:rPr>
        <w:t xml:space="preserve">. Sin embargo, para el presente estudio se le realizaron otras modificaciones a este procedimiento quedando formado por los pasos siguientes: 1) obtener los datos que necesitan ser incluidos en el inventario de ciclo de vida; 2) caracterización ambiental de los procesos, 3) calcular la eco-eficiencia de los procesos. </w:t>
      </w:r>
    </w:p>
    <w:p w:rsidR="00DA747D" w:rsidRPr="00DA747D" w:rsidRDefault="00DA747D" w:rsidP="00DA747D">
      <w:pPr>
        <w:jc w:val="both"/>
        <w:rPr>
          <w:rFonts w:ascii="Times New Roman" w:hAnsi="Times New Roman" w:cs="Times New Roman"/>
          <w:sz w:val="24"/>
          <w:szCs w:val="24"/>
          <w:lang w:val="es-ES_tradnl"/>
        </w:rPr>
      </w:pPr>
      <w:r w:rsidRPr="00DA747D">
        <w:rPr>
          <w:rFonts w:ascii="Times New Roman" w:hAnsi="Times New Roman" w:cs="Times New Roman"/>
          <w:sz w:val="24"/>
          <w:szCs w:val="24"/>
          <w:lang w:val="es-ES_tradnl"/>
        </w:rPr>
        <w:t xml:space="preserve">Las mencionadas modificaciones fueron: la primera, en el tercer paso, que coincide con  el tercer paso del procedimiento ACV+DEA, se aplicó el modelo propuesto por  </w:t>
      </w:r>
      <w:r w:rsidRPr="00DA747D">
        <w:rPr>
          <w:rFonts w:ascii="Times New Roman" w:hAnsi="Times New Roman" w:cs="Times New Roman"/>
          <w:sz w:val="24"/>
          <w:szCs w:val="24"/>
          <w:lang w:val="es-ES_tradnl"/>
        </w:rPr>
        <w:fldChar w:fldCharType="begin" w:fldLock="1"/>
      </w:r>
      <w:r w:rsidRPr="00DA747D">
        <w:rPr>
          <w:rFonts w:ascii="Times New Roman" w:hAnsi="Times New Roman" w:cs="Times New Roman"/>
          <w:sz w:val="24"/>
          <w:szCs w:val="24"/>
          <w:lang w:val="es-ES_tradnl"/>
        </w:rPr>
        <w:instrText>ADDIN CSL_CITATION {"citationItems":[{"id":"ITEM-1","itemData":{"DOI":"10.1007/s10666-007-9134-2","ISBN":"1420-2026","ISSN":"14202026","abstract":"Several papers have studied the eco-efficiency of manufacturing systems to address strategic socioeconomic issues in the context of sustainability analysis. Their goal has been to take into account not only environmental impact aspects throughout the whole life cycle but also to incorporate the associated economic value as well, thus, giving a comprehensive vision of both factors. This paper focuses on different commonplace household electric appliances, comparing their eco-efficiency computed using a data envelopment analysis model. We consider the retail price as a measure of the product's economic value and the ecopoint LCA score as the assessment of its environmental impact. We conclude that cell phones and the bulky analyzed appliances have the highest eco-efficiency scores, whereas the rest would require a more environmentally friendly redesign and/or an increase in their perceived value to improve their eco-efficiency.","author":[{"dropping-particle":"","family":"Barba-Gutiérrez","given":"Y.","non-dropping-particle":"","parse-names":false,"suffix":""},{"dropping-particle":"","family":"Adenso-Díaz","given":"B.","non-dropping-particle":"","parse-names":false,"suffix":""},{"dropping-particle":"","family":"Lozano","given":"S.","non-dropping-particle":"","parse-names":false,"suffix":""}],"container-title":"Environmental Modeling and Assessment","id":"ITEM-1","issue":"4","issued":{"date-parts":[["2009"]]},"page":"439-447","title":"Eco-efficiency of electric and electronic appliances: A data envelopment analysis (DEA)","type":"article-journal","volume":"14"},"uris":["http://www.mendeley.com/documents/?uuid=dc90ec3f-544c-4e9d-b05b-f41a936c21ee"]}],"mendeley":{"formattedCitation":"(Barba-Gutiérrez, Adenso-Díaz, &amp; Lozano, 2009)","manualFormatting":"Barba-Gutiérrez, Adenso-Díaz y Lozano (2009)","plainTextFormattedCitation":"(Barba-Gutiérrez, Adenso-Díaz, &amp; Lozano, 2009)","previouslyFormattedCitation":"(Barba-Gutiérrez, Adenso-Díaz, &amp; Lozano, 2009)"},"properties":{"noteIndex":0},"schema":"https://github.com/citation-style-language/schema/raw/master/csl-citation.json"}</w:instrText>
      </w:r>
      <w:r w:rsidRPr="00DA747D">
        <w:rPr>
          <w:rFonts w:ascii="Times New Roman" w:hAnsi="Times New Roman" w:cs="Times New Roman"/>
          <w:sz w:val="24"/>
          <w:szCs w:val="24"/>
          <w:lang w:val="es-ES_tradnl"/>
        </w:rPr>
        <w:fldChar w:fldCharType="separate"/>
      </w:r>
      <w:r w:rsidRPr="00DA747D">
        <w:rPr>
          <w:rFonts w:ascii="Times New Roman" w:hAnsi="Times New Roman" w:cs="Times New Roman"/>
          <w:noProof/>
          <w:sz w:val="24"/>
          <w:szCs w:val="24"/>
          <w:lang w:val="es-ES_tradnl"/>
        </w:rPr>
        <w:t>Barba-Gutiérrez, Adenso-Díaz y Lozano (2009)</w:t>
      </w:r>
      <w:r w:rsidRPr="00DA747D">
        <w:rPr>
          <w:rFonts w:ascii="Times New Roman" w:hAnsi="Times New Roman" w:cs="Times New Roman"/>
          <w:sz w:val="24"/>
          <w:szCs w:val="24"/>
          <w:lang w:val="es-ES_tradnl"/>
        </w:rPr>
        <w:fldChar w:fldCharType="end"/>
      </w:r>
      <w:r w:rsidRPr="00DA747D">
        <w:rPr>
          <w:rFonts w:ascii="Times New Roman" w:hAnsi="Times New Roman" w:cs="Times New Roman"/>
          <w:sz w:val="24"/>
          <w:szCs w:val="24"/>
          <w:lang w:val="es-ES_tradnl"/>
        </w:rPr>
        <w:t xml:space="preserve"> que toma como datos de entradas los impactos ambientales y no los recursos empleados como el método de </w:t>
      </w:r>
      <w:r w:rsidRPr="00DA747D">
        <w:rPr>
          <w:rFonts w:ascii="Times New Roman" w:hAnsi="Times New Roman" w:cs="Times New Roman"/>
          <w:sz w:val="24"/>
          <w:szCs w:val="24"/>
          <w:lang w:val="es-ES_tradnl"/>
        </w:rPr>
        <w:fldChar w:fldCharType="begin" w:fldLock="1"/>
      </w:r>
      <w:r w:rsidRPr="00DA747D">
        <w:rPr>
          <w:rFonts w:ascii="Times New Roman" w:hAnsi="Times New Roman" w:cs="Times New Roman"/>
          <w:sz w:val="24"/>
          <w:szCs w:val="24"/>
          <w:lang w:val="es-ES_tradnl"/>
        </w:rPr>
        <w:instrText>ADDIN CSL_CITATION {"citationItems":[{"id":"ITEM-1","itemData":{"DOI":"10.1007/s11367-010-0154-9","ISBN":"1136701001","ISSN":"09483349","author":[{"dropping-particle":"","family":"Vázquez-Rowe","given":"Ian","non-dropping-particle":"","parse-names":false,"suffix":""},{"dropping-particle":"","family":"Iribarren","given":"Diego","non-dropping-particle":"","parse-names":false,"suffix":""},{"dropping-particle":"","family":"Moreira","given":"Maria Teresa","non-dropping-particle":"","parse-names":false,"suffix":""},{"dropping-particle":"","family":"Feijoo","given":"Gumersindo","non-dropping-particle":"","parse-names":false,"suffix":""}],"container-title":"International Journal of Life Cycle Assessment","id":"ITEM-1","issue":"3","issued":{"date-parts":[["2010"]]},"page":"272-283","title":"Combined application of life cycle assessment and data envelopment analysis as a methodological approach for the assessment of fisheries","type":"article-journal","volume":"15"},"uris":["http://www.mendeley.com/documents/?uuid=3bf85b74-0c52-4331-acf5-4f78262546c5"]}],"mendeley":{"formattedCitation":"(Vázquez-Rowe et al., 2010)","plainTextFormattedCitation":"(Vázquez-Rowe et al., 2010)","previouslyFormattedCitation":"(Vázquez-Rowe et al., 2010)"},"properties":{"noteIndex":0},"schema":"https://github.com/citation-style-language/schema/raw/master/csl-citation.json"}</w:instrText>
      </w:r>
      <w:r w:rsidRPr="00DA747D">
        <w:rPr>
          <w:rFonts w:ascii="Times New Roman" w:hAnsi="Times New Roman" w:cs="Times New Roman"/>
          <w:sz w:val="24"/>
          <w:szCs w:val="24"/>
          <w:lang w:val="es-ES_tradnl"/>
        </w:rPr>
        <w:fldChar w:fldCharType="separate"/>
      </w:r>
      <w:r w:rsidRPr="00DA747D">
        <w:rPr>
          <w:rFonts w:ascii="Times New Roman" w:hAnsi="Times New Roman" w:cs="Times New Roman"/>
          <w:noProof/>
          <w:sz w:val="24"/>
          <w:szCs w:val="24"/>
          <w:lang w:val="es-ES_tradnl"/>
        </w:rPr>
        <w:t>Vázquez-Rowe et al. (2010)</w:t>
      </w:r>
      <w:r w:rsidRPr="00DA747D">
        <w:rPr>
          <w:rFonts w:ascii="Times New Roman" w:hAnsi="Times New Roman" w:cs="Times New Roman"/>
          <w:sz w:val="24"/>
          <w:szCs w:val="24"/>
          <w:lang w:val="es-ES_tradnl"/>
        </w:rPr>
        <w:fldChar w:fldCharType="end"/>
      </w:r>
      <w:r w:rsidRPr="00DA747D">
        <w:rPr>
          <w:rFonts w:ascii="Times New Roman" w:hAnsi="Times New Roman" w:cs="Times New Roman"/>
          <w:sz w:val="24"/>
          <w:szCs w:val="24"/>
          <w:lang w:val="es-ES_tradnl"/>
        </w:rPr>
        <w:t>. La segunda modificación es derivada del enfoque a procesos utilizados, por lo que fueron incorporados los valores de VA</w:t>
      </w:r>
      <w:r w:rsidRPr="00DA747D">
        <w:rPr>
          <w:rFonts w:ascii="Times New Roman" w:hAnsi="Times New Roman" w:cs="Times New Roman"/>
          <w:sz w:val="24"/>
          <w:szCs w:val="24"/>
          <w:vertAlign w:val="subscript"/>
          <w:lang w:val="es-ES_tradnl"/>
        </w:rPr>
        <w:t>ij</w:t>
      </w:r>
      <w:r w:rsidRPr="00DA747D">
        <w:rPr>
          <w:rFonts w:ascii="Times New Roman" w:hAnsi="Times New Roman" w:cs="Times New Roman"/>
          <w:sz w:val="24"/>
          <w:szCs w:val="24"/>
          <w:lang w:val="es-ES_tradnl"/>
        </w:rPr>
        <w:t xml:space="preserve"> calculados a través de la expresión (6), en lugar del </w:t>
      </w:r>
      <w:r w:rsidRPr="00DA747D">
        <w:rPr>
          <w:rFonts w:ascii="Times New Roman" w:hAnsi="Times New Roman" w:cs="Times New Roman"/>
          <w:sz w:val="24"/>
          <w:szCs w:val="24"/>
          <w:lang w:val="es-ES_tradnl"/>
        </w:rPr>
        <w:lastRenderedPageBreak/>
        <w:t>precio del producto j que propone el DEA. El modelo modificado se presenta mediante el conjunto de ecuaciones (9).</w:t>
      </w:r>
    </w:p>
    <w:p w:rsidR="00DA747D" w:rsidRPr="00DA747D" w:rsidRDefault="00DA747D" w:rsidP="00DA747D">
      <w:pPr>
        <w:pStyle w:val="Descripcin"/>
        <w:spacing w:after="0"/>
        <w:jc w:val="both"/>
        <w:rPr>
          <w:rFonts w:ascii="Times New Roman" w:hAnsi="Times New Roman"/>
          <w:b w:val="0"/>
          <w:sz w:val="24"/>
          <w:szCs w:val="24"/>
        </w:rPr>
      </w:pPr>
      <w:r w:rsidRPr="00DA747D">
        <w:rPr>
          <w:rFonts w:ascii="Times New Roman" w:hAnsi="Times New Roman"/>
          <w:b w:val="0"/>
          <w:noProof/>
          <w:position w:val="-170"/>
          <w:sz w:val="24"/>
          <w:szCs w:val="24"/>
        </w:rPr>
        <w:object w:dxaOrig="3640" w:dyaOrig="3519">
          <v:shape id="_x0000_i1033" type="#_x0000_t75" alt="" style="width:174.7pt;height:169.4pt;mso-width-percent:0;mso-height-percent:0;mso-width-percent:0;mso-height-percent:0" o:ole="">
            <v:imagedata r:id="rId26" o:title=""/>
          </v:shape>
          <o:OLEObject Type="Embed" ProgID="Equation.DSMT4" ShapeID="_x0000_i1033" DrawAspect="Content" ObjectID="_1690266011" r:id="rId27"/>
        </w:object>
      </w:r>
      <w:r w:rsidRPr="00DA747D">
        <w:rPr>
          <w:rFonts w:ascii="Times New Roman" w:hAnsi="Times New Roman"/>
          <w:b w:val="0"/>
          <w:sz w:val="24"/>
          <w:szCs w:val="24"/>
        </w:rPr>
        <w:tab/>
      </w:r>
      <w:r w:rsidRPr="00DA747D">
        <w:rPr>
          <w:rFonts w:ascii="Times New Roman" w:hAnsi="Times New Roman"/>
          <w:b w:val="0"/>
          <w:color w:val="auto"/>
          <w:sz w:val="24"/>
          <w:szCs w:val="24"/>
        </w:rPr>
        <w:t>(</w:t>
      </w:r>
      <w:r w:rsidRPr="00DA747D">
        <w:rPr>
          <w:rFonts w:ascii="Times New Roman" w:hAnsi="Times New Roman"/>
          <w:b w:val="0"/>
          <w:i/>
          <w:color w:val="auto"/>
          <w:sz w:val="24"/>
          <w:szCs w:val="24"/>
        </w:rPr>
        <w:fldChar w:fldCharType="begin"/>
      </w:r>
      <w:r w:rsidRPr="00DA747D">
        <w:rPr>
          <w:rFonts w:ascii="Times New Roman" w:hAnsi="Times New Roman"/>
          <w:b w:val="0"/>
          <w:color w:val="auto"/>
          <w:sz w:val="24"/>
          <w:szCs w:val="24"/>
        </w:rPr>
        <w:instrText xml:space="preserve"> SEQ ( \* ARABIC </w:instrText>
      </w:r>
      <w:r w:rsidRPr="00DA747D">
        <w:rPr>
          <w:rFonts w:ascii="Times New Roman" w:hAnsi="Times New Roman"/>
          <w:b w:val="0"/>
          <w:i/>
          <w:color w:val="auto"/>
          <w:sz w:val="24"/>
          <w:szCs w:val="24"/>
        </w:rPr>
        <w:fldChar w:fldCharType="separate"/>
      </w:r>
      <w:r w:rsidRPr="00DA747D">
        <w:rPr>
          <w:rFonts w:ascii="Times New Roman" w:hAnsi="Times New Roman"/>
          <w:b w:val="0"/>
          <w:noProof/>
          <w:color w:val="auto"/>
          <w:sz w:val="24"/>
          <w:szCs w:val="24"/>
        </w:rPr>
        <w:t>9</w:t>
      </w:r>
      <w:r w:rsidRPr="00DA747D">
        <w:rPr>
          <w:rFonts w:ascii="Times New Roman" w:hAnsi="Times New Roman"/>
          <w:b w:val="0"/>
          <w:i/>
          <w:color w:val="auto"/>
          <w:sz w:val="24"/>
          <w:szCs w:val="24"/>
        </w:rPr>
        <w:fldChar w:fldCharType="end"/>
      </w:r>
      <w:r w:rsidRPr="00DA747D">
        <w:rPr>
          <w:rFonts w:ascii="Times New Roman" w:hAnsi="Times New Roman"/>
          <w:b w:val="0"/>
          <w:color w:val="auto"/>
          <w:sz w:val="24"/>
          <w:szCs w:val="24"/>
        </w:rPr>
        <w:t>)</w:t>
      </w:r>
    </w:p>
    <w:p w:rsidR="00DA747D" w:rsidRPr="00DA747D" w:rsidRDefault="00DA747D" w:rsidP="00DA747D">
      <w:pPr>
        <w:jc w:val="both"/>
        <w:rPr>
          <w:rFonts w:ascii="Times New Roman" w:hAnsi="Times New Roman" w:cs="Times New Roman"/>
          <w:sz w:val="24"/>
          <w:szCs w:val="24"/>
          <w:lang w:val="es-ES_tradnl"/>
        </w:rPr>
      </w:pPr>
      <w:r w:rsidRPr="00DA747D">
        <w:rPr>
          <w:rFonts w:ascii="Times New Roman" w:hAnsi="Times New Roman" w:cs="Times New Roman"/>
          <w:sz w:val="24"/>
          <w:szCs w:val="24"/>
          <w:lang w:val="es-ES_tradnl"/>
        </w:rPr>
        <w:t>En este modelo (9), la variable a optimizar es</w:t>
      </w:r>
      <w:r w:rsidRPr="00DA747D">
        <w:rPr>
          <w:rFonts w:ascii="Times New Roman" w:hAnsi="Times New Roman" w:cs="Times New Roman"/>
          <w:sz w:val="24"/>
          <w:szCs w:val="24"/>
          <w:vertAlign w:val="subscript"/>
          <w:lang w:val="es-ES_tradnl"/>
        </w:rPr>
        <w:t xml:space="preserve"> </w:t>
      </w:r>
      <w:r w:rsidRPr="00DA747D">
        <w:rPr>
          <w:rFonts w:ascii="Times New Roman" w:hAnsi="Times New Roman" w:cs="Times New Roman"/>
          <w:sz w:val="24"/>
          <w:szCs w:val="24"/>
          <w:lang w:val="es-ES_tradnl"/>
        </w:rPr>
        <w:t>el valor de la eco eficiencia del proceso i en el producto j (γ</w:t>
      </w:r>
      <w:r w:rsidRPr="00DA747D">
        <w:rPr>
          <w:rFonts w:ascii="Times New Roman" w:hAnsi="Times New Roman" w:cs="Times New Roman"/>
          <w:sz w:val="24"/>
          <w:szCs w:val="24"/>
          <w:vertAlign w:val="subscript"/>
          <w:lang w:val="es-ES_tradnl"/>
        </w:rPr>
        <w:t>ij</w:t>
      </w:r>
      <w:r w:rsidRPr="00DA747D">
        <w:rPr>
          <w:rFonts w:ascii="Times New Roman" w:hAnsi="Times New Roman" w:cs="Times New Roman"/>
          <w:sz w:val="24"/>
          <w:szCs w:val="24"/>
          <w:lang w:val="es-ES_tradnl"/>
        </w:rPr>
        <w:t>) expresada en eco puntos o puntos ambientales; las variables de decisión son la reducción de la categoría de impacto ambiental k para llegar a la eco-eficiencia (α</w:t>
      </w:r>
      <w:r w:rsidRPr="00DA747D">
        <w:rPr>
          <w:rFonts w:ascii="Times New Roman" w:hAnsi="Times New Roman" w:cs="Times New Roman"/>
          <w:sz w:val="24"/>
          <w:szCs w:val="24"/>
          <w:vertAlign w:val="subscript"/>
          <w:lang w:val="es-ES_tradnl"/>
        </w:rPr>
        <w:t>k</w:t>
      </w:r>
      <w:r w:rsidRPr="00DA747D">
        <w:rPr>
          <w:rFonts w:ascii="Times New Roman" w:hAnsi="Times New Roman" w:cs="Times New Roman"/>
          <w:sz w:val="24"/>
          <w:szCs w:val="24"/>
          <w:lang w:val="es-ES_tradnl"/>
        </w:rPr>
        <w:t>)</w:t>
      </w:r>
      <w:r w:rsidRPr="00DA747D">
        <w:rPr>
          <w:rFonts w:ascii="Times New Roman" w:hAnsi="Times New Roman" w:cs="Times New Roman"/>
          <w:sz w:val="24"/>
          <w:szCs w:val="24"/>
          <w:vertAlign w:val="subscript"/>
          <w:lang w:val="es-ES_tradnl"/>
        </w:rPr>
        <w:t xml:space="preserve">  </w:t>
      </w:r>
      <w:r w:rsidRPr="00DA747D">
        <w:rPr>
          <w:rFonts w:ascii="Times New Roman" w:hAnsi="Times New Roman" w:cs="Times New Roman"/>
          <w:sz w:val="24"/>
          <w:szCs w:val="24"/>
          <w:lang w:val="es-ES_tradnl"/>
        </w:rPr>
        <w:t>en iguales unidades de medida, utilizando el Ecoindicador 99 y el vector de pesos del proceso i (λ</w:t>
      </w:r>
      <w:r w:rsidRPr="00DA747D">
        <w:rPr>
          <w:rFonts w:ascii="Times New Roman" w:hAnsi="Times New Roman" w:cs="Times New Roman"/>
          <w:sz w:val="24"/>
          <w:szCs w:val="24"/>
          <w:vertAlign w:val="subscript"/>
          <w:lang w:val="es-ES_tradnl"/>
        </w:rPr>
        <w:t>i</w:t>
      </w:r>
      <w:r w:rsidRPr="00DA747D">
        <w:rPr>
          <w:rFonts w:ascii="Times New Roman" w:hAnsi="Times New Roman" w:cs="Times New Roman"/>
          <w:sz w:val="24"/>
          <w:szCs w:val="24"/>
          <w:lang w:val="es-ES_tradnl"/>
        </w:rPr>
        <w:t>)</w:t>
      </w:r>
      <w:r w:rsidRPr="00DA747D">
        <w:rPr>
          <w:rFonts w:ascii="Times New Roman" w:hAnsi="Times New Roman" w:cs="Times New Roman"/>
          <w:sz w:val="24"/>
          <w:szCs w:val="24"/>
          <w:vertAlign w:val="subscript"/>
          <w:lang w:val="es-ES_tradnl"/>
        </w:rPr>
        <w:t xml:space="preserve">. </w:t>
      </w:r>
      <w:r w:rsidRPr="00DA747D">
        <w:rPr>
          <w:rFonts w:ascii="Times New Roman" w:hAnsi="Times New Roman" w:cs="Times New Roman"/>
          <w:sz w:val="24"/>
          <w:szCs w:val="24"/>
          <w:lang w:val="es-ES_tradnl"/>
        </w:rPr>
        <w:t>Por su parte (I</w:t>
      </w:r>
      <w:r w:rsidRPr="00DA747D">
        <w:rPr>
          <w:rFonts w:ascii="Times New Roman" w:hAnsi="Times New Roman" w:cs="Times New Roman"/>
          <w:sz w:val="24"/>
          <w:szCs w:val="24"/>
          <w:vertAlign w:val="subscript"/>
          <w:lang w:val="es-ES_tradnl"/>
        </w:rPr>
        <w:t>ik</w:t>
      </w:r>
      <w:r w:rsidRPr="00DA747D">
        <w:rPr>
          <w:rFonts w:ascii="Times New Roman" w:hAnsi="Times New Roman" w:cs="Times New Roman"/>
          <w:sz w:val="24"/>
          <w:szCs w:val="24"/>
          <w:lang w:val="es-ES_tradnl"/>
        </w:rPr>
        <w:t>) es un parámetro de entrada que expresa el impacto ambiental del proceso i en la categoría ambiental k, (n) la cantidad de procesos y (c) cantidad de categorías de impacto ambiental.</w:t>
      </w:r>
    </w:p>
    <w:p w:rsidR="00DA747D" w:rsidRPr="00DA747D" w:rsidRDefault="00DA747D" w:rsidP="00DA747D">
      <w:pPr>
        <w:jc w:val="both"/>
        <w:rPr>
          <w:rFonts w:ascii="Times New Roman" w:hAnsi="Times New Roman" w:cs="Times New Roman"/>
          <w:sz w:val="24"/>
          <w:szCs w:val="24"/>
          <w:lang w:val="es-ES_tradnl"/>
        </w:rPr>
      </w:pPr>
      <w:r w:rsidRPr="00DA747D">
        <w:rPr>
          <w:rFonts w:ascii="Times New Roman" w:hAnsi="Times New Roman" w:cs="Times New Roman"/>
          <w:sz w:val="24"/>
          <w:szCs w:val="24"/>
          <w:lang w:val="es-ES_tradnl"/>
        </w:rPr>
        <w:t>Una vez obtenida la eco-eficiencia  de cada una de los procesos, se calcula la eco-eficiencia de la CS a través de la expresión (10), W</w:t>
      </w:r>
      <w:r w:rsidRPr="00DA747D">
        <w:rPr>
          <w:rFonts w:ascii="Times New Roman" w:hAnsi="Times New Roman" w:cs="Times New Roman"/>
          <w:sz w:val="24"/>
          <w:szCs w:val="24"/>
          <w:vertAlign w:val="subscript"/>
          <w:lang w:val="es-ES_tradnl"/>
        </w:rPr>
        <w:t>i</w:t>
      </w:r>
      <w:r w:rsidRPr="00DA747D">
        <w:rPr>
          <w:rFonts w:ascii="Times New Roman" w:hAnsi="Times New Roman" w:cs="Times New Roman"/>
          <w:sz w:val="24"/>
          <w:szCs w:val="24"/>
          <w:lang w:val="es-ES_tradnl"/>
        </w:rPr>
        <w:t xml:space="preserve"> es el peso promedio del proceso i según componentes ambientales (expresión 11), n, c</w:t>
      </w:r>
      <w:r w:rsidRPr="00DA747D">
        <w:rPr>
          <w:rFonts w:ascii="Times New Roman" w:hAnsi="Times New Roman" w:cs="Times New Roman"/>
          <w:sz w:val="24"/>
          <w:szCs w:val="24"/>
          <w:vertAlign w:val="subscript"/>
          <w:lang w:val="es-ES_tradnl"/>
        </w:rPr>
        <w:t>ij</w:t>
      </w:r>
      <w:r w:rsidRPr="00DA747D">
        <w:rPr>
          <w:rFonts w:ascii="Times New Roman" w:hAnsi="Times New Roman" w:cs="Times New Roman"/>
          <w:sz w:val="24"/>
          <w:szCs w:val="24"/>
          <w:lang w:val="es-ES_tradnl"/>
        </w:rPr>
        <w:t xml:space="preserve"> y t</w:t>
      </w:r>
      <w:r w:rsidRPr="00DA747D">
        <w:rPr>
          <w:rFonts w:ascii="Times New Roman" w:hAnsi="Times New Roman" w:cs="Times New Roman"/>
          <w:sz w:val="24"/>
          <w:szCs w:val="24"/>
          <w:vertAlign w:val="subscript"/>
          <w:lang w:val="es-ES_tradnl"/>
        </w:rPr>
        <w:t>ij</w:t>
      </w:r>
      <w:r w:rsidRPr="00DA747D">
        <w:rPr>
          <w:rFonts w:ascii="Times New Roman" w:hAnsi="Times New Roman" w:cs="Times New Roman"/>
          <w:sz w:val="24"/>
          <w:szCs w:val="24"/>
          <w:lang w:val="es-ES_tradnl"/>
        </w:rPr>
        <w:t xml:space="preserve"> son términos ya explicados en las expresiones (3), (4) y  (5), Ia</w:t>
      </w:r>
      <w:r w:rsidRPr="00DA747D">
        <w:rPr>
          <w:rFonts w:ascii="Times New Roman" w:hAnsi="Times New Roman" w:cs="Times New Roman"/>
          <w:sz w:val="24"/>
          <w:szCs w:val="24"/>
          <w:vertAlign w:val="subscript"/>
          <w:lang w:val="es-ES_tradnl"/>
        </w:rPr>
        <w:t xml:space="preserve">ij </w:t>
      </w:r>
      <w:r w:rsidRPr="00DA747D">
        <w:rPr>
          <w:rFonts w:ascii="Times New Roman" w:hAnsi="Times New Roman" w:cs="Times New Roman"/>
          <w:sz w:val="24"/>
          <w:szCs w:val="24"/>
          <w:lang w:val="es-ES_tradnl"/>
        </w:rPr>
        <w:t>(T) es el impacto ambiental del proceso i al procesar el producto j en un periodo de tiempo T (suma de los impactos ambientales en cada una de las categorías) y tn</w:t>
      </w:r>
      <w:r w:rsidRPr="00DA747D">
        <w:rPr>
          <w:rFonts w:ascii="Times New Roman" w:hAnsi="Times New Roman" w:cs="Times New Roman"/>
          <w:sz w:val="24"/>
          <w:szCs w:val="24"/>
          <w:vertAlign w:val="subscript"/>
          <w:lang w:val="es-ES_tradnl"/>
        </w:rPr>
        <w:t>ij</w:t>
      </w:r>
      <w:r w:rsidRPr="00DA747D">
        <w:rPr>
          <w:rFonts w:ascii="Times New Roman" w:hAnsi="Times New Roman" w:cs="Times New Roman"/>
          <w:sz w:val="24"/>
          <w:szCs w:val="24"/>
          <w:lang w:val="es-ES_tradnl"/>
        </w:rPr>
        <w:t xml:space="preserve"> es el tiempo normado total para el proceso i en el producto j en unidades de tiempo por unidad de producto. El resultado de la eco-eficiencia fluctúa entre 0 y 1, siendo deseables aquellos valores que más se aproximen al extremo superior. </w:t>
      </w:r>
    </w:p>
    <w:p w:rsidR="00DA747D" w:rsidRPr="00DA747D" w:rsidRDefault="00DA747D" w:rsidP="00DA747D">
      <w:pPr>
        <w:jc w:val="both"/>
        <w:rPr>
          <w:rFonts w:ascii="Times New Roman" w:hAnsi="Times New Roman" w:cs="Times New Roman"/>
          <w:sz w:val="24"/>
          <w:szCs w:val="24"/>
          <w:lang w:val="es-ES_tradnl"/>
        </w:rPr>
      </w:pPr>
      <w:r w:rsidRPr="00DA747D">
        <w:rPr>
          <w:rFonts w:ascii="Times New Roman" w:hAnsi="Times New Roman" w:cs="Times New Roman"/>
          <w:sz w:val="24"/>
          <w:szCs w:val="24"/>
          <w:lang w:val="es-ES_tradnl"/>
        </w:rPr>
        <w:t>A los efectos del presente artículo, el término eco-eficiencia en la CS, expresa un estado de perfección respecto a la dimensión ambiental que desde el punto de vista práctico nunca es alcanzable, por lo que siempre es posible encontrar brechas para el mejoramiento.</w:t>
      </w:r>
    </w:p>
    <w:p w:rsidR="00DA747D" w:rsidRPr="00DA747D" w:rsidRDefault="00DA747D" w:rsidP="00DA747D">
      <w:pPr>
        <w:pStyle w:val="Descripcin"/>
        <w:spacing w:after="0"/>
        <w:jc w:val="both"/>
        <w:rPr>
          <w:rFonts w:ascii="Times New Roman" w:hAnsi="Times New Roman"/>
          <w:b w:val="0"/>
          <w:sz w:val="24"/>
          <w:szCs w:val="24"/>
        </w:rPr>
      </w:pPr>
      <w:r w:rsidRPr="00DA747D">
        <w:rPr>
          <w:rFonts w:ascii="Times New Roman" w:hAnsi="Times New Roman"/>
          <w:sz w:val="24"/>
          <w:szCs w:val="24"/>
        </w:rPr>
        <w:t xml:space="preserve"> </w:t>
      </w:r>
      <w:r w:rsidRPr="00DA747D">
        <w:rPr>
          <w:rFonts w:ascii="Times New Roman" w:hAnsi="Times New Roman"/>
          <w:noProof/>
          <w:position w:val="-64"/>
          <w:sz w:val="24"/>
          <w:szCs w:val="24"/>
        </w:rPr>
        <w:object w:dxaOrig="2960" w:dyaOrig="1400">
          <v:shape id="_x0000_i1034" type="#_x0000_t75" alt="" style="width:149.9pt;height:69.05pt;mso-width-percent:0;mso-height-percent:0;mso-width-percent:0;mso-height-percent:0" o:ole="">
            <v:imagedata r:id="rId28" o:title=""/>
          </v:shape>
          <o:OLEObject Type="Embed" ProgID="Equation.DSMT4" ShapeID="_x0000_i1034" DrawAspect="Content" ObjectID="_1690266012" r:id="rId29"/>
        </w:object>
      </w:r>
      <w:r w:rsidRPr="00DA747D">
        <w:rPr>
          <w:rFonts w:ascii="Times New Roman" w:hAnsi="Times New Roman"/>
          <w:sz w:val="24"/>
          <w:szCs w:val="24"/>
        </w:rPr>
        <w:tab/>
      </w:r>
      <w:r w:rsidRPr="00DA747D">
        <w:rPr>
          <w:rFonts w:ascii="Times New Roman" w:hAnsi="Times New Roman"/>
          <w:b w:val="0"/>
          <w:color w:val="auto"/>
          <w:sz w:val="24"/>
          <w:szCs w:val="24"/>
        </w:rPr>
        <w:t>(</w:t>
      </w:r>
      <w:r w:rsidRPr="00DA747D">
        <w:rPr>
          <w:rFonts w:ascii="Times New Roman" w:hAnsi="Times New Roman"/>
          <w:b w:val="0"/>
          <w:i/>
          <w:color w:val="auto"/>
          <w:sz w:val="24"/>
          <w:szCs w:val="24"/>
        </w:rPr>
        <w:fldChar w:fldCharType="begin"/>
      </w:r>
      <w:r w:rsidRPr="00DA747D">
        <w:rPr>
          <w:rFonts w:ascii="Times New Roman" w:hAnsi="Times New Roman"/>
          <w:b w:val="0"/>
          <w:color w:val="auto"/>
          <w:sz w:val="24"/>
          <w:szCs w:val="24"/>
        </w:rPr>
        <w:instrText xml:space="preserve"> SEQ ( \* ARABIC </w:instrText>
      </w:r>
      <w:r w:rsidRPr="00DA747D">
        <w:rPr>
          <w:rFonts w:ascii="Times New Roman" w:hAnsi="Times New Roman"/>
          <w:b w:val="0"/>
          <w:i/>
          <w:color w:val="auto"/>
          <w:sz w:val="24"/>
          <w:szCs w:val="24"/>
        </w:rPr>
        <w:fldChar w:fldCharType="separate"/>
      </w:r>
      <w:r w:rsidRPr="00DA747D">
        <w:rPr>
          <w:rFonts w:ascii="Times New Roman" w:hAnsi="Times New Roman"/>
          <w:b w:val="0"/>
          <w:noProof/>
          <w:color w:val="auto"/>
          <w:sz w:val="24"/>
          <w:szCs w:val="24"/>
        </w:rPr>
        <w:t>10</w:t>
      </w:r>
      <w:r w:rsidRPr="00DA747D">
        <w:rPr>
          <w:rFonts w:ascii="Times New Roman" w:hAnsi="Times New Roman"/>
          <w:b w:val="0"/>
          <w:i/>
          <w:color w:val="auto"/>
          <w:sz w:val="24"/>
          <w:szCs w:val="24"/>
        </w:rPr>
        <w:fldChar w:fldCharType="end"/>
      </w:r>
      <w:r w:rsidRPr="00DA747D">
        <w:rPr>
          <w:rFonts w:ascii="Times New Roman" w:hAnsi="Times New Roman"/>
          <w:b w:val="0"/>
          <w:color w:val="auto"/>
          <w:sz w:val="24"/>
          <w:szCs w:val="24"/>
        </w:rPr>
        <w:t>)</w:t>
      </w:r>
    </w:p>
    <w:p w:rsidR="00DA747D" w:rsidRPr="00DA747D" w:rsidRDefault="00DA747D" w:rsidP="00DA747D">
      <w:pPr>
        <w:pStyle w:val="Descripcin"/>
        <w:spacing w:after="0"/>
        <w:jc w:val="both"/>
        <w:rPr>
          <w:rFonts w:ascii="Times New Roman" w:hAnsi="Times New Roman"/>
          <w:b w:val="0"/>
          <w:i/>
          <w:color w:val="auto"/>
          <w:sz w:val="24"/>
          <w:szCs w:val="24"/>
        </w:rPr>
      </w:pPr>
      <w:r w:rsidRPr="00DA747D">
        <w:rPr>
          <w:rFonts w:ascii="Times New Roman" w:hAnsi="Times New Roman"/>
          <w:b w:val="0"/>
          <w:noProof/>
          <w:position w:val="-66"/>
          <w:sz w:val="24"/>
          <w:szCs w:val="24"/>
        </w:rPr>
        <w:object w:dxaOrig="3800" w:dyaOrig="1440">
          <v:shape id="_x0000_i1035" type="#_x0000_t75" alt="" style="width:172.9pt;height:63.75pt;mso-width-percent:0;mso-height-percent:0;mso-width-percent:0;mso-height-percent:0" o:ole="">
            <v:imagedata r:id="rId30" o:title=""/>
          </v:shape>
          <o:OLEObject Type="Embed" ProgID="Equation.DSMT4" ShapeID="_x0000_i1035" DrawAspect="Content" ObjectID="_1690266013" r:id="rId31"/>
        </w:object>
      </w:r>
      <w:r w:rsidRPr="00DA747D">
        <w:rPr>
          <w:rFonts w:ascii="Times New Roman" w:hAnsi="Times New Roman"/>
          <w:b w:val="0"/>
          <w:sz w:val="24"/>
          <w:szCs w:val="24"/>
        </w:rPr>
        <w:tab/>
      </w:r>
      <w:r w:rsidRPr="00DA747D">
        <w:rPr>
          <w:rFonts w:ascii="Times New Roman" w:hAnsi="Times New Roman"/>
          <w:b w:val="0"/>
          <w:color w:val="auto"/>
          <w:sz w:val="24"/>
          <w:szCs w:val="24"/>
        </w:rPr>
        <w:t>(</w:t>
      </w:r>
      <w:r w:rsidRPr="00DA747D">
        <w:rPr>
          <w:rFonts w:ascii="Times New Roman" w:hAnsi="Times New Roman"/>
          <w:b w:val="0"/>
          <w:i/>
          <w:color w:val="auto"/>
          <w:sz w:val="24"/>
          <w:szCs w:val="24"/>
        </w:rPr>
        <w:fldChar w:fldCharType="begin"/>
      </w:r>
      <w:r w:rsidRPr="00DA747D">
        <w:rPr>
          <w:rFonts w:ascii="Times New Roman" w:hAnsi="Times New Roman"/>
          <w:b w:val="0"/>
          <w:color w:val="auto"/>
          <w:sz w:val="24"/>
          <w:szCs w:val="24"/>
        </w:rPr>
        <w:instrText xml:space="preserve"> SEQ ( \* ARABIC </w:instrText>
      </w:r>
      <w:r w:rsidRPr="00DA747D">
        <w:rPr>
          <w:rFonts w:ascii="Times New Roman" w:hAnsi="Times New Roman"/>
          <w:b w:val="0"/>
          <w:i/>
          <w:color w:val="auto"/>
          <w:sz w:val="24"/>
          <w:szCs w:val="24"/>
        </w:rPr>
        <w:fldChar w:fldCharType="separate"/>
      </w:r>
      <w:r w:rsidRPr="00DA747D">
        <w:rPr>
          <w:rFonts w:ascii="Times New Roman" w:hAnsi="Times New Roman"/>
          <w:b w:val="0"/>
          <w:noProof/>
          <w:color w:val="auto"/>
          <w:sz w:val="24"/>
          <w:szCs w:val="24"/>
        </w:rPr>
        <w:t>11</w:t>
      </w:r>
      <w:r w:rsidRPr="00DA747D">
        <w:rPr>
          <w:rFonts w:ascii="Times New Roman" w:hAnsi="Times New Roman"/>
          <w:b w:val="0"/>
          <w:i/>
          <w:color w:val="auto"/>
          <w:sz w:val="24"/>
          <w:szCs w:val="24"/>
        </w:rPr>
        <w:fldChar w:fldCharType="end"/>
      </w:r>
      <w:r w:rsidRPr="00DA747D">
        <w:rPr>
          <w:rFonts w:ascii="Times New Roman" w:hAnsi="Times New Roman"/>
          <w:b w:val="0"/>
          <w:color w:val="auto"/>
          <w:sz w:val="24"/>
          <w:szCs w:val="24"/>
        </w:rPr>
        <w:t>)</w:t>
      </w:r>
    </w:p>
    <w:p w:rsidR="00DA747D" w:rsidRPr="00DA747D" w:rsidRDefault="00DA747D" w:rsidP="00DA747D">
      <w:pPr>
        <w:pStyle w:val="Prrafodelista"/>
        <w:spacing w:line="240" w:lineRule="auto"/>
        <w:ind w:left="360"/>
        <w:jc w:val="both"/>
        <w:rPr>
          <w:rFonts w:ascii="Times New Roman" w:hAnsi="Times New Roman" w:cs="Times New Roman"/>
          <w:b/>
          <w:sz w:val="24"/>
          <w:szCs w:val="24"/>
          <w:lang w:val="es-ES_tradnl"/>
        </w:rPr>
      </w:pPr>
    </w:p>
    <w:p w:rsidR="00DA747D" w:rsidRPr="00DA747D" w:rsidRDefault="00DA747D" w:rsidP="00DA747D">
      <w:pPr>
        <w:pStyle w:val="Prrafodelista"/>
        <w:numPr>
          <w:ilvl w:val="0"/>
          <w:numId w:val="5"/>
        </w:numPr>
        <w:spacing w:line="240" w:lineRule="auto"/>
        <w:jc w:val="both"/>
        <w:rPr>
          <w:rFonts w:ascii="Times New Roman" w:hAnsi="Times New Roman" w:cs="Times New Roman"/>
          <w:sz w:val="24"/>
          <w:szCs w:val="24"/>
          <w:lang w:val="es-ES_tradnl"/>
        </w:rPr>
      </w:pPr>
      <w:r w:rsidRPr="00DA747D">
        <w:rPr>
          <w:rFonts w:ascii="Times New Roman" w:hAnsi="Times New Roman" w:cs="Times New Roman"/>
          <w:sz w:val="24"/>
          <w:szCs w:val="24"/>
          <w:lang w:val="es-ES_tradnl"/>
        </w:rPr>
        <w:t xml:space="preserve">Paso 4 - Determinar peso de cada criterio. Una vez obtenido el valor de cada uno de los criterios se calculan sus respectivos pesos. Para ello se pueden emplear métodos como el de Saaty, Entropía, Diakoulaki, Delphi y otros. En el presente artículo se aplicó el método </w:t>
      </w:r>
      <w:r w:rsidRPr="00DA747D">
        <w:rPr>
          <w:rFonts w:ascii="Times New Roman" w:hAnsi="Times New Roman" w:cs="Times New Roman"/>
          <w:sz w:val="24"/>
          <w:szCs w:val="24"/>
          <w:lang w:val="es-ES_tradnl"/>
        </w:rPr>
        <w:fldChar w:fldCharType="begin" w:fldLock="1"/>
      </w:r>
      <w:r w:rsidRPr="00DA747D">
        <w:rPr>
          <w:rFonts w:ascii="Times New Roman" w:hAnsi="Times New Roman" w:cs="Times New Roman"/>
          <w:sz w:val="24"/>
          <w:szCs w:val="24"/>
          <w:lang w:val="es-ES_tradnl"/>
        </w:rPr>
        <w:instrText>ADDIN CSL_CITATION {"citationItems":[{"id":"ITEM-1","itemData":{"author":[{"dropping-particle":"","family":"Saaty","given":"TL","non-dropping-particle":"","parse-names":false,"suffix":""}],"id":"ITEM-1","issued":{"date-parts":[["1980"]]},"number-of-pages":"210","publisher":"McGraw-Hill","publisher-place":"New York","title":"The Analytic Hierarchical Process","type":"book"},"uris":["http://www.mendeley.com/documents/?uuid=c08988cf-4d3d-4fb1-bfa3-b2bf048fa01a"]}],"mendeley":{"formattedCitation":"(Saaty, 1980)","manualFormatting":"Saaty (1980)","plainTextFormattedCitation":"(Saaty, 1980)","previouslyFormattedCitation":"(Saaty, 1980)"},"properties":{"noteIndex":0},"schema":"https://github.com/citation-style-language/schema/raw/master/csl-citation.json"}</w:instrText>
      </w:r>
      <w:r w:rsidRPr="00DA747D">
        <w:rPr>
          <w:rFonts w:ascii="Times New Roman" w:hAnsi="Times New Roman" w:cs="Times New Roman"/>
          <w:sz w:val="24"/>
          <w:szCs w:val="24"/>
          <w:lang w:val="es-ES_tradnl"/>
        </w:rPr>
        <w:fldChar w:fldCharType="separate"/>
      </w:r>
      <w:r w:rsidRPr="00DA747D">
        <w:rPr>
          <w:rFonts w:ascii="Times New Roman" w:hAnsi="Times New Roman" w:cs="Times New Roman"/>
          <w:sz w:val="24"/>
          <w:szCs w:val="24"/>
          <w:lang w:val="es-ES_tradnl"/>
        </w:rPr>
        <w:t>Saaty (1980)</w:t>
      </w:r>
      <w:r w:rsidRPr="00DA747D">
        <w:rPr>
          <w:rFonts w:ascii="Times New Roman" w:hAnsi="Times New Roman" w:cs="Times New Roman"/>
          <w:sz w:val="24"/>
          <w:szCs w:val="24"/>
          <w:lang w:val="es-ES_tradnl"/>
        </w:rPr>
        <w:fldChar w:fldCharType="end"/>
      </w:r>
      <w:r w:rsidRPr="00DA747D">
        <w:rPr>
          <w:rFonts w:ascii="Times New Roman" w:hAnsi="Times New Roman" w:cs="Times New Roman"/>
          <w:sz w:val="24"/>
          <w:szCs w:val="24"/>
          <w:lang w:val="es-ES_tradnl"/>
        </w:rPr>
        <w:t xml:space="preserve"> para calcular el peso de cada indicador.</w:t>
      </w:r>
    </w:p>
    <w:p w:rsidR="00DA747D" w:rsidRPr="00DA747D" w:rsidRDefault="00DA747D" w:rsidP="00DA747D">
      <w:pPr>
        <w:pStyle w:val="Prrafodelista"/>
        <w:numPr>
          <w:ilvl w:val="0"/>
          <w:numId w:val="5"/>
        </w:numPr>
        <w:spacing w:line="240" w:lineRule="auto"/>
        <w:jc w:val="both"/>
        <w:rPr>
          <w:rFonts w:ascii="Times New Roman" w:hAnsi="Times New Roman" w:cs="Times New Roman"/>
          <w:sz w:val="24"/>
          <w:szCs w:val="24"/>
          <w:lang w:val="es-ES_tradnl"/>
        </w:rPr>
      </w:pPr>
      <w:r w:rsidRPr="00DA747D">
        <w:rPr>
          <w:rFonts w:ascii="Times New Roman" w:hAnsi="Times New Roman" w:cs="Times New Roman"/>
          <w:sz w:val="24"/>
          <w:szCs w:val="24"/>
          <w:lang w:val="es-ES_tradnl"/>
        </w:rPr>
        <w:t>Paso 5 - Calcular SCPI. Para calcular el nivel de desempeño de la CS se deben homogenizar los criterios llevándolos todos a escalas de máximo (en caso de ser necesario). Luego se determina el SCPI a través de las expresiones (12) y (13).</w:t>
      </w:r>
    </w:p>
    <w:p w:rsidR="00DA747D" w:rsidRPr="00DA747D" w:rsidRDefault="00DA747D" w:rsidP="00DA747D">
      <w:pPr>
        <w:pStyle w:val="Descripcin"/>
        <w:spacing w:after="0" w:line="276" w:lineRule="auto"/>
        <w:jc w:val="both"/>
        <w:rPr>
          <w:rFonts w:ascii="Times New Roman" w:hAnsi="Times New Roman"/>
          <w:b w:val="0"/>
          <w:sz w:val="24"/>
          <w:szCs w:val="24"/>
        </w:rPr>
      </w:pPr>
      <w:r w:rsidRPr="00DA747D">
        <w:rPr>
          <w:rFonts w:ascii="Times New Roman" w:hAnsi="Times New Roman"/>
          <w:noProof/>
          <w:position w:val="-28"/>
          <w:sz w:val="24"/>
          <w:szCs w:val="24"/>
        </w:rPr>
        <w:object w:dxaOrig="1900" w:dyaOrig="680">
          <v:shape id="_x0000_i1036" type="#_x0000_t75" alt="" style="width:96.2pt;height:33.65pt;mso-width-percent:0;mso-height-percent:0;mso-width-percent:0;mso-height-percent:0" o:ole="">
            <v:imagedata r:id="rId32" o:title=""/>
          </v:shape>
          <o:OLEObject Type="Embed" ProgID="Equation.DSMT4" ShapeID="_x0000_i1036" DrawAspect="Content" ObjectID="_1690266014" r:id="rId33"/>
        </w:object>
      </w:r>
      <w:r w:rsidRPr="00DA747D">
        <w:rPr>
          <w:rFonts w:ascii="Times New Roman" w:hAnsi="Times New Roman"/>
          <w:sz w:val="24"/>
          <w:szCs w:val="24"/>
        </w:rPr>
        <w:tab/>
      </w:r>
      <w:r w:rsidRPr="00DA747D">
        <w:rPr>
          <w:rFonts w:ascii="Times New Roman" w:hAnsi="Times New Roman"/>
          <w:sz w:val="24"/>
          <w:szCs w:val="24"/>
        </w:rPr>
        <w:tab/>
      </w:r>
      <w:r w:rsidRPr="00DA747D">
        <w:rPr>
          <w:rFonts w:ascii="Times New Roman" w:hAnsi="Times New Roman"/>
          <w:b w:val="0"/>
          <w:sz w:val="24"/>
          <w:szCs w:val="24"/>
        </w:rPr>
        <w:tab/>
      </w:r>
      <w:r w:rsidRPr="00DA747D">
        <w:rPr>
          <w:rFonts w:ascii="Times New Roman" w:hAnsi="Times New Roman"/>
          <w:b w:val="0"/>
          <w:color w:val="auto"/>
          <w:sz w:val="24"/>
          <w:szCs w:val="24"/>
        </w:rPr>
        <w:t>(</w:t>
      </w:r>
      <w:r w:rsidRPr="00DA747D">
        <w:rPr>
          <w:rFonts w:ascii="Times New Roman" w:hAnsi="Times New Roman"/>
          <w:b w:val="0"/>
          <w:i/>
          <w:color w:val="auto"/>
          <w:sz w:val="24"/>
          <w:szCs w:val="24"/>
        </w:rPr>
        <w:fldChar w:fldCharType="begin"/>
      </w:r>
      <w:r w:rsidRPr="00DA747D">
        <w:rPr>
          <w:rFonts w:ascii="Times New Roman" w:hAnsi="Times New Roman"/>
          <w:b w:val="0"/>
          <w:color w:val="auto"/>
          <w:sz w:val="24"/>
          <w:szCs w:val="24"/>
        </w:rPr>
        <w:instrText xml:space="preserve"> SEQ ( \* ARABIC </w:instrText>
      </w:r>
      <w:r w:rsidRPr="00DA747D">
        <w:rPr>
          <w:rFonts w:ascii="Times New Roman" w:hAnsi="Times New Roman"/>
          <w:b w:val="0"/>
          <w:i/>
          <w:color w:val="auto"/>
          <w:sz w:val="24"/>
          <w:szCs w:val="24"/>
        </w:rPr>
        <w:fldChar w:fldCharType="separate"/>
      </w:r>
      <w:r w:rsidRPr="00DA747D">
        <w:rPr>
          <w:rFonts w:ascii="Times New Roman" w:hAnsi="Times New Roman"/>
          <w:b w:val="0"/>
          <w:noProof/>
          <w:color w:val="auto"/>
          <w:sz w:val="24"/>
          <w:szCs w:val="24"/>
        </w:rPr>
        <w:t>12</w:t>
      </w:r>
      <w:r w:rsidRPr="00DA747D">
        <w:rPr>
          <w:rFonts w:ascii="Times New Roman" w:hAnsi="Times New Roman"/>
          <w:b w:val="0"/>
          <w:i/>
          <w:color w:val="auto"/>
          <w:sz w:val="24"/>
          <w:szCs w:val="24"/>
        </w:rPr>
        <w:fldChar w:fldCharType="end"/>
      </w:r>
      <w:r w:rsidRPr="00DA747D">
        <w:rPr>
          <w:rFonts w:ascii="Times New Roman" w:hAnsi="Times New Roman"/>
          <w:b w:val="0"/>
          <w:color w:val="auto"/>
          <w:sz w:val="24"/>
          <w:szCs w:val="24"/>
        </w:rPr>
        <w:t>)</w:t>
      </w:r>
    </w:p>
    <w:p w:rsidR="00DA747D" w:rsidRPr="00DA747D" w:rsidRDefault="00DA747D" w:rsidP="00DA747D">
      <w:pPr>
        <w:pStyle w:val="Descripcin"/>
        <w:spacing w:after="0" w:line="276" w:lineRule="auto"/>
        <w:jc w:val="both"/>
        <w:rPr>
          <w:rFonts w:ascii="Times New Roman" w:hAnsi="Times New Roman"/>
          <w:b w:val="0"/>
          <w:sz w:val="24"/>
          <w:szCs w:val="24"/>
        </w:rPr>
      </w:pPr>
      <w:r w:rsidRPr="00DA747D">
        <w:rPr>
          <w:rFonts w:ascii="Times New Roman" w:hAnsi="Times New Roman"/>
          <w:b w:val="0"/>
          <w:noProof/>
          <w:position w:val="-32"/>
          <w:sz w:val="24"/>
          <w:szCs w:val="24"/>
        </w:rPr>
        <w:object w:dxaOrig="2620" w:dyaOrig="760">
          <v:shape id="_x0000_i1037" type="#_x0000_t75" alt="" style="width:132.2pt;height:37.75pt;mso-width-percent:0;mso-height-percent:0;mso-width-percent:0;mso-height-percent:0" o:ole="">
            <v:imagedata r:id="rId34" o:title=""/>
          </v:shape>
          <o:OLEObject Type="Embed" ProgID="Equation.DSMT4" ShapeID="_x0000_i1037" DrawAspect="Content" ObjectID="_1690266015" r:id="rId35"/>
        </w:object>
      </w:r>
      <w:r w:rsidRPr="00DA747D">
        <w:rPr>
          <w:rFonts w:ascii="Times New Roman" w:hAnsi="Times New Roman"/>
          <w:b w:val="0"/>
          <w:sz w:val="24"/>
          <w:szCs w:val="24"/>
        </w:rPr>
        <w:tab/>
      </w:r>
      <w:r w:rsidRPr="00DA747D">
        <w:rPr>
          <w:rFonts w:ascii="Times New Roman" w:hAnsi="Times New Roman"/>
          <w:b w:val="0"/>
          <w:sz w:val="24"/>
          <w:szCs w:val="24"/>
        </w:rPr>
        <w:tab/>
      </w:r>
      <w:r w:rsidRPr="00DA747D">
        <w:rPr>
          <w:rFonts w:ascii="Times New Roman" w:hAnsi="Times New Roman"/>
          <w:b w:val="0"/>
          <w:color w:val="auto"/>
          <w:sz w:val="24"/>
          <w:szCs w:val="24"/>
        </w:rPr>
        <w:t>(</w:t>
      </w:r>
      <w:r w:rsidRPr="00DA747D">
        <w:rPr>
          <w:rFonts w:ascii="Times New Roman" w:hAnsi="Times New Roman"/>
          <w:b w:val="0"/>
          <w:i/>
          <w:color w:val="auto"/>
          <w:sz w:val="24"/>
          <w:szCs w:val="24"/>
        </w:rPr>
        <w:fldChar w:fldCharType="begin"/>
      </w:r>
      <w:r w:rsidRPr="00DA747D">
        <w:rPr>
          <w:rFonts w:ascii="Times New Roman" w:hAnsi="Times New Roman"/>
          <w:b w:val="0"/>
          <w:color w:val="auto"/>
          <w:sz w:val="24"/>
          <w:szCs w:val="24"/>
        </w:rPr>
        <w:instrText xml:space="preserve"> SEQ ( \* ARABIC </w:instrText>
      </w:r>
      <w:r w:rsidRPr="00DA747D">
        <w:rPr>
          <w:rFonts w:ascii="Times New Roman" w:hAnsi="Times New Roman"/>
          <w:b w:val="0"/>
          <w:i/>
          <w:color w:val="auto"/>
          <w:sz w:val="24"/>
          <w:szCs w:val="24"/>
        </w:rPr>
        <w:fldChar w:fldCharType="separate"/>
      </w:r>
      <w:r w:rsidRPr="00DA747D">
        <w:rPr>
          <w:rFonts w:ascii="Times New Roman" w:hAnsi="Times New Roman"/>
          <w:b w:val="0"/>
          <w:noProof/>
          <w:color w:val="auto"/>
          <w:sz w:val="24"/>
          <w:szCs w:val="24"/>
        </w:rPr>
        <w:t>13</w:t>
      </w:r>
      <w:r w:rsidRPr="00DA747D">
        <w:rPr>
          <w:rFonts w:ascii="Times New Roman" w:hAnsi="Times New Roman"/>
          <w:b w:val="0"/>
          <w:i/>
          <w:color w:val="auto"/>
          <w:sz w:val="24"/>
          <w:szCs w:val="24"/>
        </w:rPr>
        <w:fldChar w:fldCharType="end"/>
      </w:r>
      <w:r w:rsidRPr="00DA747D">
        <w:rPr>
          <w:rFonts w:ascii="Times New Roman" w:hAnsi="Times New Roman"/>
          <w:b w:val="0"/>
          <w:color w:val="auto"/>
          <w:sz w:val="24"/>
          <w:szCs w:val="24"/>
        </w:rPr>
        <w:t>)</w:t>
      </w:r>
    </w:p>
    <w:p w:rsidR="00DA747D" w:rsidRPr="00DA747D" w:rsidRDefault="00DA747D" w:rsidP="00DA747D">
      <w:pPr>
        <w:autoSpaceDE w:val="0"/>
        <w:autoSpaceDN w:val="0"/>
        <w:adjustRightInd w:val="0"/>
        <w:jc w:val="both"/>
        <w:rPr>
          <w:rFonts w:ascii="Times New Roman" w:hAnsi="Times New Roman" w:cs="Times New Roman"/>
          <w:sz w:val="24"/>
          <w:szCs w:val="24"/>
          <w:lang w:val="es-ES_tradnl"/>
        </w:rPr>
      </w:pPr>
      <w:r w:rsidRPr="00DA747D">
        <w:rPr>
          <w:rFonts w:ascii="Times New Roman" w:hAnsi="Times New Roman" w:cs="Times New Roman"/>
          <w:sz w:val="24"/>
          <w:szCs w:val="24"/>
          <w:lang w:val="es-ES_tradnl"/>
        </w:rPr>
        <w:t>Donde W</w:t>
      </w:r>
      <w:r w:rsidRPr="00DA747D">
        <w:rPr>
          <w:rFonts w:ascii="Times New Roman" w:hAnsi="Times New Roman" w:cs="Times New Roman"/>
          <w:sz w:val="24"/>
          <w:szCs w:val="24"/>
          <w:vertAlign w:val="subscript"/>
          <w:lang w:val="es-ES_tradnl"/>
        </w:rPr>
        <w:t>c</w:t>
      </w:r>
      <w:r w:rsidRPr="00DA747D">
        <w:rPr>
          <w:rFonts w:ascii="Times New Roman" w:hAnsi="Times New Roman" w:cs="Times New Roman"/>
          <w:sz w:val="24"/>
          <w:szCs w:val="24"/>
          <w:lang w:val="es-ES_tradnl"/>
        </w:rPr>
        <w:t xml:space="preserve"> es el peso del criterio c, ME</w:t>
      </w:r>
      <w:r w:rsidRPr="00DA747D">
        <w:rPr>
          <w:rFonts w:ascii="Times New Roman" w:hAnsi="Times New Roman" w:cs="Times New Roman"/>
          <w:sz w:val="24"/>
          <w:szCs w:val="24"/>
          <w:vertAlign w:val="subscript"/>
          <w:lang w:val="es-ES_tradnl"/>
        </w:rPr>
        <w:t>c</w:t>
      </w:r>
      <w:r w:rsidRPr="00DA747D">
        <w:rPr>
          <w:rFonts w:ascii="Times New Roman" w:hAnsi="Times New Roman" w:cs="Times New Roman"/>
          <w:sz w:val="24"/>
          <w:szCs w:val="24"/>
          <w:lang w:val="es-ES_tradnl"/>
        </w:rPr>
        <w:t xml:space="preserve"> es la máxima evaluación del criterio c, Rpp</w:t>
      </w:r>
      <w:r w:rsidRPr="00DA747D">
        <w:rPr>
          <w:rFonts w:ascii="Times New Roman" w:hAnsi="Times New Roman" w:cs="Times New Roman"/>
          <w:sz w:val="24"/>
          <w:szCs w:val="24"/>
          <w:vertAlign w:val="subscript"/>
          <w:lang w:val="es-ES_tradnl"/>
        </w:rPr>
        <w:t>c</w:t>
      </w:r>
      <w:r w:rsidRPr="00DA747D">
        <w:rPr>
          <w:rFonts w:ascii="Times New Roman" w:hAnsi="Times New Roman" w:cs="Times New Roman"/>
          <w:sz w:val="24"/>
          <w:szCs w:val="24"/>
          <w:lang w:val="es-ES_tradnl"/>
        </w:rPr>
        <w:t xml:space="preserve"> es la razón de puntos perdidos en el criterio c, c es el índice de criterios, m cantidad de criterios analizados y E</w:t>
      </w:r>
      <w:r w:rsidRPr="00DA747D">
        <w:rPr>
          <w:rFonts w:ascii="Times New Roman" w:hAnsi="Times New Roman" w:cs="Times New Roman"/>
          <w:sz w:val="24"/>
          <w:szCs w:val="24"/>
          <w:vertAlign w:val="subscript"/>
          <w:lang w:val="es-ES_tradnl"/>
        </w:rPr>
        <w:t>c</w:t>
      </w:r>
      <w:r w:rsidRPr="00DA747D">
        <w:rPr>
          <w:rFonts w:ascii="Times New Roman" w:hAnsi="Times New Roman" w:cs="Times New Roman"/>
          <w:sz w:val="24"/>
          <w:szCs w:val="24"/>
          <w:lang w:val="es-ES_tradnl"/>
        </w:rPr>
        <w:t xml:space="preserve"> es la evaluación obtenida por el criterio. Si Rppc obtiene un valor negativo significa que el criterio obtuvo una evaluación mejor que la evaluación máxima propuesta, por lo que los puntos perdidos en dicho criterio serán cero. Con el valor del SCPI, se evalúa el desempeño de la CS utilizando la escala propuesta por los expertos que se explica en el punto correspondiente a los resultados. </w:t>
      </w:r>
    </w:p>
    <w:p w:rsidR="00A21A1F" w:rsidRPr="00DA747D" w:rsidRDefault="00A21A1F" w:rsidP="00FF3346">
      <w:pPr>
        <w:spacing w:after="0" w:line="360" w:lineRule="auto"/>
        <w:jc w:val="both"/>
        <w:rPr>
          <w:rFonts w:ascii="Times New Roman" w:hAnsi="Times New Roman" w:cs="Times New Roman"/>
          <w:sz w:val="24"/>
          <w:szCs w:val="24"/>
          <w:lang w:val="es-ES_tradnl"/>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F12C6E" w:rsidRPr="00F12C6E" w:rsidRDefault="00F12C6E" w:rsidP="00F12C6E">
      <w:pPr>
        <w:jc w:val="both"/>
        <w:rPr>
          <w:rFonts w:ascii="Times New Roman" w:hAnsi="Times New Roman" w:cs="Times New Roman"/>
          <w:sz w:val="24"/>
          <w:szCs w:val="24"/>
          <w:lang w:val="es-ES_tradnl"/>
        </w:rPr>
      </w:pPr>
      <w:r w:rsidRPr="00F12C6E">
        <w:rPr>
          <w:rFonts w:ascii="Times New Roman" w:hAnsi="Times New Roman" w:cs="Times New Roman"/>
          <w:sz w:val="24"/>
          <w:szCs w:val="24"/>
          <w:lang w:val="es-ES_tradnl"/>
        </w:rPr>
        <w:t xml:space="preserve">La herramienta metodológica descrita, fue aplicada a la CS de contadores de energía eléctrica (CEE) de 127 y 220 voltios (v), tomada como estudio de caso, que comprende su adquisición en el proveedor extranjero, calibración en la empresa y entrega al cliente (empresas eléctricas del país que lo instalan en las viviendas). Para definir los procesos, se consideraron los dos primeros niveles propuestos por el modelo SCOR, definiéndose en el primer nivel los procesos de aprovisionamiento, producción y distribución y en el segundo los enumerados del P1 al P10 en la Figura 3 </w:t>
      </w:r>
      <w:r w:rsidRPr="00F12C6E">
        <w:rPr>
          <w:rFonts w:ascii="Times New Roman" w:hAnsi="Times New Roman" w:cs="Times New Roman"/>
          <w:sz w:val="24"/>
          <w:szCs w:val="24"/>
          <w:lang w:val="es-ES_tradnl"/>
        </w:rPr>
        <w:fldChar w:fldCharType="begin" w:fldLock="1"/>
      </w:r>
      <w:r w:rsidRPr="00F12C6E">
        <w:rPr>
          <w:rFonts w:ascii="Times New Roman" w:hAnsi="Times New Roman" w:cs="Times New Roman"/>
          <w:sz w:val="24"/>
          <w:szCs w:val="24"/>
          <w:lang w:val="es-ES_tradnl"/>
        </w:rPr>
        <w:instrText>ADDIN CSL_CITATION {"citationItems":[{"id":"ITEM-1","itemData":{"ISSN":"2050-7399","abstract":"In recent years, supply chain performance measurement has received much attention from researchers and practitioners. Effective supply chain performance through supply chain antecedents such as business analytics has become a potentially valuable way of securing competitive advantage and improving supply chain performance. This study addressed the lack of the empirical studies by developing a comprehensive model to examine the effect of business analytics on supply chain performance. A quantitative methodology using a cross-sectional survey method was used to investigate the relationship between variables. Data were collected from automotive companies in Iran. The relationships between variables were examined using structural equation modelling (SEM) technique and partial least squares (PLS) software was used. The results revealed there is a significant positive relationship between business analytics and supply chain performance. The study combined resource- based theory, resource dependence theories to develop a new theoretical framework to demonstrate the importance of businesses analytics; in improving supply chain performance.&amp;nbsp;","author":[{"dropping-particle":"","family":"Jamehshooran","given":"Bijan Ganji","non-dropping-particle":"","parse-names":false,"suffix":""},{"dropping-particle":"","family":"Shaharoun","given":"Awaluddin M","non-dropping-particle":"","parse-names":false,"suffix":""},{"dropping-particle":"","family":"Haron","given":"Habibah Norehan","non-dropping-particle":"","parse-names":false,"suffix":""}],"container-title":"International Journal of Supply Chain Management","id":"ITEM-1","issue":"1","issued":{"date-parts":[["2015"]]},"page":"1-11","title":"Assessing Supply Chain Performance through Applying the SCOR Model","type":"article-journal","volume":"4"},"uris":["http://www.mendeley.com/documents/?uuid=c98505a0-e392-4c38-9c4a-894167d6258a"]},{"id":"ITEM-2","itemData":{"DOI":"10.1504/IJLSM.2017.083225","ISSN":"1742-7967","abstract":"Performance measurement is known to be the best way of investigating the supply chains' success. In this regard, managers can identify the root causes of weakness points and improve supply chain's performance through analysing and solving these problems. Concerning this problem, various supply chain performance evaluation models have been presented in literature. Through all of the models, this paper used supply chain operations reference (SCOR) model for performance measurement of three Iranian automotive supply chains. First SCOR model is employed to define the performance criteria. Afterwards, technique for order of preference by similarity to ideal solution (TOPSIS) is used to determine the supply chain that performs best. In this paper, expert's judgment is used to determine the criteria's value and weight but uncertainties in expert's judgment was unavoidable, also experts cannot reach an agreement on the method of defining linguistic variables based on fuzzy sets. So, paper used interval-valued fuzzy set to solve these problems. To the best of authors' knowledge, this is the first study that have applied interval-valued fuzzy TOPSIS in group decision-making in order to evaluate and improve the performance of supply chains on the basis of SCOR model.","author":[{"dropping-particle":"","family":"Moharamkhani","given":"Arezoo","non-dropping-particle":"","parse-names":false,"suffix":""},{"dropping-particle":"","family":"Amiri","given":"Ali Bozorgi","non-dropping-particle":"","parse-names":false,"suffix":""},{"dropping-particle":"","family":"Mina","given":"Hassan","non-dropping-particle":"","parse-names":false,"suffix":""}],"container-title":"International Journal of Logistics Systems and Management","id":"ITEM-2","issue":"1","issued":{"date-parts":[["2017"]]},"page":"115","title":"Supply chain performance measurement using SCOR model based on interval-valued fuzzy TOPSIS","type":"article-journal","volume":"27"},"uris":["http://www.mendeley.com/documents/?uuid=360eaf2d-31d3-36f7-a725-9cf43bda5f84"]},{"id":"ITEM-3","itemData":{"DOI":"10.1080/00207543.2015.1005251","ISSN":"0020-7543","abstract":"Supply Chain Operations Reference (SCOR) is a widely employed model for SC performance assessment, regardless its generic nature. This article presents a SCOR-based model for performance measurement in supply chains (SC) and apply it in the context of Brazilian footwear industry. The model has two dimensions: SCOR processes (source, make, deliver and return) and performance standards adapted from original SCOR (cost, quality, delivery and flexibility). This structure delivers a 4 ? 4 matrix, with each component assessed under analytical hierarchy process. Using focus groups, SC?s experts weighted each component of the matrix regarding their relevance. Thereafter, SC?s managers indicated respective results. The SC?s overall performance was obtained by adding the performance of all indicators. The model application embraced one focal footwear manufacturer, four suppliers, three distribution channels and a return channel, with 85 indicators assessed. The achieved performance for the whole SC is 75.29%.The main gaps were found in deliver process (12.78 percentual points of difference between relevance and achieved proportions) and in flexibility performance (9.82). Further application is recommended in order to find consolidated results.","author":[{"dropping-particle":"","family":"Sellitto","given":"Miguel Afonso","non-dropping-particle":"","parse-names":false,"suffix":""},{"dropping-particle":"","family":"Pereira","given":"Giancarlo Medeiros","non-dropping-particle":"","parse-names":false,"suffix":""},{"dropping-particle":"","family":"Borchardt","given":"Miriam","non-dropping-particle":"","parse-names":false,"suffix":""},{"dropping-particle":"","family":"Silva","given":"Rosnaldo Inácio","non-dropping-particle":"da","parse-names":false,"suffix":""},{"dropping-particle":"","family":"Viegas","given":"Cláudia Viviane","non-dropping-particle":"","parse-names":false,"suffix":""}],"container-title":"International Journal of Production Research","id":"ITEM-3","issue":"16","issued":{"date-parts":[["2015"]]},"page":"4917-4926","title":"A SCOR-based model for supply chain performance measurement: application in the footwear industry","type":"article-journal","volume":"53"},"uris":["http://www.mendeley.com/documents/?uuid=4785b056-5112-4935-91e5-0fa8b345c3e2"]}],"mendeley":{"formattedCitation":"(Jamehshooran et al., 2015; Moharamkhani et al., 2017; Sellitto et al., 2015)","plainTextFormattedCitation":"(Jamehshooran et al., 2015; Moharamkhani et al., 2017; Sellitto et al., 2015)","previouslyFormattedCitation":"(Jamehshooran et al., 2015; Moharamkhani et al., 2017; Sellitto et al., 2015)"},"properties":{"noteIndex":0},"schema":"https://github.com/citation-style-language/schema/raw/master/csl-citation.json"}</w:instrText>
      </w:r>
      <w:r w:rsidRPr="00F12C6E">
        <w:rPr>
          <w:rFonts w:ascii="Times New Roman" w:hAnsi="Times New Roman" w:cs="Times New Roman"/>
          <w:sz w:val="24"/>
          <w:szCs w:val="24"/>
          <w:lang w:val="es-ES_tradnl"/>
        </w:rPr>
        <w:fldChar w:fldCharType="separate"/>
      </w:r>
      <w:r w:rsidRPr="00F12C6E">
        <w:rPr>
          <w:rFonts w:ascii="Times New Roman" w:hAnsi="Times New Roman" w:cs="Times New Roman"/>
          <w:noProof/>
          <w:sz w:val="24"/>
          <w:szCs w:val="24"/>
          <w:lang w:val="es-ES_tradnl"/>
        </w:rPr>
        <w:t>(Jamehshooran et al., 2015; Moharamkhani et al., 2017; Sellitto et al., 2015)</w:t>
      </w:r>
      <w:r w:rsidRPr="00F12C6E">
        <w:rPr>
          <w:rFonts w:ascii="Times New Roman" w:hAnsi="Times New Roman" w:cs="Times New Roman"/>
          <w:sz w:val="24"/>
          <w:szCs w:val="24"/>
          <w:lang w:val="es-ES_tradnl"/>
        </w:rPr>
        <w:fldChar w:fldCharType="end"/>
      </w:r>
      <w:r w:rsidRPr="00F12C6E">
        <w:rPr>
          <w:rFonts w:ascii="Times New Roman" w:hAnsi="Times New Roman" w:cs="Times New Roman"/>
          <w:sz w:val="24"/>
          <w:szCs w:val="24"/>
          <w:lang w:val="es-ES_tradnl"/>
        </w:rPr>
        <w:t>.</w:t>
      </w:r>
    </w:p>
    <w:p w:rsidR="00F12C6E" w:rsidRPr="00F12C6E" w:rsidRDefault="00F12C6E" w:rsidP="00F12C6E">
      <w:pPr>
        <w:jc w:val="both"/>
        <w:rPr>
          <w:rFonts w:ascii="Times New Roman" w:hAnsi="Times New Roman" w:cs="Times New Roman"/>
          <w:sz w:val="24"/>
          <w:szCs w:val="24"/>
          <w:lang w:val="es-ES_tradnl"/>
        </w:rPr>
      </w:pPr>
      <w:r w:rsidRPr="00F12C6E">
        <w:rPr>
          <w:rFonts w:ascii="Times New Roman" w:hAnsi="Times New Roman" w:cs="Times New Roman"/>
          <w:b/>
          <w:noProof/>
          <w:sz w:val="24"/>
          <w:szCs w:val="24"/>
          <w:lang w:eastAsia="es-ES"/>
        </w:rPr>
        <w:lastRenderedPageBreak/>
        <w:drawing>
          <wp:inline distT="0" distB="0" distL="0" distR="0" wp14:anchorId="0C73CA96" wp14:editId="512F8D7F">
            <wp:extent cx="4253947" cy="2695575"/>
            <wp:effectExtent l="57150" t="38100" r="32385" b="8572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F12C6E" w:rsidRPr="00F12C6E" w:rsidRDefault="00F12C6E" w:rsidP="00F12C6E">
      <w:pPr>
        <w:jc w:val="both"/>
        <w:rPr>
          <w:rFonts w:ascii="Times New Roman" w:hAnsi="Times New Roman" w:cs="Times New Roman"/>
          <w:sz w:val="20"/>
          <w:szCs w:val="20"/>
          <w:lang w:val="es-ES_tradnl"/>
        </w:rPr>
      </w:pPr>
      <w:r w:rsidRPr="00F12C6E">
        <w:rPr>
          <w:rFonts w:ascii="Times New Roman" w:hAnsi="Times New Roman" w:cs="Times New Roman"/>
          <w:sz w:val="20"/>
          <w:szCs w:val="20"/>
          <w:lang w:val="es-ES_tradnl"/>
        </w:rPr>
        <w:t xml:space="preserve">Figura 3. Procesos de la CS de CEE. </w:t>
      </w:r>
    </w:p>
    <w:p w:rsidR="00F12C6E" w:rsidRPr="00F12C6E" w:rsidRDefault="00F12C6E" w:rsidP="00F12C6E">
      <w:pPr>
        <w:jc w:val="both"/>
        <w:rPr>
          <w:rFonts w:ascii="Times New Roman" w:hAnsi="Times New Roman" w:cs="Times New Roman"/>
          <w:sz w:val="20"/>
          <w:szCs w:val="20"/>
          <w:lang w:val="es-ES_tradnl"/>
        </w:rPr>
      </w:pPr>
      <w:r w:rsidRPr="00F12C6E">
        <w:rPr>
          <w:rFonts w:ascii="Times New Roman" w:hAnsi="Times New Roman" w:cs="Times New Roman"/>
          <w:sz w:val="20"/>
          <w:szCs w:val="20"/>
          <w:lang w:val="es-ES_tradnl"/>
        </w:rPr>
        <w:t>Fuente: elaboración propia.</w:t>
      </w:r>
    </w:p>
    <w:p w:rsidR="00F12C6E" w:rsidRPr="00F12C6E" w:rsidRDefault="00F12C6E" w:rsidP="00F12C6E">
      <w:pPr>
        <w:spacing w:after="120"/>
        <w:jc w:val="both"/>
        <w:rPr>
          <w:rFonts w:ascii="Times New Roman" w:hAnsi="Times New Roman" w:cs="Times New Roman"/>
          <w:sz w:val="24"/>
          <w:szCs w:val="24"/>
          <w:lang w:val="es-ES_tradnl"/>
        </w:rPr>
      </w:pPr>
    </w:p>
    <w:p w:rsidR="00F12C6E" w:rsidRPr="00F12C6E" w:rsidRDefault="00F12C6E" w:rsidP="00F12C6E">
      <w:pPr>
        <w:jc w:val="both"/>
        <w:rPr>
          <w:rFonts w:ascii="Times New Roman" w:hAnsi="Times New Roman" w:cs="Times New Roman"/>
          <w:sz w:val="24"/>
          <w:szCs w:val="24"/>
          <w:lang w:val="es-ES_tradnl"/>
        </w:rPr>
      </w:pPr>
      <w:r w:rsidRPr="00F12C6E">
        <w:rPr>
          <w:rFonts w:ascii="Times New Roman" w:hAnsi="Times New Roman" w:cs="Times New Roman"/>
          <w:sz w:val="24"/>
          <w:szCs w:val="24"/>
          <w:lang w:val="es-ES_tradnl"/>
        </w:rPr>
        <w:t>Los resultados de la aplicación de la herramienta metodológica se muestran a continuación:</w:t>
      </w:r>
    </w:p>
    <w:p w:rsidR="00F12C6E" w:rsidRPr="00F12C6E" w:rsidRDefault="00F12C6E" w:rsidP="00F12C6E">
      <w:pPr>
        <w:jc w:val="both"/>
        <w:rPr>
          <w:rFonts w:ascii="Times New Roman" w:hAnsi="Times New Roman" w:cs="Times New Roman"/>
          <w:b/>
          <w:sz w:val="24"/>
          <w:szCs w:val="24"/>
          <w:lang w:val="es-ES_tradnl"/>
        </w:rPr>
      </w:pPr>
    </w:p>
    <w:p w:rsidR="00F12C6E" w:rsidRPr="00F12C6E" w:rsidRDefault="00F12C6E" w:rsidP="00F12C6E">
      <w:pPr>
        <w:pStyle w:val="Prrafodelista"/>
        <w:numPr>
          <w:ilvl w:val="0"/>
          <w:numId w:val="5"/>
        </w:numPr>
        <w:spacing w:after="0" w:line="240" w:lineRule="auto"/>
        <w:jc w:val="both"/>
        <w:rPr>
          <w:rFonts w:ascii="Times New Roman" w:hAnsi="Times New Roman" w:cs="Times New Roman"/>
          <w:sz w:val="24"/>
          <w:szCs w:val="24"/>
          <w:lang w:val="es-ES_tradnl"/>
        </w:rPr>
      </w:pPr>
      <w:r w:rsidRPr="00F12C6E">
        <w:rPr>
          <w:rFonts w:ascii="Times New Roman" w:hAnsi="Times New Roman" w:cs="Times New Roman"/>
          <w:sz w:val="24"/>
          <w:szCs w:val="24"/>
          <w:lang w:val="es-ES_tradnl"/>
        </w:rPr>
        <w:t xml:space="preserve">Paso 1. Seleccionar criterios para calcular el SCPI. </w:t>
      </w:r>
    </w:p>
    <w:p w:rsidR="00F12C6E" w:rsidRPr="00F12C6E" w:rsidRDefault="00F12C6E" w:rsidP="00F12C6E">
      <w:pPr>
        <w:jc w:val="both"/>
        <w:rPr>
          <w:rFonts w:ascii="Times New Roman" w:hAnsi="Times New Roman" w:cs="Times New Roman"/>
          <w:sz w:val="24"/>
          <w:szCs w:val="24"/>
          <w:lang w:val="es-ES_tradnl"/>
        </w:rPr>
      </w:pPr>
      <w:r w:rsidRPr="00F12C6E">
        <w:rPr>
          <w:rFonts w:ascii="Times New Roman" w:hAnsi="Times New Roman" w:cs="Times New Roman"/>
          <w:sz w:val="24"/>
          <w:szCs w:val="24"/>
          <w:lang w:val="es-ES_tradnl"/>
        </w:rPr>
        <w:t>Se aplicó una encuesta a un grupo de expertos</w:t>
      </w:r>
      <w:r w:rsidRPr="00F12C6E">
        <w:rPr>
          <w:rStyle w:val="Refdenotaalpie"/>
          <w:rFonts w:ascii="Times New Roman" w:hAnsi="Times New Roman" w:cs="Times New Roman"/>
          <w:sz w:val="24"/>
          <w:szCs w:val="24"/>
        </w:rPr>
        <w:footnoteReference w:id="1"/>
      </w:r>
      <w:r w:rsidRPr="00F12C6E">
        <w:rPr>
          <w:rFonts w:ascii="Times New Roman" w:hAnsi="Times New Roman" w:cs="Times New Roman"/>
          <w:sz w:val="24"/>
          <w:szCs w:val="24"/>
          <w:lang w:val="es-ES_tradnl"/>
        </w:rPr>
        <w:t xml:space="preserve"> previamente seleccionados que dieron una puntuación según la escala de </w:t>
      </w:r>
      <w:r w:rsidRPr="00F12C6E">
        <w:rPr>
          <w:rFonts w:ascii="Times New Roman" w:hAnsi="Times New Roman" w:cs="Times New Roman"/>
          <w:sz w:val="24"/>
          <w:szCs w:val="24"/>
          <w:lang w:val="es-ES_tradnl"/>
        </w:rPr>
        <w:fldChar w:fldCharType="begin" w:fldLock="1"/>
      </w:r>
      <w:r w:rsidRPr="00F12C6E">
        <w:rPr>
          <w:rFonts w:ascii="Times New Roman" w:hAnsi="Times New Roman" w:cs="Times New Roman"/>
          <w:sz w:val="24"/>
          <w:szCs w:val="24"/>
          <w:lang w:val="es-ES_tradnl"/>
        </w:rPr>
        <w:instrText>ADDIN CSL_CITATION {"citationItems":[{"id":"ITEM-1","itemData":{"author":[{"dropping-particle":"","family":"Saaty","given":"TL","non-dropping-particle":"","parse-names":false,"suffix":""}],"id":"ITEM-1","issued":{"date-parts":[["1980"]]},"number-of-pages":"210","publisher":"McGraw-Hill","publisher-place":"New York","title":"The Analytic Hierarchical Process","type":"book"},"uris":["http://www.mendeley.com/documents/?uuid=c08988cf-4d3d-4fb1-bfa3-b2bf048fa01a"]}],"mendeley":{"formattedCitation":"(Saaty, 1980)","manualFormatting":"Saaty (1980)","plainTextFormattedCitation":"(Saaty, 1980)","previouslyFormattedCitation":"(Saaty, 1980)"},"properties":{"noteIndex":0},"schema":"https://github.com/citation-style-language/schema/raw/master/csl-citation.json"}</w:instrText>
      </w:r>
      <w:r w:rsidRPr="00F12C6E">
        <w:rPr>
          <w:rFonts w:ascii="Times New Roman" w:hAnsi="Times New Roman" w:cs="Times New Roman"/>
          <w:sz w:val="24"/>
          <w:szCs w:val="24"/>
          <w:lang w:val="es-ES_tradnl"/>
        </w:rPr>
        <w:fldChar w:fldCharType="separate"/>
      </w:r>
      <w:r w:rsidRPr="00F12C6E">
        <w:rPr>
          <w:rFonts w:ascii="Times New Roman" w:hAnsi="Times New Roman" w:cs="Times New Roman"/>
          <w:noProof/>
          <w:sz w:val="24"/>
          <w:szCs w:val="24"/>
          <w:lang w:val="es-ES_tradnl"/>
        </w:rPr>
        <w:t>Saaty (1980)</w:t>
      </w:r>
      <w:r w:rsidRPr="00F12C6E">
        <w:rPr>
          <w:rFonts w:ascii="Times New Roman" w:hAnsi="Times New Roman" w:cs="Times New Roman"/>
          <w:sz w:val="24"/>
          <w:szCs w:val="24"/>
          <w:lang w:val="es-ES_tradnl"/>
        </w:rPr>
        <w:fldChar w:fldCharType="end"/>
      </w:r>
      <w:r w:rsidRPr="00F12C6E">
        <w:rPr>
          <w:rFonts w:ascii="Times New Roman" w:hAnsi="Times New Roman" w:cs="Times New Roman"/>
          <w:sz w:val="24"/>
          <w:szCs w:val="24"/>
          <w:lang w:val="es-ES_tradnl"/>
        </w:rPr>
        <w:t>, atendiendo a sus opiniones sobre el impacto e importancia de estos criterios identificados en la literatura sobre el desempeño de la CS estudiada. Con los resultados de la encuesta se aplicó un método de clasificación (método clúster), para seleccionar los criterios que formarían el SCPI (productividad, servicio al cliente, valor agregado, la rentabilidad e impacto ambiental). El criterio relacionado con los beneficios y las ventas no fue incluido por estar contenidos en la rentabilidad, mientras que el valor agregado fue defendido con fuerza por los expertos, a pesar de no ser uno de los recomendados en la literatura especializada (Figura 2).</w:t>
      </w:r>
    </w:p>
    <w:p w:rsidR="00F12C6E" w:rsidRPr="00F12C6E" w:rsidRDefault="00F12C6E" w:rsidP="00F12C6E">
      <w:pPr>
        <w:jc w:val="both"/>
        <w:rPr>
          <w:rFonts w:ascii="Times New Roman" w:hAnsi="Times New Roman" w:cs="Times New Roman"/>
          <w:sz w:val="24"/>
          <w:szCs w:val="24"/>
          <w:lang w:val="es-ES_tradnl"/>
        </w:rPr>
      </w:pPr>
    </w:p>
    <w:p w:rsidR="00F12C6E" w:rsidRPr="00F12C6E" w:rsidRDefault="00F12C6E" w:rsidP="00F12C6E">
      <w:pPr>
        <w:pStyle w:val="Prrafodelista"/>
        <w:numPr>
          <w:ilvl w:val="0"/>
          <w:numId w:val="5"/>
        </w:numPr>
        <w:spacing w:after="0" w:line="240" w:lineRule="auto"/>
        <w:jc w:val="both"/>
        <w:rPr>
          <w:rFonts w:ascii="Times New Roman" w:hAnsi="Times New Roman" w:cs="Times New Roman"/>
          <w:sz w:val="24"/>
          <w:szCs w:val="24"/>
          <w:lang w:val="es-ES_tradnl"/>
        </w:rPr>
      </w:pPr>
      <w:r w:rsidRPr="00F12C6E">
        <w:rPr>
          <w:rFonts w:ascii="Times New Roman" w:hAnsi="Times New Roman" w:cs="Times New Roman"/>
          <w:sz w:val="24"/>
          <w:szCs w:val="24"/>
          <w:lang w:val="es-ES_tradnl"/>
        </w:rPr>
        <w:t xml:space="preserve">Paso 2. Establecer escala para cada criterio. </w:t>
      </w:r>
    </w:p>
    <w:p w:rsidR="00F12C6E" w:rsidRPr="00F12C6E" w:rsidRDefault="00F12C6E" w:rsidP="00F12C6E">
      <w:pPr>
        <w:autoSpaceDE w:val="0"/>
        <w:autoSpaceDN w:val="0"/>
        <w:adjustRightInd w:val="0"/>
        <w:jc w:val="both"/>
        <w:rPr>
          <w:rFonts w:ascii="Times New Roman" w:hAnsi="Times New Roman" w:cs="Times New Roman"/>
          <w:sz w:val="24"/>
          <w:szCs w:val="24"/>
          <w:lang w:val="es-ES_tradnl"/>
        </w:rPr>
      </w:pPr>
      <w:r w:rsidRPr="00F12C6E">
        <w:rPr>
          <w:rFonts w:ascii="Times New Roman" w:hAnsi="Times New Roman" w:cs="Times New Roman"/>
          <w:sz w:val="24"/>
          <w:szCs w:val="24"/>
          <w:lang w:val="es-ES_tradnl"/>
        </w:rPr>
        <w:t xml:space="preserve">Se realizó un trabajo en equipo para determinar la escala de evaluación de cada uno de los criterios (Tabla 1). Una vez determinada la cantidad de evaluaciones, se determinaron </w:t>
      </w:r>
      <w:r w:rsidRPr="00F12C6E">
        <w:rPr>
          <w:rFonts w:ascii="Times New Roman" w:hAnsi="Times New Roman" w:cs="Times New Roman"/>
          <w:sz w:val="24"/>
          <w:szCs w:val="24"/>
          <w:lang w:val="es-ES_tradnl"/>
        </w:rPr>
        <w:lastRenderedPageBreak/>
        <w:t>todas las posibles combinaciones para el cálculo del SCPI (5 x 5 x 5 x 4 x 5 = 2.500 SCPIs). Luego, fueron procesados cada uno de estos SCPI, clasificados según la escala de la Tabla 1 y se realizó un análisis discriminante para comprobar los límites de cada grupo de evaluación, que permitió corroborar la correcta clasificación del 83,4% de los datos. Ello permitió crear la escala para evaluar el SCPI (última columna, Tabla 1) según los resultados obtenidos del software.</w:t>
      </w:r>
    </w:p>
    <w:p w:rsidR="00F12C6E" w:rsidRPr="00F12C6E" w:rsidRDefault="00F12C6E" w:rsidP="00F12C6E">
      <w:pPr>
        <w:autoSpaceDE w:val="0"/>
        <w:autoSpaceDN w:val="0"/>
        <w:adjustRightInd w:val="0"/>
        <w:jc w:val="both"/>
        <w:rPr>
          <w:rFonts w:ascii="Times New Roman" w:hAnsi="Times New Roman" w:cs="Times New Roman"/>
          <w:sz w:val="24"/>
          <w:szCs w:val="24"/>
          <w:lang w:val="es-ES_tradnl"/>
        </w:rPr>
      </w:pPr>
    </w:p>
    <w:p w:rsidR="00F12C6E" w:rsidRPr="00F12C6E" w:rsidRDefault="00F12C6E" w:rsidP="00F12C6E">
      <w:pPr>
        <w:jc w:val="both"/>
        <w:rPr>
          <w:rFonts w:ascii="Times New Roman" w:hAnsi="Times New Roman" w:cs="Times New Roman"/>
          <w:sz w:val="24"/>
          <w:szCs w:val="24"/>
          <w:lang w:val="es-ES_tradnl"/>
        </w:rPr>
      </w:pPr>
      <w:r w:rsidRPr="00F12C6E">
        <w:rPr>
          <w:rFonts w:ascii="Times New Roman" w:hAnsi="Times New Roman" w:cs="Times New Roman"/>
          <w:sz w:val="24"/>
          <w:szCs w:val="24"/>
          <w:lang w:val="es-ES_tradnl"/>
        </w:rPr>
        <w:t xml:space="preserve">Tabla 1. Evaluación de cada criterio. </w:t>
      </w:r>
    </w:p>
    <w:tbl>
      <w:tblPr>
        <w:tblStyle w:val="Tablaconcuadrcula"/>
        <w:tblW w:w="439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840"/>
        <w:gridCol w:w="969"/>
        <w:gridCol w:w="971"/>
        <w:gridCol w:w="971"/>
        <w:gridCol w:w="844"/>
        <w:gridCol w:w="1101"/>
      </w:tblGrid>
      <w:tr w:rsidR="00F12C6E" w:rsidRPr="00F12C6E" w:rsidTr="00033F0F">
        <w:tc>
          <w:tcPr>
            <w:tcW w:w="950" w:type="pct"/>
            <w:tcBorders>
              <w:bottom w:val="single" w:sz="4" w:space="0" w:color="auto"/>
            </w:tcBorders>
          </w:tcPr>
          <w:p w:rsidR="00F12C6E" w:rsidRPr="00F12C6E" w:rsidRDefault="00F12C6E" w:rsidP="00033F0F">
            <w:pPr>
              <w:jc w:val="both"/>
              <w:rPr>
                <w:sz w:val="24"/>
                <w:szCs w:val="24"/>
                <w:lang w:val="es-ES_tradnl"/>
              </w:rPr>
            </w:pPr>
            <w:r w:rsidRPr="00F12C6E">
              <w:rPr>
                <w:sz w:val="24"/>
                <w:szCs w:val="24"/>
                <w:lang w:val="es-ES_tradnl"/>
              </w:rPr>
              <w:t>Puntos\Criterios</w:t>
            </w:r>
          </w:p>
        </w:tc>
        <w:tc>
          <w:tcPr>
            <w:tcW w:w="602" w:type="pct"/>
            <w:tcBorders>
              <w:bottom w:val="single" w:sz="4" w:space="0" w:color="auto"/>
            </w:tcBorders>
          </w:tcPr>
          <w:p w:rsidR="00F12C6E" w:rsidRPr="00F12C6E" w:rsidRDefault="00F12C6E" w:rsidP="00033F0F">
            <w:pPr>
              <w:jc w:val="center"/>
              <w:rPr>
                <w:sz w:val="24"/>
                <w:szCs w:val="24"/>
                <w:lang w:val="es-ES_tradnl"/>
              </w:rPr>
            </w:pPr>
            <w:r w:rsidRPr="00F12C6E">
              <w:rPr>
                <w:sz w:val="24"/>
                <w:szCs w:val="24"/>
                <w:lang w:val="es-ES_tradnl"/>
              </w:rPr>
              <w:t>P</w:t>
            </w:r>
          </w:p>
        </w:tc>
        <w:tc>
          <w:tcPr>
            <w:tcW w:w="688" w:type="pct"/>
            <w:tcBorders>
              <w:bottom w:val="single" w:sz="4" w:space="0" w:color="auto"/>
            </w:tcBorders>
          </w:tcPr>
          <w:p w:rsidR="00F12C6E" w:rsidRPr="00F12C6E" w:rsidRDefault="00F12C6E" w:rsidP="00033F0F">
            <w:pPr>
              <w:jc w:val="center"/>
              <w:rPr>
                <w:sz w:val="24"/>
                <w:szCs w:val="24"/>
                <w:lang w:val="es-ES_tradnl"/>
              </w:rPr>
            </w:pPr>
            <w:r w:rsidRPr="00F12C6E">
              <w:rPr>
                <w:sz w:val="24"/>
                <w:szCs w:val="24"/>
                <w:lang w:val="es-ES_tradnl"/>
              </w:rPr>
              <w:t>NSC</w:t>
            </w:r>
          </w:p>
        </w:tc>
        <w:tc>
          <w:tcPr>
            <w:tcW w:w="689" w:type="pct"/>
            <w:tcBorders>
              <w:bottom w:val="single" w:sz="4" w:space="0" w:color="auto"/>
            </w:tcBorders>
          </w:tcPr>
          <w:p w:rsidR="00F12C6E" w:rsidRPr="00F12C6E" w:rsidRDefault="00F12C6E" w:rsidP="00033F0F">
            <w:pPr>
              <w:ind w:right="-115" w:hanging="103"/>
              <w:jc w:val="center"/>
              <w:rPr>
                <w:sz w:val="24"/>
                <w:szCs w:val="24"/>
                <w:lang w:val="es-ES_tradnl"/>
              </w:rPr>
            </w:pPr>
            <w:r w:rsidRPr="00F12C6E">
              <w:rPr>
                <w:sz w:val="24"/>
                <w:szCs w:val="24"/>
                <w:lang w:val="es-ES_tradnl"/>
              </w:rPr>
              <w:t>TVA (%)</w:t>
            </w:r>
          </w:p>
        </w:tc>
        <w:tc>
          <w:tcPr>
            <w:tcW w:w="689" w:type="pct"/>
            <w:tcBorders>
              <w:bottom w:val="single" w:sz="4" w:space="0" w:color="auto"/>
            </w:tcBorders>
          </w:tcPr>
          <w:p w:rsidR="00F12C6E" w:rsidRPr="00F12C6E" w:rsidRDefault="00F12C6E" w:rsidP="00033F0F">
            <w:pPr>
              <w:jc w:val="center"/>
              <w:rPr>
                <w:sz w:val="24"/>
                <w:szCs w:val="24"/>
                <w:lang w:val="es-ES_tradnl"/>
              </w:rPr>
            </w:pPr>
            <w:r w:rsidRPr="00F12C6E">
              <w:rPr>
                <w:sz w:val="24"/>
                <w:szCs w:val="24"/>
                <w:lang w:val="es-ES_tradnl"/>
              </w:rPr>
              <w:t>Ec. Ef</w:t>
            </w:r>
          </w:p>
        </w:tc>
        <w:tc>
          <w:tcPr>
            <w:tcW w:w="604" w:type="pct"/>
            <w:tcBorders>
              <w:bottom w:val="single" w:sz="4" w:space="0" w:color="auto"/>
            </w:tcBorders>
          </w:tcPr>
          <w:p w:rsidR="00F12C6E" w:rsidRPr="00F12C6E" w:rsidRDefault="00F12C6E" w:rsidP="00033F0F">
            <w:pPr>
              <w:jc w:val="center"/>
              <w:rPr>
                <w:sz w:val="24"/>
                <w:szCs w:val="24"/>
                <w:lang w:val="es-ES_tradnl"/>
              </w:rPr>
            </w:pPr>
            <w:r w:rsidRPr="00F12C6E">
              <w:rPr>
                <w:sz w:val="24"/>
                <w:szCs w:val="24"/>
                <w:lang w:val="es-ES_tradnl"/>
              </w:rPr>
              <w:t>ROI</w:t>
            </w:r>
          </w:p>
        </w:tc>
        <w:tc>
          <w:tcPr>
            <w:tcW w:w="776" w:type="pct"/>
            <w:tcBorders>
              <w:bottom w:val="single" w:sz="4" w:space="0" w:color="auto"/>
            </w:tcBorders>
          </w:tcPr>
          <w:p w:rsidR="00F12C6E" w:rsidRPr="00F12C6E" w:rsidRDefault="00F12C6E" w:rsidP="00033F0F">
            <w:pPr>
              <w:jc w:val="center"/>
              <w:rPr>
                <w:sz w:val="24"/>
                <w:szCs w:val="24"/>
                <w:lang w:val="es-ES_tradnl"/>
              </w:rPr>
            </w:pPr>
            <w:r w:rsidRPr="00F12C6E">
              <w:rPr>
                <w:sz w:val="24"/>
                <w:szCs w:val="24"/>
                <w:lang w:val="es-ES_tradnl"/>
              </w:rPr>
              <w:t>SCPI</w:t>
            </w:r>
          </w:p>
        </w:tc>
      </w:tr>
      <w:tr w:rsidR="00F12C6E" w:rsidRPr="00F12C6E" w:rsidTr="00033F0F">
        <w:tc>
          <w:tcPr>
            <w:tcW w:w="950" w:type="pct"/>
            <w:tcBorders>
              <w:top w:val="single" w:sz="4" w:space="0" w:color="auto"/>
              <w:bottom w:val="nil"/>
            </w:tcBorders>
          </w:tcPr>
          <w:p w:rsidR="00F12C6E" w:rsidRPr="00F12C6E" w:rsidRDefault="00F12C6E" w:rsidP="00033F0F">
            <w:pPr>
              <w:jc w:val="both"/>
              <w:rPr>
                <w:sz w:val="24"/>
                <w:szCs w:val="24"/>
                <w:lang w:val="es-ES_tradnl"/>
              </w:rPr>
            </w:pPr>
            <w:r w:rsidRPr="00F12C6E">
              <w:rPr>
                <w:sz w:val="24"/>
                <w:szCs w:val="24"/>
                <w:lang w:val="es-ES_tradnl"/>
              </w:rPr>
              <w:t>Excelente (5)</w:t>
            </w:r>
          </w:p>
        </w:tc>
        <w:tc>
          <w:tcPr>
            <w:tcW w:w="602" w:type="pct"/>
            <w:tcBorders>
              <w:top w:val="single" w:sz="4" w:space="0" w:color="auto"/>
              <w:bottom w:val="nil"/>
            </w:tcBorders>
          </w:tcPr>
          <w:p w:rsidR="00F12C6E" w:rsidRPr="00F12C6E" w:rsidRDefault="00F12C6E" w:rsidP="00033F0F">
            <w:pPr>
              <w:jc w:val="center"/>
              <w:rPr>
                <w:sz w:val="24"/>
                <w:szCs w:val="24"/>
                <w:lang w:val="es-ES_tradnl"/>
              </w:rPr>
            </w:pPr>
            <w:r w:rsidRPr="00F12C6E">
              <w:rPr>
                <w:sz w:val="24"/>
                <w:szCs w:val="24"/>
                <w:lang w:val="es-ES_tradnl"/>
              </w:rPr>
              <w:t>0,95-1,00</w:t>
            </w:r>
          </w:p>
        </w:tc>
        <w:tc>
          <w:tcPr>
            <w:tcW w:w="688" w:type="pct"/>
            <w:tcBorders>
              <w:top w:val="single" w:sz="4" w:space="0" w:color="auto"/>
              <w:bottom w:val="nil"/>
            </w:tcBorders>
          </w:tcPr>
          <w:p w:rsidR="00F12C6E" w:rsidRPr="00F12C6E" w:rsidRDefault="00F12C6E" w:rsidP="00033F0F">
            <w:pPr>
              <w:ind w:right="-108" w:hanging="93"/>
              <w:jc w:val="center"/>
              <w:rPr>
                <w:sz w:val="24"/>
                <w:szCs w:val="24"/>
                <w:lang w:val="es-ES_tradnl"/>
              </w:rPr>
            </w:pPr>
            <w:r w:rsidRPr="00F12C6E">
              <w:rPr>
                <w:sz w:val="24"/>
                <w:szCs w:val="24"/>
                <w:lang w:val="es-ES_tradnl"/>
              </w:rPr>
              <w:t>0,97-1,00</w:t>
            </w:r>
          </w:p>
        </w:tc>
        <w:tc>
          <w:tcPr>
            <w:tcW w:w="689" w:type="pct"/>
            <w:tcBorders>
              <w:top w:val="single" w:sz="4" w:space="0" w:color="auto"/>
              <w:bottom w:val="nil"/>
            </w:tcBorders>
          </w:tcPr>
          <w:p w:rsidR="00F12C6E" w:rsidRPr="00F12C6E" w:rsidRDefault="00F12C6E" w:rsidP="00033F0F">
            <w:pPr>
              <w:ind w:right="-108" w:hanging="93"/>
              <w:jc w:val="center"/>
              <w:rPr>
                <w:sz w:val="24"/>
                <w:szCs w:val="24"/>
                <w:lang w:val="es-ES_tradnl"/>
              </w:rPr>
            </w:pPr>
            <w:r w:rsidRPr="00F12C6E">
              <w:rPr>
                <w:sz w:val="24"/>
                <w:szCs w:val="24"/>
                <w:lang w:val="es-ES_tradnl"/>
              </w:rPr>
              <w:t>99,90-100</w:t>
            </w:r>
          </w:p>
        </w:tc>
        <w:tc>
          <w:tcPr>
            <w:tcW w:w="689" w:type="pct"/>
            <w:tcBorders>
              <w:top w:val="single" w:sz="4" w:space="0" w:color="auto"/>
              <w:bottom w:val="nil"/>
            </w:tcBorders>
          </w:tcPr>
          <w:p w:rsidR="00F12C6E" w:rsidRPr="00F12C6E" w:rsidRDefault="00F12C6E" w:rsidP="00033F0F">
            <w:pPr>
              <w:jc w:val="center"/>
              <w:rPr>
                <w:sz w:val="24"/>
                <w:szCs w:val="24"/>
                <w:lang w:val="es-ES_tradnl"/>
              </w:rPr>
            </w:pPr>
          </w:p>
        </w:tc>
        <w:tc>
          <w:tcPr>
            <w:tcW w:w="604" w:type="pct"/>
            <w:tcBorders>
              <w:top w:val="single" w:sz="4" w:space="0" w:color="auto"/>
              <w:bottom w:val="nil"/>
            </w:tcBorders>
          </w:tcPr>
          <w:p w:rsidR="00F12C6E" w:rsidRPr="00F12C6E" w:rsidRDefault="00F12C6E" w:rsidP="00033F0F">
            <w:pPr>
              <w:jc w:val="center"/>
              <w:rPr>
                <w:sz w:val="24"/>
                <w:szCs w:val="24"/>
                <w:lang w:val="es-ES_tradnl"/>
              </w:rPr>
            </w:pPr>
            <w:r w:rsidRPr="00F12C6E">
              <w:rPr>
                <w:sz w:val="24"/>
                <w:szCs w:val="24"/>
                <w:lang w:val="es-ES_tradnl"/>
              </w:rPr>
              <w:t>0,13-0,15</w:t>
            </w:r>
          </w:p>
        </w:tc>
        <w:tc>
          <w:tcPr>
            <w:tcW w:w="776" w:type="pct"/>
            <w:tcBorders>
              <w:top w:val="single" w:sz="4" w:space="0" w:color="auto"/>
              <w:bottom w:val="nil"/>
            </w:tcBorders>
          </w:tcPr>
          <w:p w:rsidR="00F12C6E" w:rsidRPr="00F12C6E" w:rsidRDefault="00F12C6E" w:rsidP="00033F0F">
            <w:pPr>
              <w:jc w:val="center"/>
              <w:rPr>
                <w:sz w:val="24"/>
                <w:szCs w:val="24"/>
                <w:lang w:val="es-ES_tradnl"/>
              </w:rPr>
            </w:pPr>
            <w:r w:rsidRPr="00F12C6E">
              <w:rPr>
                <w:sz w:val="24"/>
                <w:szCs w:val="24"/>
                <w:lang w:val="es-ES_tradnl"/>
              </w:rPr>
              <w:t>0,95-1,00</w:t>
            </w:r>
          </w:p>
        </w:tc>
      </w:tr>
      <w:tr w:rsidR="00F12C6E" w:rsidRPr="00F12C6E" w:rsidTr="00033F0F">
        <w:tc>
          <w:tcPr>
            <w:tcW w:w="950" w:type="pct"/>
            <w:tcBorders>
              <w:top w:val="nil"/>
            </w:tcBorders>
          </w:tcPr>
          <w:p w:rsidR="00F12C6E" w:rsidRPr="00F12C6E" w:rsidRDefault="00F12C6E" w:rsidP="00033F0F">
            <w:pPr>
              <w:jc w:val="both"/>
              <w:rPr>
                <w:sz w:val="24"/>
                <w:szCs w:val="24"/>
                <w:lang w:val="es-ES_tradnl"/>
              </w:rPr>
            </w:pPr>
            <w:r w:rsidRPr="00F12C6E">
              <w:rPr>
                <w:sz w:val="24"/>
                <w:szCs w:val="24"/>
                <w:lang w:val="es-ES_tradnl"/>
              </w:rPr>
              <w:t>Muy Buena (4)</w:t>
            </w:r>
          </w:p>
        </w:tc>
        <w:tc>
          <w:tcPr>
            <w:tcW w:w="602" w:type="pct"/>
            <w:tcBorders>
              <w:top w:val="nil"/>
            </w:tcBorders>
          </w:tcPr>
          <w:p w:rsidR="00F12C6E" w:rsidRPr="00F12C6E" w:rsidRDefault="00F12C6E" w:rsidP="00033F0F">
            <w:pPr>
              <w:jc w:val="center"/>
              <w:rPr>
                <w:sz w:val="24"/>
                <w:szCs w:val="24"/>
                <w:lang w:val="es-ES_tradnl"/>
              </w:rPr>
            </w:pPr>
            <w:r w:rsidRPr="00F12C6E">
              <w:rPr>
                <w:sz w:val="24"/>
                <w:szCs w:val="24"/>
                <w:lang w:val="es-ES_tradnl"/>
              </w:rPr>
              <w:t>0,80-0,94</w:t>
            </w:r>
          </w:p>
        </w:tc>
        <w:tc>
          <w:tcPr>
            <w:tcW w:w="688" w:type="pct"/>
            <w:tcBorders>
              <w:top w:val="nil"/>
            </w:tcBorders>
          </w:tcPr>
          <w:p w:rsidR="00F12C6E" w:rsidRPr="00F12C6E" w:rsidRDefault="00F12C6E" w:rsidP="00033F0F">
            <w:pPr>
              <w:ind w:right="-108" w:hanging="93"/>
              <w:jc w:val="center"/>
              <w:rPr>
                <w:sz w:val="24"/>
                <w:szCs w:val="24"/>
                <w:lang w:val="es-ES_tradnl"/>
              </w:rPr>
            </w:pPr>
            <w:r w:rsidRPr="00F12C6E">
              <w:rPr>
                <w:sz w:val="24"/>
                <w:szCs w:val="24"/>
                <w:lang w:val="es-ES_tradnl"/>
              </w:rPr>
              <w:t>0,9-0,96</w:t>
            </w:r>
          </w:p>
        </w:tc>
        <w:tc>
          <w:tcPr>
            <w:tcW w:w="689" w:type="pct"/>
            <w:tcBorders>
              <w:top w:val="nil"/>
            </w:tcBorders>
          </w:tcPr>
          <w:p w:rsidR="00F12C6E" w:rsidRPr="00F12C6E" w:rsidRDefault="00F12C6E" w:rsidP="00033F0F">
            <w:pPr>
              <w:ind w:right="-108" w:hanging="93"/>
              <w:jc w:val="center"/>
              <w:rPr>
                <w:sz w:val="24"/>
                <w:szCs w:val="24"/>
                <w:lang w:val="es-ES_tradnl"/>
              </w:rPr>
            </w:pPr>
            <w:r w:rsidRPr="00F12C6E">
              <w:rPr>
                <w:sz w:val="24"/>
                <w:szCs w:val="24"/>
                <w:lang w:val="es-ES_tradnl"/>
              </w:rPr>
              <w:t>99,00-99,89</w:t>
            </w:r>
          </w:p>
        </w:tc>
        <w:tc>
          <w:tcPr>
            <w:tcW w:w="689" w:type="pct"/>
            <w:tcBorders>
              <w:top w:val="nil"/>
            </w:tcBorders>
          </w:tcPr>
          <w:p w:rsidR="00F12C6E" w:rsidRPr="00F12C6E" w:rsidRDefault="00F12C6E" w:rsidP="00033F0F">
            <w:pPr>
              <w:jc w:val="center"/>
              <w:rPr>
                <w:sz w:val="24"/>
                <w:szCs w:val="24"/>
                <w:lang w:val="es-ES_tradnl"/>
              </w:rPr>
            </w:pPr>
            <w:r w:rsidRPr="00F12C6E">
              <w:rPr>
                <w:sz w:val="24"/>
                <w:szCs w:val="24"/>
                <w:lang w:val="es-ES_tradnl"/>
              </w:rPr>
              <w:t>0,95-1,00</w:t>
            </w:r>
          </w:p>
        </w:tc>
        <w:tc>
          <w:tcPr>
            <w:tcW w:w="604" w:type="pct"/>
            <w:tcBorders>
              <w:top w:val="nil"/>
            </w:tcBorders>
          </w:tcPr>
          <w:p w:rsidR="00F12C6E" w:rsidRPr="00F12C6E" w:rsidRDefault="00F12C6E" w:rsidP="00033F0F">
            <w:pPr>
              <w:jc w:val="center"/>
              <w:rPr>
                <w:color w:val="000000"/>
                <w:sz w:val="24"/>
                <w:szCs w:val="24"/>
                <w:lang w:val="es-ES_tradnl"/>
              </w:rPr>
            </w:pPr>
            <w:r w:rsidRPr="00F12C6E">
              <w:rPr>
                <w:sz w:val="24"/>
                <w:szCs w:val="24"/>
                <w:lang w:val="es-ES_tradnl"/>
              </w:rPr>
              <w:t>0,11-0,12</w:t>
            </w:r>
          </w:p>
        </w:tc>
        <w:tc>
          <w:tcPr>
            <w:tcW w:w="776" w:type="pct"/>
            <w:tcBorders>
              <w:top w:val="nil"/>
            </w:tcBorders>
          </w:tcPr>
          <w:p w:rsidR="00F12C6E" w:rsidRPr="00F12C6E" w:rsidRDefault="00F12C6E" w:rsidP="00033F0F">
            <w:pPr>
              <w:jc w:val="center"/>
              <w:rPr>
                <w:sz w:val="24"/>
                <w:szCs w:val="24"/>
                <w:lang w:val="es-ES_tradnl"/>
              </w:rPr>
            </w:pPr>
            <w:r w:rsidRPr="00F12C6E">
              <w:rPr>
                <w:color w:val="000000"/>
                <w:sz w:val="24"/>
                <w:szCs w:val="24"/>
                <w:lang w:val="es-ES_tradnl"/>
              </w:rPr>
              <w:t>0,88-0,94</w:t>
            </w:r>
          </w:p>
        </w:tc>
      </w:tr>
      <w:tr w:rsidR="00F12C6E" w:rsidRPr="00F12C6E" w:rsidTr="00033F0F">
        <w:tc>
          <w:tcPr>
            <w:tcW w:w="950" w:type="pct"/>
          </w:tcPr>
          <w:p w:rsidR="00F12C6E" w:rsidRPr="00F12C6E" w:rsidRDefault="00F12C6E" w:rsidP="00033F0F">
            <w:pPr>
              <w:jc w:val="both"/>
              <w:rPr>
                <w:sz w:val="24"/>
                <w:szCs w:val="24"/>
                <w:lang w:val="es-ES_tradnl"/>
              </w:rPr>
            </w:pPr>
            <w:r w:rsidRPr="00F12C6E">
              <w:rPr>
                <w:sz w:val="24"/>
                <w:szCs w:val="24"/>
                <w:lang w:val="es-ES_tradnl"/>
              </w:rPr>
              <w:t>Buena (3)</w:t>
            </w:r>
          </w:p>
        </w:tc>
        <w:tc>
          <w:tcPr>
            <w:tcW w:w="602" w:type="pct"/>
          </w:tcPr>
          <w:p w:rsidR="00F12C6E" w:rsidRPr="00F12C6E" w:rsidRDefault="00F12C6E" w:rsidP="00033F0F">
            <w:pPr>
              <w:jc w:val="center"/>
              <w:rPr>
                <w:sz w:val="24"/>
                <w:szCs w:val="24"/>
                <w:lang w:val="es-ES_tradnl"/>
              </w:rPr>
            </w:pPr>
            <w:r w:rsidRPr="00F12C6E">
              <w:rPr>
                <w:sz w:val="24"/>
                <w:szCs w:val="24"/>
                <w:lang w:val="es-ES_tradnl"/>
              </w:rPr>
              <w:t>0,70-0,79</w:t>
            </w:r>
          </w:p>
        </w:tc>
        <w:tc>
          <w:tcPr>
            <w:tcW w:w="688" w:type="pct"/>
          </w:tcPr>
          <w:p w:rsidR="00F12C6E" w:rsidRPr="00F12C6E" w:rsidRDefault="00F12C6E" w:rsidP="00033F0F">
            <w:pPr>
              <w:ind w:right="-108" w:hanging="93"/>
              <w:jc w:val="center"/>
              <w:rPr>
                <w:sz w:val="24"/>
                <w:szCs w:val="24"/>
                <w:lang w:val="es-ES_tradnl"/>
              </w:rPr>
            </w:pPr>
            <w:r w:rsidRPr="00F12C6E">
              <w:rPr>
                <w:sz w:val="24"/>
                <w:szCs w:val="24"/>
                <w:lang w:val="es-ES_tradnl"/>
              </w:rPr>
              <w:t>0,8-0,89</w:t>
            </w:r>
          </w:p>
        </w:tc>
        <w:tc>
          <w:tcPr>
            <w:tcW w:w="689" w:type="pct"/>
          </w:tcPr>
          <w:p w:rsidR="00F12C6E" w:rsidRPr="00F12C6E" w:rsidRDefault="00F12C6E" w:rsidP="00033F0F">
            <w:pPr>
              <w:ind w:right="-108" w:hanging="93"/>
              <w:jc w:val="center"/>
              <w:rPr>
                <w:sz w:val="24"/>
                <w:szCs w:val="24"/>
                <w:lang w:val="es-ES_tradnl"/>
              </w:rPr>
            </w:pPr>
            <w:r w:rsidRPr="00F12C6E">
              <w:rPr>
                <w:sz w:val="24"/>
                <w:szCs w:val="24"/>
                <w:lang w:val="es-ES_tradnl"/>
              </w:rPr>
              <w:t>98,50-98,99</w:t>
            </w:r>
          </w:p>
        </w:tc>
        <w:tc>
          <w:tcPr>
            <w:tcW w:w="689" w:type="pct"/>
          </w:tcPr>
          <w:p w:rsidR="00F12C6E" w:rsidRPr="00F12C6E" w:rsidRDefault="00F12C6E" w:rsidP="00033F0F">
            <w:pPr>
              <w:jc w:val="center"/>
              <w:rPr>
                <w:sz w:val="24"/>
                <w:szCs w:val="24"/>
                <w:lang w:val="es-ES_tradnl"/>
              </w:rPr>
            </w:pPr>
            <w:r w:rsidRPr="00F12C6E">
              <w:rPr>
                <w:sz w:val="24"/>
                <w:szCs w:val="24"/>
                <w:lang w:val="es-ES_tradnl"/>
              </w:rPr>
              <w:t>0,85-0,94</w:t>
            </w:r>
          </w:p>
        </w:tc>
        <w:tc>
          <w:tcPr>
            <w:tcW w:w="604" w:type="pct"/>
          </w:tcPr>
          <w:p w:rsidR="00F12C6E" w:rsidRPr="00F12C6E" w:rsidRDefault="00F12C6E" w:rsidP="00033F0F">
            <w:pPr>
              <w:jc w:val="center"/>
              <w:rPr>
                <w:color w:val="000000"/>
                <w:sz w:val="24"/>
                <w:szCs w:val="24"/>
                <w:lang w:val="es-ES_tradnl"/>
              </w:rPr>
            </w:pPr>
            <w:r w:rsidRPr="00F12C6E">
              <w:rPr>
                <w:sz w:val="24"/>
                <w:szCs w:val="24"/>
                <w:lang w:val="es-ES_tradnl"/>
              </w:rPr>
              <w:t>0,07-0,10</w:t>
            </w:r>
          </w:p>
        </w:tc>
        <w:tc>
          <w:tcPr>
            <w:tcW w:w="776" w:type="pct"/>
          </w:tcPr>
          <w:p w:rsidR="00F12C6E" w:rsidRPr="00F12C6E" w:rsidRDefault="00F12C6E" w:rsidP="00033F0F">
            <w:pPr>
              <w:jc w:val="center"/>
              <w:rPr>
                <w:sz w:val="24"/>
                <w:szCs w:val="24"/>
                <w:lang w:val="es-ES_tradnl"/>
              </w:rPr>
            </w:pPr>
            <w:r w:rsidRPr="00F12C6E">
              <w:rPr>
                <w:color w:val="000000"/>
                <w:sz w:val="24"/>
                <w:szCs w:val="24"/>
                <w:lang w:val="es-ES_tradnl"/>
              </w:rPr>
              <w:t>0,69-0,87</w:t>
            </w:r>
          </w:p>
        </w:tc>
      </w:tr>
      <w:tr w:rsidR="00F12C6E" w:rsidRPr="00F12C6E" w:rsidTr="00033F0F">
        <w:tc>
          <w:tcPr>
            <w:tcW w:w="950" w:type="pct"/>
          </w:tcPr>
          <w:p w:rsidR="00F12C6E" w:rsidRPr="00F12C6E" w:rsidRDefault="00F12C6E" w:rsidP="00033F0F">
            <w:pPr>
              <w:jc w:val="both"/>
              <w:rPr>
                <w:sz w:val="24"/>
                <w:szCs w:val="24"/>
                <w:lang w:val="es-ES_tradnl"/>
              </w:rPr>
            </w:pPr>
            <w:r w:rsidRPr="00F12C6E">
              <w:rPr>
                <w:sz w:val="24"/>
                <w:szCs w:val="24"/>
                <w:lang w:val="es-ES_tradnl"/>
              </w:rPr>
              <w:t>Regular (2)</w:t>
            </w:r>
          </w:p>
        </w:tc>
        <w:tc>
          <w:tcPr>
            <w:tcW w:w="602" w:type="pct"/>
          </w:tcPr>
          <w:p w:rsidR="00F12C6E" w:rsidRPr="00F12C6E" w:rsidRDefault="00F12C6E" w:rsidP="00033F0F">
            <w:pPr>
              <w:jc w:val="center"/>
              <w:rPr>
                <w:sz w:val="24"/>
                <w:szCs w:val="24"/>
                <w:lang w:val="es-ES_tradnl"/>
              </w:rPr>
            </w:pPr>
            <w:r w:rsidRPr="00F12C6E">
              <w:rPr>
                <w:sz w:val="24"/>
                <w:szCs w:val="24"/>
                <w:lang w:val="es-ES_tradnl"/>
              </w:rPr>
              <w:t>0,60-0,69</w:t>
            </w:r>
          </w:p>
        </w:tc>
        <w:tc>
          <w:tcPr>
            <w:tcW w:w="688" w:type="pct"/>
          </w:tcPr>
          <w:p w:rsidR="00F12C6E" w:rsidRPr="00F12C6E" w:rsidRDefault="00F12C6E" w:rsidP="00033F0F">
            <w:pPr>
              <w:ind w:right="-108" w:hanging="93"/>
              <w:jc w:val="center"/>
              <w:rPr>
                <w:sz w:val="24"/>
                <w:szCs w:val="24"/>
                <w:lang w:val="es-ES_tradnl"/>
              </w:rPr>
            </w:pPr>
            <w:r w:rsidRPr="00F12C6E">
              <w:rPr>
                <w:sz w:val="24"/>
                <w:szCs w:val="24"/>
                <w:lang w:val="es-ES_tradnl"/>
              </w:rPr>
              <w:t>0,7-0,79</w:t>
            </w:r>
          </w:p>
        </w:tc>
        <w:tc>
          <w:tcPr>
            <w:tcW w:w="689" w:type="pct"/>
          </w:tcPr>
          <w:p w:rsidR="00F12C6E" w:rsidRPr="00F12C6E" w:rsidRDefault="00F12C6E" w:rsidP="00033F0F">
            <w:pPr>
              <w:ind w:right="-108" w:hanging="93"/>
              <w:jc w:val="center"/>
              <w:rPr>
                <w:sz w:val="24"/>
                <w:szCs w:val="24"/>
                <w:lang w:val="es-ES_tradnl"/>
              </w:rPr>
            </w:pPr>
            <w:r w:rsidRPr="00F12C6E">
              <w:rPr>
                <w:sz w:val="24"/>
                <w:szCs w:val="24"/>
                <w:lang w:val="es-ES_tradnl"/>
              </w:rPr>
              <w:t>98,00-98,49</w:t>
            </w:r>
          </w:p>
        </w:tc>
        <w:tc>
          <w:tcPr>
            <w:tcW w:w="689" w:type="pct"/>
          </w:tcPr>
          <w:p w:rsidR="00F12C6E" w:rsidRPr="00F12C6E" w:rsidRDefault="00F12C6E" w:rsidP="00033F0F">
            <w:pPr>
              <w:jc w:val="center"/>
              <w:rPr>
                <w:sz w:val="24"/>
                <w:szCs w:val="24"/>
                <w:lang w:val="es-ES_tradnl"/>
              </w:rPr>
            </w:pPr>
            <w:r w:rsidRPr="00F12C6E">
              <w:rPr>
                <w:sz w:val="24"/>
                <w:szCs w:val="24"/>
                <w:lang w:val="es-ES_tradnl"/>
              </w:rPr>
              <w:t>0,75-0,84</w:t>
            </w:r>
          </w:p>
        </w:tc>
        <w:tc>
          <w:tcPr>
            <w:tcW w:w="604" w:type="pct"/>
          </w:tcPr>
          <w:p w:rsidR="00F12C6E" w:rsidRPr="00F12C6E" w:rsidRDefault="00F12C6E" w:rsidP="00033F0F">
            <w:pPr>
              <w:jc w:val="center"/>
              <w:rPr>
                <w:color w:val="000000"/>
                <w:sz w:val="24"/>
                <w:szCs w:val="24"/>
                <w:lang w:val="es-ES_tradnl"/>
              </w:rPr>
            </w:pPr>
            <w:r w:rsidRPr="00F12C6E">
              <w:rPr>
                <w:sz w:val="24"/>
                <w:szCs w:val="24"/>
                <w:lang w:val="es-ES_tradnl"/>
              </w:rPr>
              <w:t>0,03-0,06</w:t>
            </w:r>
          </w:p>
        </w:tc>
        <w:tc>
          <w:tcPr>
            <w:tcW w:w="776" w:type="pct"/>
          </w:tcPr>
          <w:p w:rsidR="00F12C6E" w:rsidRPr="00F12C6E" w:rsidRDefault="00F12C6E" w:rsidP="00033F0F">
            <w:pPr>
              <w:jc w:val="center"/>
              <w:rPr>
                <w:sz w:val="24"/>
                <w:szCs w:val="24"/>
                <w:lang w:val="es-ES_tradnl"/>
              </w:rPr>
            </w:pPr>
            <w:r w:rsidRPr="00F12C6E">
              <w:rPr>
                <w:color w:val="000000"/>
                <w:sz w:val="24"/>
                <w:szCs w:val="24"/>
                <w:lang w:val="es-ES_tradnl"/>
              </w:rPr>
              <w:t>0,55-0,68</w:t>
            </w:r>
          </w:p>
        </w:tc>
      </w:tr>
      <w:tr w:rsidR="00F12C6E" w:rsidRPr="00F12C6E" w:rsidTr="00033F0F">
        <w:tc>
          <w:tcPr>
            <w:tcW w:w="950" w:type="pct"/>
          </w:tcPr>
          <w:p w:rsidR="00F12C6E" w:rsidRPr="00F12C6E" w:rsidRDefault="00F12C6E" w:rsidP="00033F0F">
            <w:pPr>
              <w:jc w:val="both"/>
              <w:rPr>
                <w:sz w:val="24"/>
                <w:szCs w:val="24"/>
                <w:lang w:val="es-ES_tradnl"/>
              </w:rPr>
            </w:pPr>
            <w:r w:rsidRPr="00F12C6E">
              <w:rPr>
                <w:sz w:val="24"/>
                <w:szCs w:val="24"/>
                <w:lang w:val="es-ES_tradnl"/>
              </w:rPr>
              <w:t>Mala (1)</w:t>
            </w:r>
          </w:p>
        </w:tc>
        <w:tc>
          <w:tcPr>
            <w:tcW w:w="602" w:type="pct"/>
          </w:tcPr>
          <w:p w:rsidR="00F12C6E" w:rsidRPr="00F12C6E" w:rsidRDefault="00F12C6E" w:rsidP="00033F0F">
            <w:pPr>
              <w:jc w:val="center"/>
              <w:rPr>
                <w:sz w:val="24"/>
                <w:szCs w:val="24"/>
                <w:lang w:val="es-ES_tradnl"/>
              </w:rPr>
            </w:pPr>
            <w:r w:rsidRPr="00F12C6E">
              <w:rPr>
                <w:sz w:val="24"/>
                <w:szCs w:val="24"/>
                <w:lang w:val="es-ES_tradnl"/>
              </w:rPr>
              <w:t>0-0,59</w:t>
            </w:r>
          </w:p>
        </w:tc>
        <w:tc>
          <w:tcPr>
            <w:tcW w:w="688" w:type="pct"/>
          </w:tcPr>
          <w:p w:rsidR="00F12C6E" w:rsidRPr="00F12C6E" w:rsidRDefault="00F12C6E" w:rsidP="00033F0F">
            <w:pPr>
              <w:ind w:right="-108" w:hanging="93"/>
              <w:jc w:val="center"/>
              <w:rPr>
                <w:sz w:val="24"/>
                <w:szCs w:val="24"/>
                <w:lang w:val="es-ES_tradnl"/>
              </w:rPr>
            </w:pPr>
            <w:r w:rsidRPr="00F12C6E">
              <w:rPr>
                <w:sz w:val="24"/>
                <w:szCs w:val="24"/>
                <w:lang w:val="es-ES_tradnl"/>
              </w:rPr>
              <w:t>0-0,69</w:t>
            </w:r>
          </w:p>
        </w:tc>
        <w:tc>
          <w:tcPr>
            <w:tcW w:w="689" w:type="pct"/>
          </w:tcPr>
          <w:p w:rsidR="00F12C6E" w:rsidRPr="00F12C6E" w:rsidRDefault="00F12C6E" w:rsidP="00033F0F">
            <w:pPr>
              <w:ind w:right="-108" w:hanging="93"/>
              <w:jc w:val="center"/>
              <w:rPr>
                <w:sz w:val="24"/>
                <w:szCs w:val="24"/>
                <w:lang w:val="es-ES_tradnl"/>
              </w:rPr>
            </w:pPr>
            <w:r w:rsidRPr="00F12C6E">
              <w:rPr>
                <w:sz w:val="24"/>
                <w:szCs w:val="24"/>
                <w:lang w:val="es-ES_tradnl"/>
              </w:rPr>
              <w:t>0-97,00</w:t>
            </w:r>
          </w:p>
        </w:tc>
        <w:tc>
          <w:tcPr>
            <w:tcW w:w="689" w:type="pct"/>
          </w:tcPr>
          <w:p w:rsidR="00F12C6E" w:rsidRPr="00F12C6E" w:rsidRDefault="00F12C6E" w:rsidP="00033F0F">
            <w:pPr>
              <w:jc w:val="center"/>
              <w:rPr>
                <w:sz w:val="24"/>
                <w:szCs w:val="24"/>
                <w:lang w:val="es-ES_tradnl"/>
              </w:rPr>
            </w:pPr>
            <w:r w:rsidRPr="00F12C6E">
              <w:rPr>
                <w:sz w:val="24"/>
                <w:szCs w:val="24"/>
                <w:lang w:val="es-ES_tradnl"/>
              </w:rPr>
              <w:t>0-0,74</w:t>
            </w:r>
          </w:p>
        </w:tc>
        <w:tc>
          <w:tcPr>
            <w:tcW w:w="604" w:type="pct"/>
          </w:tcPr>
          <w:p w:rsidR="00F12C6E" w:rsidRPr="00F12C6E" w:rsidRDefault="00F12C6E" w:rsidP="00033F0F">
            <w:pPr>
              <w:jc w:val="center"/>
              <w:rPr>
                <w:color w:val="000000"/>
                <w:sz w:val="24"/>
                <w:szCs w:val="24"/>
                <w:lang w:val="es-ES_tradnl"/>
              </w:rPr>
            </w:pPr>
            <w:r w:rsidRPr="00F12C6E">
              <w:rPr>
                <w:sz w:val="24"/>
                <w:szCs w:val="24"/>
                <w:lang w:val="es-ES_tradnl"/>
              </w:rPr>
              <w:t>0-0,02</w:t>
            </w:r>
          </w:p>
        </w:tc>
        <w:tc>
          <w:tcPr>
            <w:tcW w:w="776" w:type="pct"/>
          </w:tcPr>
          <w:p w:rsidR="00F12C6E" w:rsidRPr="00F12C6E" w:rsidRDefault="00F12C6E" w:rsidP="00033F0F">
            <w:pPr>
              <w:jc w:val="center"/>
              <w:rPr>
                <w:sz w:val="24"/>
                <w:szCs w:val="24"/>
                <w:lang w:val="es-ES_tradnl"/>
              </w:rPr>
            </w:pPr>
            <w:r w:rsidRPr="00F12C6E">
              <w:rPr>
                <w:color w:val="000000"/>
                <w:sz w:val="24"/>
                <w:szCs w:val="24"/>
                <w:lang w:val="es-ES_tradnl"/>
              </w:rPr>
              <w:t>0-0,54</w:t>
            </w:r>
          </w:p>
        </w:tc>
      </w:tr>
    </w:tbl>
    <w:p w:rsidR="00F12C6E" w:rsidRPr="00F12C6E" w:rsidRDefault="00F12C6E" w:rsidP="00F12C6E">
      <w:pPr>
        <w:autoSpaceDE w:val="0"/>
        <w:autoSpaceDN w:val="0"/>
        <w:adjustRightInd w:val="0"/>
        <w:jc w:val="both"/>
        <w:rPr>
          <w:rFonts w:ascii="Times New Roman" w:hAnsi="Times New Roman" w:cs="Times New Roman"/>
          <w:sz w:val="24"/>
          <w:szCs w:val="24"/>
          <w:lang w:val="es-ES_tradnl"/>
        </w:rPr>
      </w:pPr>
      <w:r w:rsidRPr="00F12C6E">
        <w:rPr>
          <w:rFonts w:ascii="Times New Roman" w:hAnsi="Times New Roman" w:cs="Times New Roman"/>
          <w:sz w:val="24"/>
          <w:szCs w:val="24"/>
          <w:lang w:val="es-ES_tradnl"/>
        </w:rPr>
        <w:t xml:space="preserve">Nota: P: Productividad; NSC: Nivel de servicio al cliente; TVA: Tasa de valor agregado; ROI: Rentabilidad; Ec.EF: Eco-eficiencia </w:t>
      </w:r>
    </w:p>
    <w:p w:rsidR="00F12C6E" w:rsidRPr="00F12C6E" w:rsidRDefault="00F12C6E" w:rsidP="00F12C6E">
      <w:pPr>
        <w:autoSpaceDE w:val="0"/>
        <w:autoSpaceDN w:val="0"/>
        <w:adjustRightInd w:val="0"/>
        <w:jc w:val="both"/>
        <w:rPr>
          <w:rFonts w:ascii="Times New Roman" w:hAnsi="Times New Roman" w:cs="Times New Roman"/>
          <w:sz w:val="24"/>
          <w:szCs w:val="24"/>
          <w:lang w:val="es-ES_tradnl"/>
        </w:rPr>
      </w:pPr>
      <w:r w:rsidRPr="00F12C6E">
        <w:rPr>
          <w:rFonts w:ascii="Times New Roman" w:hAnsi="Times New Roman" w:cs="Times New Roman"/>
          <w:sz w:val="24"/>
          <w:szCs w:val="24"/>
          <w:lang w:val="es-ES_tradnl"/>
        </w:rPr>
        <w:t>Fuente: elaboración propia.</w:t>
      </w:r>
    </w:p>
    <w:p w:rsidR="00F12C6E" w:rsidRPr="00F12C6E" w:rsidRDefault="00F12C6E" w:rsidP="00F12C6E">
      <w:pPr>
        <w:autoSpaceDE w:val="0"/>
        <w:autoSpaceDN w:val="0"/>
        <w:adjustRightInd w:val="0"/>
        <w:jc w:val="both"/>
        <w:rPr>
          <w:rFonts w:ascii="Times New Roman" w:hAnsi="Times New Roman" w:cs="Times New Roman"/>
          <w:sz w:val="24"/>
          <w:szCs w:val="24"/>
          <w:lang w:val="es-ES_tradnl"/>
        </w:rPr>
      </w:pPr>
    </w:p>
    <w:p w:rsidR="00F12C6E" w:rsidRPr="00F12C6E" w:rsidRDefault="00F12C6E" w:rsidP="00F12C6E">
      <w:pPr>
        <w:pStyle w:val="Prrafodelista"/>
        <w:numPr>
          <w:ilvl w:val="0"/>
          <w:numId w:val="5"/>
        </w:numPr>
        <w:spacing w:after="0" w:line="240" w:lineRule="auto"/>
        <w:jc w:val="both"/>
        <w:rPr>
          <w:rFonts w:ascii="Times New Roman" w:hAnsi="Times New Roman" w:cs="Times New Roman"/>
          <w:sz w:val="24"/>
          <w:szCs w:val="24"/>
          <w:lang w:val="es-ES_tradnl"/>
        </w:rPr>
      </w:pPr>
      <w:r w:rsidRPr="00F12C6E">
        <w:rPr>
          <w:rFonts w:ascii="Times New Roman" w:hAnsi="Times New Roman" w:cs="Times New Roman"/>
          <w:sz w:val="24"/>
          <w:szCs w:val="24"/>
          <w:lang w:val="es-ES_tradnl"/>
        </w:rPr>
        <w:t xml:space="preserve">Paso 3. Calcular valor de cada criterio. </w:t>
      </w:r>
    </w:p>
    <w:p w:rsidR="00F12C6E" w:rsidRPr="00F12C6E" w:rsidRDefault="00F12C6E" w:rsidP="00F12C6E">
      <w:pPr>
        <w:pStyle w:val="Descripcin"/>
        <w:spacing w:after="0" w:line="276" w:lineRule="auto"/>
        <w:jc w:val="both"/>
        <w:rPr>
          <w:rFonts w:ascii="Times New Roman" w:hAnsi="Times New Roman"/>
          <w:b w:val="0"/>
          <w:smallCaps w:val="0"/>
          <w:color w:val="auto"/>
          <w:sz w:val="24"/>
          <w:szCs w:val="24"/>
        </w:rPr>
      </w:pPr>
      <w:r w:rsidRPr="00F12C6E">
        <w:rPr>
          <w:rFonts w:ascii="Times New Roman" w:hAnsi="Times New Roman"/>
          <w:b w:val="0"/>
          <w:smallCaps w:val="0"/>
          <w:color w:val="auto"/>
          <w:sz w:val="24"/>
          <w:szCs w:val="24"/>
        </w:rPr>
        <w:t>Como parte de este paso del procedimiento, se calcularon los valores de cada uno de los criterios para los CEE de 127v y 220v.</w:t>
      </w:r>
    </w:p>
    <w:p w:rsidR="00F12C6E" w:rsidRPr="00F12C6E" w:rsidRDefault="00F12C6E" w:rsidP="00F12C6E">
      <w:pPr>
        <w:pStyle w:val="Prrafodelista"/>
        <w:numPr>
          <w:ilvl w:val="0"/>
          <w:numId w:val="8"/>
        </w:numPr>
        <w:tabs>
          <w:tab w:val="left" w:pos="270"/>
        </w:tabs>
        <w:ind w:left="0" w:firstLine="0"/>
        <w:jc w:val="both"/>
        <w:rPr>
          <w:rFonts w:ascii="Times New Roman" w:eastAsia="Times New Roman" w:hAnsi="Times New Roman" w:cs="Times New Roman"/>
          <w:iCs/>
          <w:sz w:val="24"/>
          <w:szCs w:val="24"/>
          <w:lang w:val="es-ES_tradnl" w:eastAsia="es-ES"/>
        </w:rPr>
      </w:pPr>
      <w:r w:rsidRPr="00F12C6E">
        <w:rPr>
          <w:rFonts w:ascii="Times New Roman" w:eastAsia="Times New Roman" w:hAnsi="Times New Roman" w:cs="Times New Roman"/>
          <w:iCs/>
          <w:sz w:val="24"/>
          <w:szCs w:val="24"/>
          <w:lang w:val="es-ES_tradnl" w:eastAsia="es-ES"/>
        </w:rPr>
        <w:t xml:space="preserve">En el caso del NSC se tomó el 100% de los clientes encuestados. Una vez procesados los valores se obtuvo una evaluación para este indicador de 0,93, el cual es evaluado de Muy bueno según su escala (Tabla 2). </w:t>
      </w:r>
    </w:p>
    <w:p w:rsidR="00F12C6E" w:rsidRPr="00F12C6E" w:rsidRDefault="00F12C6E" w:rsidP="00F12C6E">
      <w:pPr>
        <w:pStyle w:val="Prrafodelista"/>
        <w:numPr>
          <w:ilvl w:val="0"/>
          <w:numId w:val="8"/>
        </w:numPr>
        <w:tabs>
          <w:tab w:val="left" w:pos="270"/>
        </w:tabs>
        <w:spacing w:after="0" w:line="240" w:lineRule="auto"/>
        <w:ind w:left="0" w:firstLine="0"/>
        <w:jc w:val="both"/>
        <w:rPr>
          <w:rFonts w:ascii="Times New Roman" w:eastAsia="Times New Roman" w:hAnsi="Times New Roman" w:cs="Times New Roman"/>
          <w:iCs/>
          <w:sz w:val="24"/>
          <w:szCs w:val="24"/>
          <w:lang w:val="es-ES_tradnl" w:eastAsia="es-ES"/>
        </w:rPr>
      </w:pPr>
      <w:r w:rsidRPr="00F12C6E">
        <w:rPr>
          <w:rFonts w:ascii="Times New Roman" w:eastAsia="Times New Roman" w:hAnsi="Times New Roman" w:cs="Times New Roman"/>
          <w:iCs/>
          <w:sz w:val="24"/>
          <w:szCs w:val="24"/>
          <w:lang w:val="es-ES_tradnl" w:eastAsia="es-ES"/>
        </w:rPr>
        <w:t xml:space="preserve">Para el cálculo de la TVA se partió de la determinación del VAij a través de las expresiones (5) y (6) obteniéndose los resultados de la Tabla 2, donde la ganancia de los CEE de 127v y de 220v es de 0,26 y 0,44 pesos por unidad, respectivamente. </w:t>
      </w:r>
    </w:p>
    <w:p w:rsidR="00F12C6E" w:rsidRPr="00F12C6E" w:rsidRDefault="00F12C6E" w:rsidP="00F12C6E">
      <w:pPr>
        <w:pStyle w:val="Prrafodelista"/>
        <w:tabs>
          <w:tab w:val="left" w:pos="270"/>
        </w:tabs>
        <w:spacing w:after="0" w:line="240" w:lineRule="auto"/>
        <w:ind w:left="0"/>
        <w:jc w:val="both"/>
        <w:rPr>
          <w:rFonts w:ascii="Times New Roman" w:eastAsia="Times New Roman" w:hAnsi="Times New Roman" w:cs="Times New Roman"/>
          <w:iCs/>
          <w:sz w:val="24"/>
          <w:szCs w:val="24"/>
          <w:lang w:val="es-ES_tradnl" w:eastAsia="es-ES"/>
        </w:rPr>
      </w:pPr>
    </w:p>
    <w:p w:rsidR="00F12C6E" w:rsidRPr="00F12C6E" w:rsidRDefault="00F12C6E" w:rsidP="00F12C6E">
      <w:pPr>
        <w:jc w:val="both"/>
        <w:rPr>
          <w:rFonts w:ascii="Times New Roman" w:hAnsi="Times New Roman" w:cs="Times New Roman"/>
          <w:iCs/>
          <w:sz w:val="24"/>
          <w:szCs w:val="24"/>
          <w:lang w:val="es-ES_tradnl"/>
        </w:rPr>
      </w:pPr>
      <w:r w:rsidRPr="00F12C6E">
        <w:rPr>
          <w:rFonts w:ascii="Times New Roman" w:hAnsi="Times New Roman" w:cs="Times New Roman"/>
          <w:iCs/>
          <w:sz w:val="24"/>
          <w:szCs w:val="24"/>
          <w:lang w:val="es-ES_tradnl"/>
        </w:rPr>
        <w:t xml:space="preserve">Tabla 2. Valor agregado de cada proceso. </w:t>
      </w:r>
    </w:p>
    <w:tbl>
      <w:tblPr>
        <w:tblW w:w="0" w:type="auto"/>
        <w:tblInd w:w="-5" w:type="dxa"/>
        <w:tblBorders>
          <w:top w:val="single" w:sz="4" w:space="0" w:color="auto"/>
          <w:bottom w:val="single" w:sz="4" w:space="0" w:color="auto"/>
        </w:tblBorders>
        <w:tblLook w:val="04A0" w:firstRow="1" w:lastRow="0" w:firstColumn="1" w:lastColumn="0" w:noHBand="0" w:noVBand="1"/>
      </w:tblPr>
      <w:tblGrid>
        <w:gridCol w:w="717"/>
        <w:gridCol w:w="756"/>
        <w:gridCol w:w="756"/>
        <w:gridCol w:w="750"/>
        <w:gridCol w:w="696"/>
        <w:gridCol w:w="1106"/>
        <w:gridCol w:w="875"/>
        <w:gridCol w:w="813"/>
      </w:tblGrid>
      <w:tr w:rsidR="00F12C6E" w:rsidRPr="00F12C6E" w:rsidTr="00033F0F">
        <w:trPr>
          <w:trHeight w:val="366"/>
        </w:trPr>
        <w:tc>
          <w:tcPr>
            <w:tcW w:w="0" w:type="auto"/>
            <w:vMerge w:val="restart"/>
            <w:shd w:val="clear" w:color="auto" w:fill="auto"/>
            <w:noWrap/>
            <w:hideMark/>
          </w:tcPr>
          <w:p w:rsidR="00F12C6E" w:rsidRPr="00F12C6E" w:rsidRDefault="00F12C6E" w:rsidP="00033F0F">
            <w:pPr>
              <w:ind w:left="-10" w:hanging="109"/>
              <w:jc w:val="both"/>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eastAsia="en-GB"/>
              </w:rPr>
              <w:t>Proc.</w:t>
            </w:r>
          </w:p>
        </w:tc>
        <w:tc>
          <w:tcPr>
            <w:tcW w:w="0" w:type="auto"/>
            <w:gridSpan w:val="2"/>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eastAsia="en-GB"/>
              </w:rPr>
              <w:t>Sw</w:t>
            </w:r>
            <w:r w:rsidRPr="00F12C6E">
              <w:rPr>
                <w:rFonts w:ascii="Times New Roman" w:hAnsi="Times New Roman" w:cs="Times New Roman"/>
                <w:color w:val="000000"/>
                <w:sz w:val="24"/>
                <w:szCs w:val="24"/>
                <w:vertAlign w:val="subscript"/>
                <w:lang w:val="es-ES_tradnl" w:eastAsia="en-GB"/>
              </w:rPr>
              <w:t>ij</w:t>
            </w:r>
          </w:p>
        </w:tc>
        <w:tc>
          <w:tcPr>
            <w:tcW w:w="0" w:type="auto"/>
            <w:gridSpan w:val="2"/>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eastAsia="en-GB"/>
              </w:rPr>
              <w:t>B</w:t>
            </w:r>
            <w:r w:rsidRPr="00F12C6E">
              <w:rPr>
                <w:rFonts w:ascii="Times New Roman" w:hAnsi="Times New Roman" w:cs="Times New Roman"/>
                <w:color w:val="000000"/>
                <w:sz w:val="24"/>
                <w:szCs w:val="24"/>
                <w:vertAlign w:val="subscript"/>
                <w:lang w:val="es-ES_tradnl" w:eastAsia="en-GB"/>
              </w:rPr>
              <w:t>j</w:t>
            </w:r>
          </w:p>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eastAsia="en-GB"/>
              </w:rPr>
              <w:t>($/CEE)</w:t>
            </w:r>
          </w:p>
        </w:tc>
        <w:tc>
          <w:tcPr>
            <w:tcW w:w="0" w:type="auto"/>
            <w:vMerge w:val="restart"/>
            <w:shd w:val="clear" w:color="auto" w:fill="auto"/>
            <w:noWrap/>
            <w:hideMark/>
          </w:tcPr>
          <w:p w:rsidR="00F12C6E" w:rsidRPr="00F12C6E" w:rsidRDefault="00F12C6E" w:rsidP="00033F0F">
            <w:pPr>
              <w:jc w:val="center"/>
              <w:rPr>
                <w:rFonts w:ascii="Times New Roman" w:hAnsi="Times New Roman" w:cs="Times New Roman"/>
                <w:color w:val="000000"/>
                <w:sz w:val="24"/>
                <w:szCs w:val="24"/>
                <w:vertAlign w:val="subscript"/>
                <w:lang w:val="es-ES_tradnl" w:eastAsia="en-GB"/>
              </w:rPr>
            </w:pPr>
            <w:r w:rsidRPr="00F12C6E">
              <w:rPr>
                <w:rFonts w:ascii="Times New Roman" w:hAnsi="Times New Roman" w:cs="Times New Roman"/>
                <w:color w:val="000000"/>
                <w:sz w:val="24"/>
                <w:szCs w:val="24"/>
                <w:lang w:val="es-ES_tradnl" w:eastAsia="en-GB"/>
              </w:rPr>
              <w:t>CA</w:t>
            </w:r>
            <w:r w:rsidRPr="00F12C6E">
              <w:rPr>
                <w:rFonts w:ascii="Times New Roman" w:hAnsi="Times New Roman" w:cs="Times New Roman"/>
                <w:color w:val="000000"/>
                <w:sz w:val="24"/>
                <w:szCs w:val="24"/>
                <w:vertAlign w:val="subscript"/>
                <w:lang w:val="es-ES_tradnl" w:eastAsia="en-GB"/>
              </w:rPr>
              <w:t>ij</w:t>
            </w:r>
          </w:p>
          <w:p w:rsidR="00F12C6E" w:rsidRPr="00F12C6E" w:rsidRDefault="00F12C6E" w:rsidP="00033F0F">
            <w:pPr>
              <w:ind w:hanging="30"/>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eastAsia="en-GB"/>
              </w:rPr>
              <w:t>($/CEE)</w:t>
            </w:r>
          </w:p>
        </w:tc>
        <w:tc>
          <w:tcPr>
            <w:tcW w:w="0" w:type="auto"/>
            <w:gridSpan w:val="2"/>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eastAsia="en-GB"/>
              </w:rPr>
              <w:t>VA</w:t>
            </w:r>
            <w:r w:rsidRPr="00F12C6E">
              <w:rPr>
                <w:rFonts w:ascii="Times New Roman" w:hAnsi="Times New Roman" w:cs="Times New Roman"/>
                <w:color w:val="000000"/>
                <w:sz w:val="24"/>
                <w:szCs w:val="24"/>
                <w:vertAlign w:val="subscript"/>
                <w:lang w:val="es-ES_tradnl" w:eastAsia="en-GB"/>
              </w:rPr>
              <w:t xml:space="preserve">ij  </w:t>
            </w:r>
            <w:r w:rsidRPr="00F12C6E">
              <w:rPr>
                <w:rFonts w:ascii="Times New Roman" w:hAnsi="Times New Roman" w:cs="Times New Roman"/>
                <w:color w:val="000000"/>
                <w:sz w:val="24"/>
                <w:szCs w:val="24"/>
                <w:lang w:val="es-ES_tradnl" w:eastAsia="en-GB"/>
              </w:rPr>
              <w:t>($/CEE)</w:t>
            </w:r>
          </w:p>
        </w:tc>
      </w:tr>
      <w:tr w:rsidR="00F12C6E" w:rsidRPr="00F12C6E" w:rsidTr="00033F0F">
        <w:trPr>
          <w:trHeight w:val="312"/>
        </w:trPr>
        <w:tc>
          <w:tcPr>
            <w:tcW w:w="0" w:type="auto"/>
            <w:vMerge/>
            <w:tcBorders>
              <w:bottom w:val="single" w:sz="4" w:space="0" w:color="auto"/>
            </w:tcBorders>
            <w:shd w:val="clear" w:color="auto" w:fill="auto"/>
            <w:noWrap/>
          </w:tcPr>
          <w:p w:rsidR="00F12C6E" w:rsidRPr="00F12C6E" w:rsidRDefault="00F12C6E" w:rsidP="00033F0F">
            <w:pPr>
              <w:ind w:left="-10" w:hanging="109"/>
              <w:jc w:val="both"/>
              <w:rPr>
                <w:rFonts w:ascii="Times New Roman" w:hAnsi="Times New Roman" w:cs="Times New Roman"/>
                <w:color w:val="000000"/>
                <w:sz w:val="24"/>
                <w:szCs w:val="24"/>
                <w:lang w:val="es-ES_tradnl" w:eastAsia="en-GB"/>
              </w:rPr>
            </w:pPr>
          </w:p>
        </w:tc>
        <w:tc>
          <w:tcPr>
            <w:tcW w:w="756" w:type="dxa"/>
            <w:tcBorders>
              <w:bottom w:val="single" w:sz="4" w:space="0" w:color="auto"/>
            </w:tcBorders>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bCs/>
                <w:color w:val="000000"/>
                <w:sz w:val="24"/>
                <w:szCs w:val="24"/>
                <w:lang w:val="es-ES_tradnl"/>
              </w:rPr>
              <w:t>127V</w:t>
            </w:r>
          </w:p>
        </w:tc>
        <w:tc>
          <w:tcPr>
            <w:tcW w:w="756" w:type="dxa"/>
            <w:tcBorders>
              <w:bottom w:val="single" w:sz="4" w:space="0" w:color="auto"/>
            </w:tcBorders>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bCs/>
                <w:color w:val="000000"/>
                <w:sz w:val="24"/>
                <w:szCs w:val="24"/>
                <w:lang w:val="es-ES_tradnl"/>
              </w:rPr>
              <w:t>220v</w:t>
            </w:r>
          </w:p>
        </w:tc>
        <w:tc>
          <w:tcPr>
            <w:tcW w:w="750" w:type="dxa"/>
            <w:tcBorders>
              <w:bottom w:val="single" w:sz="4" w:space="0" w:color="auto"/>
            </w:tcBorders>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eastAsia="en-GB"/>
              </w:rPr>
              <w:t>127V</w:t>
            </w:r>
          </w:p>
        </w:tc>
        <w:tc>
          <w:tcPr>
            <w:tcW w:w="696" w:type="dxa"/>
            <w:tcBorders>
              <w:bottom w:val="single" w:sz="4" w:space="0" w:color="auto"/>
            </w:tcBorders>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eastAsia="en-GB"/>
              </w:rPr>
              <w:t>220v</w:t>
            </w:r>
          </w:p>
        </w:tc>
        <w:tc>
          <w:tcPr>
            <w:tcW w:w="0" w:type="auto"/>
            <w:vMerge/>
            <w:tcBorders>
              <w:bottom w:val="single" w:sz="4" w:space="0" w:color="auto"/>
            </w:tcBorders>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eastAsia="en-GB"/>
              </w:rPr>
            </w:pPr>
          </w:p>
        </w:tc>
        <w:tc>
          <w:tcPr>
            <w:tcW w:w="0" w:type="auto"/>
            <w:tcBorders>
              <w:bottom w:val="single" w:sz="4" w:space="0" w:color="auto"/>
            </w:tcBorders>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eastAsia="en-GB"/>
              </w:rPr>
              <w:t>127V</w:t>
            </w:r>
          </w:p>
        </w:tc>
        <w:tc>
          <w:tcPr>
            <w:tcW w:w="0" w:type="auto"/>
            <w:tcBorders>
              <w:bottom w:val="single" w:sz="4" w:space="0" w:color="auto"/>
            </w:tcBorders>
            <w:shd w:val="clear" w:color="auto" w:fill="auto"/>
          </w:tcPr>
          <w:p w:rsidR="00F12C6E" w:rsidRPr="00F12C6E" w:rsidRDefault="00F12C6E" w:rsidP="00033F0F">
            <w:pPr>
              <w:ind w:right="-39" w:hanging="4"/>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eastAsia="en-GB"/>
              </w:rPr>
              <w:t>220v</w:t>
            </w:r>
          </w:p>
        </w:tc>
      </w:tr>
      <w:tr w:rsidR="00F12C6E" w:rsidRPr="00F12C6E" w:rsidTr="00033F0F">
        <w:trPr>
          <w:trHeight w:val="300"/>
        </w:trPr>
        <w:tc>
          <w:tcPr>
            <w:tcW w:w="0" w:type="auto"/>
            <w:tcBorders>
              <w:top w:val="single" w:sz="4" w:space="0" w:color="auto"/>
              <w:bottom w:val="nil"/>
            </w:tcBorders>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lastRenderedPageBreak/>
              <w:t>P-1</w:t>
            </w:r>
          </w:p>
        </w:tc>
        <w:tc>
          <w:tcPr>
            <w:tcW w:w="756" w:type="dxa"/>
            <w:tcBorders>
              <w:top w:val="single" w:sz="4" w:space="0" w:color="auto"/>
              <w:bottom w:val="nil"/>
            </w:tcBorders>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bCs/>
                <w:color w:val="000000"/>
                <w:sz w:val="24"/>
                <w:szCs w:val="24"/>
                <w:lang w:val="es-ES_tradnl"/>
              </w:rPr>
              <w:t>0,095</w:t>
            </w:r>
          </w:p>
        </w:tc>
        <w:tc>
          <w:tcPr>
            <w:tcW w:w="756" w:type="dxa"/>
            <w:tcBorders>
              <w:top w:val="single" w:sz="4" w:space="0" w:color="auto"/>
              <w:bottom w:val="nil"/>
            </w:tcBorders>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bCs/>
                <w:color w:val="000000"/>
                <w:sz w:val="24"/>
                <w:szCs w:val="24"/>
                <w:lang w:val="es-ES_tradnl"/>
              </w:rPr>
              <w:t>0,098</w:t>
            </w:r>
          </w:p>
        </w:tc>
        <w:tc>
          <w:tcPr>
            <w:tcW w:w="750" w:type="dxa"/>
            <w:vMerge w:val="restart"/>
            <w:tcBorders>
              <w:top w:val="single" w:sz="4" w:space="0" w:color="auto"/>
              <w:bottom w:val="nil"/>
            </w:tcBorders>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0,26</w:t>
            </w:r>
          </w:p>
        </w:tc>
        <w:tc>
          <w:tcPr>
            <w:tcW w:w="696" w:type="dxa"/>
            <w:vMerge w:val="restart"/>
            <w:tcBorders>
              <w:top w:val="single" w:sz="4" w:space="0" w:color="auto"/>
              <w:bottom w:val="nil"/>
            </w:tcBorders>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0,44</w:t>
            </w:r>
          </w:p>
        </w:tc>
        <w:tc>
          <w:tcPr>
            <w:tcW w:w="0" w:type="auto"/>
            <w:tcBorders>
              <w:top w:val="single" w:sz="4" w:space="0" w:color="auto"/>
              <w:bottom w:val="nil"/>
            </w:tcBorders>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rPr>
              <w:t>0,0153</w:t>
            </w:r>
          </w:p>
        </w:tc>
        <w:tc>
          <w:tcPr>
            <w:tcW w:w="0" w:type="auto"/>
            <w:tcBorders>
              <w:top w:val="single" w:sz="4" w:space="0" w:color="auto"/>
              <w:bottom w:val="nil"/>
            </w:tcBorders>
            <w:shd w:val="clear" w:color="auto" w:fill="auto"/>
            <w:noWrap/>
            <w:hideMark/>
          </w:tcPr>
          <w:p w:rsidR="00F12C6E" w:rsidRPr="00F12C6E" w:rsidRDefault="00F12C6E" w:rsidP="00033F0F">
            <w:pPr>
              <w:ind w:hanging="1"/>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0,114</w:t>
            </w:r>
          </w:p>
        </w:tc>
        <w:tc>
          <w:tcPr>
            <w:tcW w:w="0" w:type="auto"/>
            <w:tcBorders>
              <w:top w:val="single" w:sz="4" w:space="0" w:color="auto"/>
              <w:bottom w:val="nil"/>
            </w:tcBorders>
          </w:tcPr>
          <w:p w:rsidR="00F12C6E" w:rsidRPr="00F12C6E" w:rsidRDefault="00F12C6E" w:rsidP="00033F0F">
            <w:pPr>
              <w:ind w:hanging="81"/>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0,095</w:t>
            </w:r>
          </w:p>
        </w:tc>
      </w:tr>
      <w:tr w:rsidR="00F12C6E" w:rsidRPr="00F12C6E" w:rsidTr="00033F0F">
        <w:trPr>
          <w:trHeight w:val="300"/>
        </w:trPr>
        <w:tc>
          <w:tcPr>
            <w:tcW w:w="0" w:type="auto"/>
            <w:tcBorders>
              <w:top w:val="nil"/>
            </w:tcBorders>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P-2</w:t>
            </w:r>
          </w:p>
        </w:tc>
        <w:tc>
          <w:tcPr>
            <w:tcW w:w="756" w:type="dxa"/>
            <w:tcBorders>
              <w:top w:val="nil"/>
            </w:tcBorders>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bCs/>
                <w:color w:val="000000"/>
                <w:sz w:val="24"/>
                <w:szCs w:val="24"/>
                <w:lang w:val="es-ES_tradnl"/>
              </w:rPr>
              <w:t>0,025</w:t>
            </w:r>
          </w:p>
        </w:tc>
        <w:tc>
          <w:tcPr>
            <w:tcW w:w="756" w:type="dxa"/>
            <w:tcBorders>
              <w:top w:val="nil"/>
            </w:tcBorders>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bCs/>
                <w:color w:val="000000"/>
                <w:sz w:val="24"/>
                <w:szCs w:val="24"/>
                <w:lang w:val="es-ES_tradnl"/>
              </w:rPr>
              <w:t>0,029</w:t>
            </w:r>
          </w:p>
        </w:tc>
        <w:tc>
          <w:tcPr>
            <w:tcW w:w="750" w:type="dxa"/>
            <w:vMerge/>
            <w:tcBorders>
              <w:top w:val="nil"/>
            </w:tcBorders>
          </w:tcPr>
          <w:p w:rsidR="00F12C6E" w:rsidRPr="00F12C6E" w:rsidRDefault="00F12C6E" w:rsidP="00033F0F">
            <w:pPr>
              <w:jc w:val="both"/>
              <w:rPr>
                <w:rFonts w:ascii="Times New Roman" w:hAnsi="Times New Roman" w:cs="Times New Roman"/>
                <w:color w:val="000000"/>
                <w:sz w:val="24"/>
                <w:szCs w:val="24"/>
                <w:lang w:val="es-ES_tradnl"/>
              </w:rPr>
            </w:pPr>
          </w:p>
        </w:tc>
        <w:tc>
          <w:tcPr>
            <w:tcW w:w="696" w:type="dxa"/>
            <w:vMerge/>
            <w:tcBorders>
              <w:top w:val="nil"/>
            </w:tcBorders>
          </w:tcPr>
          <w:p w:rsidR="00F12C6E" w:rsidRPr="00F12C6E" w:rsidRDefault="00F12C6E" w:rsidP="00033F0F">
            <w:pPr>
              <w:jc w:val="both"/>
              <w:rPr>
                <w:rFonts w:ascii="Times New Roman" w:hAnsi="Times New Roman" w:cs="Times New Roman"/>
                <w:color w:val="000000"/>
                <w:sz w:val="24"/>
                <w:szCs w:val="24"/>
                <w:lang w:val="es-ES_tradnl"/>
              </w:rPr>
            </w:pPr>
          </w:p>
        </w:tc>
        <w:tc>
          <w:tcPr>
            <w:tcW w:w="0" w:type="auto"/>
            <w:tcBorders>
              <w:top w:val="nil"/>
            </w:tcBorders>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rPr>
              <w:t>0,0129</w:t>
            </w:r>
          </w:p>
        </w:tc>
        <w:tc>
          <w:tcPr>
            <w:tcW w:w="0" w:type="auto"/>
            <w:tcBorders>
              <w:top w:val="nil"/>
            </w:tcBorders>
            <w:shd w:val="clear" w:color="auto" w:fill="auto"/>
            <w:noWrap/>
            <w:hideMark/>
          </w:tcPr>
          <w:p w:rsidR="00F12C6E" w:rsidRPr="00F12C6E" w:rsidRDefault="00F12C6E" w:rsidP="00033F0F">
            <w:pPr>
              <w:ind w:hanging="1"/>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0,063</w:t>
            </w:r>
          </w:p>
        </w:tc>
        <w:tc>
          <w:tcPr>
            <w:tcW w:w="0" w:type="auto"/>
            <w:tcBorders>
              <w:top w:val="nil"/>
            </w:tcBorders>
          </w:tcPr>
          <w:p w:rsidR="00F12C6E" w:rsidRPr="00F12C6E" w:rsidRDefault="00F12C6E" w:rsidP="00033F0F">
            <w:pPr>
              <w:ind w:hanging="81"/>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0,068</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P-3</w:t>
            </w:r>
          </w:p>
        </w:tc>
        <w:tc>
          <w:tcPr>
            <w:tcW w:w="756"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bCs/>
                <w:color w:val="000000"/>
                <w:sz w:val="24"/>
                <w:szCs w:val="24"/>
                <w:lang w:val="es-ES_tradnl"/>
              </w:rPr>
              <w:t>0,009</w:t>
            </w:r>
          </w:p>
        </w:tc>
        <w:tc>
          <w:tcPr>
            <w:tcW w:w="756"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bCs/>
                <w:color w:val="000000"/>
                <w:sz w:val="24"/>
                <w:szCs w:val="24"/>
                <w:lang w:val="es-ES_tradnl"/>
              </w:rPr>
              <w:t>0,013</w:t>
            </w:r>
          </w:p>
        </w:tc>
        <w:tc>
          <w:tcPr>
            <w:tcW w:w="750" w:type="dxa"/>
            <w:vMerge/>
          </w:tcPr>
          <w:p w:rsidR="00F12C6E" w:rsidRPr="00F12C6E" w:rsidRDefault="00F12C6E" w:rsidP="00033F0F">
            <w:pPr>
              <w:jc w:val="both"/>
              <w:rPr>
                <w:rFonts w:ascii="Times New Roman" w:hAnsi="Times New Roman" w:cs="Times New Roman"/>
                <w:color w:val="000000"/>
                <w:sz w:val="24"/>
                <w:szCs w:val="24"/>
                <w:lang w:val="es-ES_tradnl"/>
              </w:rPr>
            </w:pPr>
          </w:p>
        </w:tc>
        <w:tc>
          <w:tcPr>
            <w:tcW w:w="696" w:type="dxa"/>
            <w:vMerge/>
          </w:tcPr>
          <w:p w:rsidR="00F12C6E" w:rsidRPr="00F12C6E" w:rsidRDefault="00F12C6E" w:rsidP="00033F0F">
            <w:pPr>
              <w:jc w:val="both"/>
              <w:rPr>
                <w:rFonts w:ascii="Times New Roman" w:hAnsi="Times New Roman" w:cs="Times New Roman"/>
                <w:color w:val="000000"/>
                <w:sz w:val="24"/>
                <w:szCs w:val="24"/>
                <w:lang w:val="es-ES_tradnl"/>
              </w:rPr>
            </w:pP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rPr>
              <w:t>0,0003</w:t>
            </w:r>
          </w:p>
        </w:tc>
        <w:tc>
          <w:tcPr>
            <w:tcW w:w="0" w:type="auto"/>
            <w:shd w:val="clear" w:color="auto" w:fill="auto"/>
            <w:noWrap/>
            <w:hideMark/>
          </w:tcPr>
          <w:p w:rsidR="00F12C6E" w:rsidRPr="00F12C6E" w:rsidRDefault="00F12C6E" w:rsidP="00033F0F">
            <w:pPr>
              <w:ind w:hanging="1"/>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0,048</w:t>
            </w:r>
          </w:p>
        </w:tc>
        <w:tc>
          <w:tcPr>
            <w:tcW w:w="0" w:type="auto"/>
          </w:tcPr>
          <w:p w:rsidR="00F12C6E" w:rsidRPr="00F12C6E" w:rsidRDefault="00F12C6E" w:rsidP="00033F0F">
            <w:pPr>
              <w:ind w:hanging="81"/>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0,049</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P-4</w:t>
            </w:r>
          </w:p>
        </w:tc>
        <w:tc>
          <w:tcPr>
            <w:tcW w:w="756"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bCs/>
                <w:color w:val="000000"/>
                <w:sz w:val="24"/>
                <w:szCs w:val="24"/>
                <w:lang w:val="es-ES_tradnl"/>
              </w:rPr>
              <w:t>0,009</w:t>
            </w:r>
          </w:p>
        </w:tc>
        <w:tc>
          <w:tcPr>
            <w:tcW w:w="756"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bCs/>
                <w:color w:val="000000"/>
                <w:sz w:val="24"/>
                <w:szCs w:val="24"/>
                <w:lang w:val="es-ES_tradnl"/>
              </w:rPr>
              <w:t>0,013</w:t>
            </w:r>
          </w:p>
        </w:tc>
        <w:tc>
          <w:tcPr>
            <w:tcW w:w="750" w:type="dxa"/>
            <w:vMerge/>
          </w:tcPr>
          <w:p w:rsidR="00F12C6E" w:rsidRPr="00F12C6E" w:rsidRDefault="00F12C6E" w:rsidP="00033F0F">
            <w:pPr>
              <w:jc w:val="both"/>
              <w:rPr>
                <w:rFonts w:ascii="Times New Roman" w:hAnsi="Times New Roman" w:cs="Times New Roman"/>
                <w:color w:val="000000"/>
                <w:sz w:val="24"/>
                <w:szCs w:val="24"/>
                <w:lang w:val="es-ES_tradnl"/>
              </w:rPr>
            </w:pPr>
          </w:p>
        </w:tc>
        <w:tc>
          <w:tcPr>
            <w:tcW w:w="696" w:type="dxa"/>
            <w:vMerge/>
          </w:tcPr>
          <w:p w:rsidR="00F12C6E" w:rsidRPr="00F12C6E" w:rsidRDefault="00F12C6E" w:rsidP="00033F0F">
            <w:pPr>
              <w:jc w:val="both"/>
              <w:rPr>
                <w:rFonts w:ascii="Times New Roman" w:hAnsi="Times New Roman" w:cs="Times New Roman"/>
                <w:color w:val="000000"/>
                <w:sz w:val="24"/>
                <w:szCs w:val="24"/>
                <w:lang w:val="es-ES_tradnl"/>
              </w:rPr>
            </w:pP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rPr>
              <w:t>0,0001</w:t>
            </w:r>
          </w:p>
        </w:tc>
        <w:tc>
          <w:tcPr>
            <w:tcW w:w="0" w:type="auto"/>
            <w:shd w:val="clear" w:color="auto" w:fill="auto"/>
            <w:noWrap/>
            <w:hideMark/>
          </w:tcPr>
          <w:p w:rsidR="00F12C6E" w:rsidRPr="00F12C6E" w:rsidRDefault="00F12C6E" w:rsidP="00033F0F">
            <w:pPr>
              <w:ind w:hanging="1"/>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0,048</w:t>
            </w:r>
          </w:p>
        </w:tc>
        <w:tc>
          <w:tcPr>
            <w:tcW w:w="0" w:type="auto"/>
          </w:tcPr>
          <w:p w:rsidR="00F12C6E" w:rsidRPr="00F12C6E" w:rsidRDefault="00F12C6E" w:rsidP="00033F0F">
            <w:pPr>
              <w:ind w:hanging="81"/>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0,049</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P-5</w:t>
            </w:r>
          </w:p>
        </w:tc>
        <w:tc>
          <w:tcPr>
            <w:tcW w:w="756"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bCs/>
                <w:color w:val="000000"/>
                <w:sz w:val="24"/>
                <w:szCs w:val="24"/>
                <w:lang w:val="es-ES_tradnl"/>
              </w:rPr>
              <w:t>0,116</w:t>
            </w:r>
          </w:p>
        </w:tc>
        <w:tc>
          <w:tcPr>
            <w:tcW w:w="756"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bCs/>
                <w:color w:val="000000"/>
                <w:sz w:val="24"/>
                <w:szCs w:val="24"/>
                <w:lang w:val="es-ES_tradnl"/>
              </w:rPr>
              <w:t>0,114</w:t>
            </w:r>
          </w:p>
        </w:tc>
        <w:tc>
          <w:tcPr>
            <w:tcW w:w="750" w:type="dxa"/>
            <w:vMerge/>
          </w:tcPr>
          <w:p w:rsidR="00F12C6E" w:rsidRPr="00F12C6E" w:rsidRDefault="00F12C6E" w:rsidP="00033F0F">
            <w:pPr>
              <w:jc w:val="both"/>
              <w:rPr>
                <w:rFonts w:ascii="Times New Roman" w:hAnsi="Times New Roman" w:cs="Times New Roman"/>
                <w:color w:val="000000"/>
                <w:sz w:val="24"/>
                <w:szCs w:val="24"/>
                <w:lang w:val="es-ES_tradnl"/>
              </w:rPr>
            </w:pPr>
          </w:p>
        </w:tc>
        <w:tc>
          <w:tcPr>
            <w:tcW w:w="696" w:type="dxa"/>
            <w:vMerge/>
          </w:tcPr>
          <w:p w:rsidR="00F12C6E" w:rsidRPr="00F12C6E" w:rsidRDefault="00F12C6E" w:rsidP="00033F0F">
            <w:pPr>
              <w:jc w:val="both"/>
              <w:rPr>
                <w:rFonts w:ascii="Times New Roman" w:hAnsi="Times New Roman" w:cs="Times New Roman"/>
                <w:color w:val="000000"/>
                <w:sz w:val="24"/>
                <w:szCs w:val="24"/>
                <w:lang w:val="es-ES_tradnl"/>
              </w:rPr>
            </w:pP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rPr>
              <w:t>0,1745</w:t>
            </w:r>
          </w:p>
        </w:tc>
        <w:tc>
          <w:tcPr>
            <w:tcW w:w="0" w:type="auto"/>
            <w:shd w:val="clear" w:color="auto" w:fill="auto"/>
            <w:noWrap/>
            <w:hideMark/>
          </w:tcPr>
          <w:p w:rsidR="00F12C6E" w:rsidRPr="00F12C6E" w:rsidRDefault="00F12C6E" w:rsidP="00033F0F">
            <w:pPr>
              <w:ind w:hanging="1"/>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0,239</w:t>
            </w:r>
          </w:p>
        </w:tc>
        <w:tc>
          <w:tcPr>
            <w:tcW w:w="0" w:type="auto"/>
          </w:tcPr>
          <w:p w:rsidR="00F12C6E" w:rsidRPr="00F12C6E" w:rsidRDefault="00F12C6E" w:rsidP="00033F0F">
            <w:pPr>
              <w:ind w:hanging="81"/>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0,262</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P-6</w:t>
            </w:r>
          </w:p>
        </w:tc>
        <w:tc>
          <w:tcPr>
            <w:tcW w:w="756"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bCs/>
                <w:color w:val="000000"/>
                <w:sz w:val="24"/>
                <w:szCs w:val="24"/>
                <w:lang w:val="es-ES_tradnl"/>
              </w:rPr>
              <w:t>0,194</w:t>
            </w:r>
          </w:p>
        </w:tc>
        <w:tc>
          <w:tcPr>
            <w:tcW w:w="756"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bCs/>
                <w:color w:val="000000"/>
                <w:sz w:val="24"/>
                <w:szCs w:val="24"/>
                <w:lang w:val="es-ES_tradnl"/>
              </w:rPr>
              <w:t>0,186</w:t>
            </w:r>
          </w:p>
        </w:tc>
        <w:tc>
          <w:tcPr>
            <w:tcW w:w="750" w:type="dxa"/>
            <w:vMerge/>
          </w:tcPr>
          <w:p w:rsidR="00F12C6E" w:rsidRPr="00F12C6E" w:rsidRDefault="00F12C6E" w:rsidP="00033F0F">
            <w:pPr>
              <w:jc w:val="both"/>
              <w:rPr>
                <w:rFonts w:ascii="Times New Roman" w:hAnsi="Times New Roman" w:cs="Times New Roman"/>
                <w:color w:val="000000"/>
                <w:sz w:val="24"/>
                <w:szCs w:val="24"/>
                <w:lang w:val="es-ES_tradnl"/>
              </w:rPr>
            </w:pPr>
          </w:p>
        </w:tc>
        <w:tc>
          <w:tcPr>
            <w:tcW w:w="696" w:type="dxa"/>
            <w:vMerge/>
          </w:tcPr>
          <w:p w:rsidR="00F12C6E" w:rsidRPr="00F12C6E" w:rsidRDefault="00F12C6E" w:rsidP="00033F0F">
            <w:pPr>
              <w:jc w:val="both"/>
              <w:rPr>
                <w:rFonts w:ascii="Times New Roman" w:hAnsi="Times New Roman" w:cs="Times New Roman"/>
                <w:color w:val="000000"/>
                <w:sz w:val="24"/>
                <w:szCs w:val="24"/>
                <w:lang w:val="es-ES_tradnl"/>
              </w:rPr>
            </w:pP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rPr>
              <w:t>0,3624</w:t>
            </w:r>
          </w:p>
        </w:tc>
        <w:tc>
          <w:tcPr>
            <w:tcW w:w="0" w:type="auto"/>
            <w:shd w:val="clear" w:color="auto" w:fill="auto"/>
            <w:noWrap/>
            <w:hideMark/>
          </w:tcPr>
          <w:p w:rsidR="00F12C6E" w:rsidRPr="00F12C6E" w:rsidRDefault="00F12C6E" w:rsidP="00033F0F">
            <w:pPr>
              <w:ind w:hanging="1"/>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0,438</w:t>
            </w:r>
          </w:p>
        </w:tc>
        <w:tc>
          <w:tcPr>
            <w:tcW w:w="0" w:type="auto"/>
          </w:tcPr>
          <w:p w:rsidR="00F12C6E" w:rsidRPr="00F12C6E" w:rsidRDefault="00F12C6E" w:rsidP="00033F0F">
            <w:pPr>
              <w:ind w:hanging="81"/>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0,478</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P-7</w:t>
            </w:r>
          </w:p>
        </w:tc>
        <w:tc>
          <w:tcPr>
            <w:tcW w:w="756"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bCs/>
                <w:color w:val="000000"/>
                <w:sz w:val="24"/>
                <w:szCs w:val="24"/>
                <w:lang w:val="es-ES_tradnl"/>
              </w:rPr>
              <w:t>0,315</w:t>
            </w:r>
          </w:p>
        </w:tc>
        <w:tc>
          <w:tcPr>
            <w:tcW w:w="756"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bCs/>
                <w:color w:val="000000"/>
                <w:sz w:val="24"/>
                <w:szCs w:val="24"/>
                <w:lang w:val="es-ES_tradnl"/>
              </w:rPr>
              <w:t>0,309</w:t>
            </w:r>
          </w:p>
        </w:tc>
        <w:tc>
          <w:tcPr>
            <w:tcW w:w="750" w:type="dxa"/>
            <w:vMerge/>
          </w:tcPr>
          <w:p w:rsidR="00F12C6E" w:rsidRPr="00F12C6E" w:rsidRDefault="00F12C6E" w:rsidP="00033F0F">
            <w:pPr>
              <w:jc w:val="both"/>
              <w:rPr>
                <w:rFonts w:ascii="Times New Roman" w:hAnsi="Times New Roman" w:cs="Times New Roman"/>
                <w:color w:val="000000"/>
                <w:sz w:val="24"/>
                <w:szCs w:val="24"/>
                <w:lang w:val="es-ES_tradnl"/>
              </w:rPr>
            </w:pPr>
          </w:p>
        </w:tc>
        <w:tc>
          <w:tcPr>
            <w:tcW w:w="696" w:type="dxa"/>
            <w:vMerge/>
          </w:tcPr>
          <w:p w:rsidR="00F12C6E" w:rsidRPr="00F12C6E" w:rsidRDefault="00F12C6E" w:rsidP="00033F0F">
            <w:pPr>
              <w:jc w:val="both"/>
              <w:rPr>
                <w:rFonts w:ascii="Times New Roman" w:hAnsi="Times New Roman" w:cs="Times New Roman"/>
                <w:color w:val="000000"/>
                <w:sz w:val="24"/>
                <w:szCs w:val="24"/>
                <w:lang w:val="es-ES_tradnl"/>
              </w:rPr>
            </w:pP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rPr>
              <w:t>0,3124</w:t>
            </w:r>
          </w:p>
        </w:tc>
        <w:tc>
          <w:tcPr>
            <w:tcW w:w="0" w:type="auto"/>
            <w:shd w:val="clear" w:color="auto" w:fill="auto"/>
            <w:noWrap/>
            <w:hideMark/>
          </w:tcPr>
          <w:p w:rsidR="00F12C6E" w:rsidRPr="00F12C6E" w:rsidRDefault="00F12C6E" w:rsidP="00033F0F">
            <w:pPr>
              <w:ind w:hanging="1"/>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0,408</w:t>
            </w:r>
          </w:p>
        </w:tc>
        <w:tc>
          <w:tcPr>
            <w:tcW w:w="0" w:type="auto"/>
          </w:tcPr>
          <w:p w:rsidR="00F12C6E" w:rsidRPr="00F12C6E" w:rsidRDefault="00F12C6E" w:rsidP="00033F0F">
            <w:pPr>
              <w:ind w:hanging="81"/>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0,472</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P-8</w:t>
            </w:r>
          </w:p>
        </w:tc>
        <w:tc>
          <w:tcPr>
            <w:tcW w:w="756"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bCs/>
                <w:color w:val="000000"/>
                <w:sz w:val="24"/>
                <w:szCs w:val="24"/>
                <w:lang w:val="es-ES_tradnl"/>
              </w:rPr>
              <w:t>0,196</w:t>
            </w:r>
          </w:p>
        </w:tc>
        <w:tc>
          <w:tcPr>
            <w:tcW w:w="756"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bCs/>
                <w:color w:val="000000"/>
                <w:sz w:val="24"/>
                <w:szCs w:val="24"/>
                <w:lang w:val="es-ES_tradnl"/>
              </w:rPr>
              <w:t>0,188</w:t>
            </w:r>
          </w:p>
        </w:tc>
        <w:tc>
          <w:tcPr>
            <w:tcW w:w="750" w:type="dxa"/>
            <w:vMerge/>
          </w:tcPr>
          <w:p w:rsidR="00F12C6E" w:rsidRPr="00F12C6E" w:rsidRDefault="00F12C6E" w:rsidP="00033F0F">
            <w:pPr>
              <w:jc w:val="both"/>
              <w:rPr>
                <w:rFonts w:ascii="Times New Roman" w:hAnsi="Times New Roman" w:cs="Times New Roman"/>
                <w:color w:val="000000"/>
                <w:sz w:val="24"/>
                <w:szCs w:val="24"/>
                <w:lang w:val="es-ES_tradnl"/>
              </w:rPr>
            </w:pPr>
          </w:p>
        </w:tc>
        <w:tc>
          <w:tcPr>
            <w:tcW w:w="696" w:type="dxa"/>
            <w:vMerge/>
          </w:tcPr>
          <w:p w:rsidR="00F12C6E" w:rsidRPr="00F12C6E" w:rsidRDefault="00F12C6E" w:rsidP="00033F0F">
            <w:pPr>
              <w:jc w:val="both"/>
              <w:rPr>
                <w:rFonts w:ascii="Times New Roman" w:hAnsi="Times New Roman" w:cs="Times New Roman"/>
                <w:color w:val="000000"/>
                <w:sz w:val="24"/>
                <w:szCs w:val="24"/>
                <w:lang w:val="es-ES_tradnl"/>
              </w:rPr>
            </w:pP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rPr>
              <w:t>0,3895</w:t>
            </w:r>
          </w:p>
        </w:tc>
        <w:tc>
          <w:tcPr>
            <w:tcW w:w="0" w:type="auto"/>
            <w:shd w:val="clear" w:color="auto" w:fill="auto"/>
            <w:noWrap/>
            <w:hideMark/>
          </w:tcPr>
          <w:p w:rsidR="00F12C6E" w:rsidRPr="00F12C6E" w:rsidRDefault="00F12C6E" w:rsidP="00033F0F">
            <w:pPr>
              <w:ind w:hanging="1"/>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0,466</w:t>
            </w:r>
          </w:p>
        </w:tc>
        <w:tc>
          <w:tcPr>
            <w:tcW w:w="0" w:type="auto"/>
          </w:tcPr>
          <w:p w:rsidR="00F12C6E" w:rsidRPr="00F12C6E" w:rsidRDefault="00F12C6E" w:rsidP="00033F0F">
            <w:pPr>
              <w:ind w:hanging="81"/>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0,506</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P-9</w:t>
            </w:r>
          </w:p>
        </w:tc>
        <w:tc>
          <w:tcPr>
            <w:tcW w:w="756"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bCs/>
                <w:color w:val="000000"/>
                <w:sz w:val="24"/>
                <w:szCs w:val="24"/>
                <w:lang w:val="es-ES_tradnl"/>
              </w:rPr>
              <w:t>0,011</w:t>
            </w:r>
          </w:p>
        </w:tc>
        <w:tc>
          <w:tcPr>
            <w:tcW w:w="756"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bCs/>
                <w:color w:val="000000"/>
                <w:sz w:val="24"/>
                <w:szCs w:val="24"/>
                <w:lang w:val="es-ES_tradnl"/>
              </w:rPr>
              <w:t>0,015</w:t>
            </w:r>
          </w:p>
        </w:tc>
        <w:tc>
          <w:tcPr>
            <w:tcW w:w="750" w:type="dxa"/>
            <w:vMerge/>
          </w:tcPr>
          <w:p w:rsidR="00F12C6E" w:rsidRPr="00F12C6E" w:rsidRDefault="00F12C6E" w:rsidP="00033F0F">
            <w:pPr>
              <w:jc w:val="both"/>
              <w:rPr>
                <w:rFonts w:ascii="Times New Roman" w:hAnsi="Times New Roman" w:cs="Times New Roman"/>
                <w:color w:val="000000"/>
                <w:sz w:val="24"/>
                <w:szCs w:val="24"/>
                <w:lang w:val="es-ES_tradnl"/>
              </w:rPr>
            </w:pPr>
          </w:p>
        </w:tc>
        <w:tc>
          <w:tcPr>
            <w:tcW w:w="696" w:type="dxa"/>
            <w:vMerge/>
          </w:tcPr>
          <w:p w:rsidR="00F12C6E" w:rsidRPr="00F12C6E" w:rsidRDefault="00F12C6E" w:rsidP="00033F0F">
            <w:pPr>
              <w:jc w:val="both"/>
              <w:rPr>
                <w:rFonts w:ascii="Times New Roman" w:hAnsi="Times New Roman" w:cs="Times New Roman"/>
                <w:color w:val="000000"/>
                <w:sz w:val="24"/>
                <w:szCs w:val="24"/>
                <w:lang w:val="es-ES_tradnl"/>
              </w:rPr>
            </w:pP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rPr>
              <w:t>0,0087</w:t>
            </w:r>
          </w:p>
        </w:tc>
        <w:tc>
          <w:tcPr>
            <w:tcW w:w="0" w:type="auto"/>
            <w:shd w:val="clear" w:color="auto" w:fill="auto"/>
            <w:noWrap/>
            <w:hideMark/>
          </w:tcPr>
          <w:p w:rsidR="00F12C6E" w:rsidRPr="00F12C6E" w:rsidRDefault="00F12C6E" w:rsidP="00033F0F">
            <w:pPr>
              <w:ind w:hanging="1"/>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0,057</w:t>
            </w:r>
          </w:p>
        </w:tc>
        <w:tc>
          <w:tcPr>
            <w:tcW w:w="0" w:type="auto"/>
          </w:tcPr>
          <w:p w:rsidR="00F12C6E" w:rsidRPr="00F12C6E" w:rsidRDefault="00F12C6E" w:rsidP="00033F0F">
            <w:pPr>
              <w:ind w:hanging="81"/>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0,058</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rPr>
              <w:t>P-10</w:t>
            </w:r>
          </w:p>
        </w:tc>
        <w:tc>
          <w:tcPr>
            <w:tcW w:w="756"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bCs/>
                <w:color w:val="000000"/>
                <w:sz w:val="24"/>
                <w:szCs w:val="24"/>
                <w:lang w:val="es-ES_tradnl"/>
              </w:rPr>
              <w:t>0,031</w:t>
            </w:r>
          </w:p>
        </w:tc>
        <w:tc>
          <w:tcPr>
            <w:tcW w:w="756"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bCs/>
                <w:color w:val="000000"/>
                <w:sz w:val="24"/>
                <w:szCs w:val="24"/>
                <w:lang w:val="es-ES_tradnl"/>
              </w:rPr>
              <w:t>0,035</w:t>
            </w:r>
          </w:p>
        </w:tc>
        <w:tc>
          <w:tcPr>
            <w:tcW w:w="750" w:type="dxa"/>
            <w:vMerge/>
          </w:tcPr>
          <w:p w:rsidR="00F12C6E" w:rsidRPr="00F12C6E" w:rsidRDefault="00F12C6E" w:rsidP="00033F0F">
            <w:pPr>
              <w:jc w:val="both"/>
              <w:rPr>
                <w:rFonts w:ascii="Times New Roman" w:hAnsi="Times New Roman" w:cs="Times New Roman"/>
                <w:color w:val="000000"/>
                <w:sz w:val="24"/>
                <w:szCs w:val="24"/>
                <w:lang w:val="es-ES_tradnl"/>
              </w:rPr>
            </w:pPr>
          </w:p>
        </w:tc>
        <w:tc>
          <w:tcPr>
            <w:tcW w:w="696" w:type="dxa"/>
            <w:vMerge/>
          </w:tcPr>
          <w:p w:rsidR="00F12C6E" w:rsidRPr="00F12C6E" w:rsidRDefault="00F12C6E" w:rsidP="00033F0F">
            <w:pPr>
              <w:jc w:val="both"/>
              <w:rPr>
                <w:rFonts w:ascii="Times New Roman" w:hAnsi="Times New Roman" w:cs="Times New Roman"/>
                <w:color w:val="000000"/>
                <w:sz w:val="24"/>
                <w:szCs w:val="24"/>
                <w:lang w:val="es-ES_tradnl"/>
              </w:rPr>
            </w:pP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rPr>
              <w:t>0,0128</w:t>
            </w:r>
          </w:p>
        </w:tc>
        <w:tc>
          <w:tcPr>
            <w:tcW w:w="0" w:type="auto"/>
            <w:shd w:val="clear" w:color="auto" w:fill="auto"/>
            <w:noWrap/>
            <w:hideMark/>
          </w:tcPr>
          <w:p w:rsidR="00F12C6E" w:rsidRPr="00F12C6E" w:rsidRDefault="00F12C6E" w:rsidP="00033F0F">
            <w:pPr>
              <w:ind w:hanging="1"/>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0,064</w:t>
            </w:r>
          </w:p>
        </w:tc>
        <w:tc>
          <w:tcPr>
            <w:tcW w:w="0" w:type="auto"/>
          </w:tcPr>
          <w:p w:rsidR="00F12C6E" w:rsidRPr="00F12C6E" w:rsidRDefault="00F12C6E" w:rsidP="00033F0F">
            <w:pPr>
              <w:ind w:hanging="81"/>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0,070</w:t>
            </w:r>
          </w:p>
        </w:tc>
      </w:tr>
    </w:tbl>
    <w:p w:rsidR="00F12C6E" w:rsidRPr="00F12C6E" w:rsidRDefault="00F12C6E" w:rsidP="00F12C6E">
      <w:pPr>
        <w:jc w:val="both"/>
        <w:rPr>
          <w:rFonts w:ascii="Times New Roman" w:hAnsi="Times New Roman" w:cs="Times New Roman"/>
          <w:sz w:val="24"/>
          <w:szCs w:val="24"/>
          <w:lang w:val="es-ES_tradnl"/>
        </w:rPr>
      </w:pPr>
      <w:r w:rsidRPr="00F12C6E">
        <w:rPr>
          <w:rFonts w:ascii="Times New Roman" w:hAnsi="Times New Roman" w:cs="Times New Roman"/>
          <w:sz w:val="24"/>
          <w:szCs w:val="24"/>
          <w:lang w:val="es-ES_tradnl"/>
        </w:rPr>
        <w:t>Fuente: elaboración propia.</w:t>
      </w:r>
    </w:p>
    <w:p w:rsidR="00F12C6E" w:rsidRPr="00F12C6E" w:rsidRDefault="00F12C6E" w:rsidP="00F12C6E">
      <w:pPr>
        <w:spacing w:before="120"/>
        <w:jc w:val="both"/>
        <w:rPr>
          <w:rFonts w:ascii="Times New Roman" w:hAnsi="Times New Roman" w:cs="Times New Roman"/>
          <w:sz w:val="24"/>
          <w:szCs w:val="24"/>
          <w:lang w:val="es-ES_tradnl"/>
        </w:rPr>
      </w:pPr>
    </w:p>
    <w:p w:rsidR="00F12C6E" w:rsidRPr="00F12C6E" w:rsidRDefault="00F12C6E" w:rsidP="00F12C6E">
      <w:pPr>
        <w:spacing w:before="120"/>
        <w:jc w:val="both"/>
        <w:rPr>
          <w:rFonts w:ascii="Times New Roman" w:hAnsi="Times New Roman" w:cs="Times New Roman"/>
          <w:iCs/>
          <w:sz w:val="24"/>
          <w:szCs w:val="24"/>
          <w:lang w:val="es-ES_tradnl"/>
        </w:rPr>
      </w:pPr>
      <w:r w:rsidRPr="00F12C6E">
        <w:rPr>
          <w:rFonts w:ascii="Times New Roman" w:hAnsi="Times New Roman" w:cs="Times New Roman"/>
          <w:sz w:val="24"/>
          <w:szCs w:val="24"/>
          <w:lang w:val="es-ES_tradnl"/>
        </w:rPr>
        <w:t>Luego, tomando como base que el</w:t>
      </w:r>
      <w:r w:rsidRPr="00F12C6E">
        <w:rPr>
          <w:rFonts w:ascii="Times New Roman" w:hAnsi="Times New Roman" w:cs="Times New Roman"/>
          <w:iCs/>
          <w:sz w:val="24"/>
          <w:szCs w:val="24"/>
          <w:lang w:val="es-ES_tradnl"/>
        </w:rPr>
        <w:t xml:space="preserve"> volumen total de producción fue de 137.828 contadores eléctricos (CEE) de 127v y 262.172 de 220v, con 295 defectuosos (133 de 127v y 163 de 220v), de los cuales se recuperaron 133 de 127v y 113 de 220v, se obtuvo una TVA de 99,87%. Este valor es considerado como muy bueno en la Tabla 2.</w:t>
      </w:r>
    </w:p>
    <w:p w:rsidR="00F12C6E" w:rsidRPr="00F12C6E" w:rsidRDefault="00F12C6E" w:rsidP="00F12C6E">
      <w:pPr>
        <w:pStyle w:val="Prrafodelista"/>
        <w:numPr>
          <w:ilvl w:val="0"/>
          <w:numId w:val="8"/>
        </w:numPr>
        <w:tabs>
          <w:tab w:val="left" w:pos="270"/>
        </w:tabs>
        <w:ind w:left="0" w:firstLine="0"/>
        <w:jc w:val="both"/>
        <w:rPr>
          <w:rFonts w:ascii="Times New Roman" w:eastAsia="Times New Roman" w:hAnsi="Times New Roman" w:cs="Times New Roman"/>
          <w:iCs/>
          <w:sz w:val="24"/>
          <w:szCs w:val="24"/>
          <w:lang w:val="es-ES_tradnl" w:eastAsia="es-ES"/>
        </w:rPr>
      </w:pPr>
      <w:r w:rsidRPr="00F12C6E">
        <w:rPr>
          <w:rFonts w:ascii="Times New Roman" w:eastAsia="Times New Roman" w:hAnsi="Times New Roman" w:cs="Times New Roman"/>
          <w:iCs/>
          <w:sz w:val="24"/>
          <w:szCs w:val="24"/>
          <w:lang w:val="es-ES_tradnl" w:eastAsia="es-ES"/>
        </w:rPr>
        <w:t xml:space="preserve">Para la productividad, donde se utilizó el modelo DEA </w:t>
      </w:r>
      <w:r w:rsidRPr="00F12C6E">
        <w:rPr>
          <w:rFonts w:ascii="Times New Roman" w:eastAsia="Times New Roman" w:hAnsi="Times New Roman" w:cs="Times New Roman"/>
          <w:iCs/>
          <w:sz w:val="24"/>
          <w:szCs w:val="24"/>
          <w:lang w:val="es-ES_tradnl" w:eastAsia="es-ES"/>
        </w:rPr>
        <w:fldChar w:fldCharType="begin" w:fldLock="1"/>
      </w:r>
      <w:r w:rsidRPr="00F12C6E">
        <w:rPr>
          <w:rFonts w:ascii="Times New Roman" w:eastAsia="Times New Roman" w:hAnsi="Times New Roman" w:cs="Times New Roman"/>
          <w:iCs/>
          <w:sz w:val="24"/>
          <w:szCs w:val="24"/>
          <w:lang w:val="es-ES_tradnl" w:eastAsia="es-ES"/>
        </w:rPr>
        <w:instrText>ADDIN CSL_CITATION {"citationItems":[{"id":"ITEM-1","itemData":{"ISBN":"0377-2217","author":[{"dropping-particle":"","family":"Charnes","given":"Abraham","non-dropping-particle":"","parse-names":false,"suffix":""},{"dropping-particle":"","family":"Cooper","given":"William W","non-dropping-particle":"","parse-names":false,"suffix":""},{"dropping-particle":"","family":"Rhodes","given":"Edwardo","non-dropping-particle":"","parse-names":false,"suffix":""}],"container-title":"European Journal of Operational Research","id":"ITEM-1","issue":"6","issued":{"date-parts":[["1978"]]},"page":"429-444","title":"Measuring the efficiency of decision making units","type":"article-journal","volume":"2"},"uris":["http://www.mendeley.com/documents/?uuid=2dcad691-00b2-4c96-ab7e-cc5bdeaa6cb8"]}],"mendeley":{"formattedCitation":"(Charnes et al., 1978)","plainTextFormattedCitation":"(Charnes et al., 1978)","previouslyFormattedCitation":"(Charnes et al., 1978)"},"properties":{"noteIndex":0},"schema":"https://github.com/citation-style-language/schema/raw/master/csl-citation.json"}</w:instrText>
      </w:r>
      <w:r w:rsidRPr="00F12C6E">
        <w:rPr>
          <w:rFonts w:ascii="Times New Roman" w:eastAsia="Times New Roman" w:hAnsi="Times New Roman" w:cs="Times New Roman"/>
          <w:iCs/>
          <w:sz w:val="24"/>
          <w:szCs w:val="24"/>
          <w:lang w:val="es-ES_tradnl" w:eastAsia="es-ES"/>
        </w:rPr>
        <w:fldChar w:fldCharType="separate"/>
      </w:r>
      <w:r w:rsidRPr="00F12C6E">
        <w:rPr>
          <w:rFonts w:ascii="Times New Roman" w:eastAsia="Times New Roman" w:hAnsi="Times New Roman" w:cs="Times New Roman"/>
          <w:iCs/>
          <w:sz w:val="24"/>
          <w:szCs w:val="24"/>
          <w:lang w:val="es-ES_tradnl" w:eastAsia="es-ES"/>
        </w:rPr>
        <w:t>(Charnes et al., 1978)</w:t>
      </w:r>
      <w:r w:rsidRPr="00F12C6E">
        <w:rPr>
          <w:rFonts w:ascii="Times New Roman" w:eastAsia="Times New Roman" w:hAnsi="Times New Roman" w:cs="Times New Roman"/>
          <w:iCs/>
          <w:sz w:val="24"/>
          <w:szCs w:val="24"/>
          <w:lang w:val="es-ES_tradnl" w:eastAsia="es-ES"/>
        </w:rPr>
        <w:fldChar w:fldCharType="end"/>
      </w:r>
      <w:r w:rsidRPr="00F12C6E">
        <w:rPr>
          <w:rFonts w:ascii="Times New Roman" w:eastAsia="Times New Roman" w:hAnsi="Times New Roman" w:cs="Times New Roman"/>
          <w:iCs/>
          <w:sz w:val="24"/>
          <w:szCs w:val="24"/>
          <w:lang w:val="es-ES_tradnl" w:eastAsia="es-ES"/>
        </w:rPr>
        <w:t>, se tomaron como entradas las mostradas en la Tabla 3, junto con el resultado de la aplicación del modelo (última columna). Luego, aplicando la expresión (7) se obtuvo un valor de 0,766, para una evaluación de Bien en la Tabla 2.</w:t>
      </w:r>
    </w:p>
    <w:p w:rsidR="00F12C6E" w:rsidRPr="00F12C6E" w:rsidRDefault="00F12C6E" w:rsidP="00F12C6E">
      <w:pPr>
        <w:pStyle w:val="Prrafodelista"/>
        <w:numPr>
          <w:ilvl w:val="0"/>
          <w:numId w:val="8"/>
        </w:numPr>
        <w:tabs>
          <w:tab w:val="left" w:pos="270"/>
        </w:tabs>
        <w:ind w:left="0" w:firstLine="0"/>
        <w:jc w:val="both"/>
        <w:rPr>
          <w:rFonts w:ascii="Times New Roman" w:eastAsia="Times New Roman" w:hAnsi="Times New Roman" w:cs="Times New Roman"/>
          <w:iCs/>
          <w:sz w:val="24"/>
          <w:szCs w:val="24"/>
          <w:lang w:val="es-ES_tradnl" w:eastAsia="es-ES"/>
        </w:rPr>
      </w:pPr>
      <w:r w:rsidRPr="00F12C6E">
        <w:rPr>
          <w:rFonts w:ascii="Times New Roman" w:eastAsia="Times New Roman" w:hAnsi="Times New Roman" w:cs="Times New Roman"/>
          <w:iCs/>
          <w:sz w:val="24"/>
          <w:szCs w:val="24"/>
          <w:lang w:val="es-ES_tradnl" w:eastAsia="es-ES"/>
        </w:rPr>
        <w:t>La rentabilidad al igual que el NSC fue obtenida de manera global. Primeramente, se identificó el nivel de venta (7.398,9 miles de pesos), la utilidad (162,9 miles de pesos) y el total de activos (4.973,8 miles de pesos). Luego, se aplicó la expresión (8) donde se obtuvo un ROI de 0,0328 para una evaluación de regular (Tabla 2).</w:t>
      </w:r>
    </w:p>
    <w:p w:rsidR="00F12C6E" w:rsidRPr="00F12C6E" w:rsidRDefault="00F12C6E" w:rsidP="00F12C6E">
      <w:pPr>
        <w:pStyle w:val="Prrafodelista"/>
        <w:tabs>
          <w:tab w:val="left" w:pos="270"/>
        </w:tabs>
        <w:ind w:left="0"/>
        <w:jc w:val="both"/>
        <w:rPr>
          <w:rFonts w:ascii="Times New Roman" w:eastAsia="Times New Roman" w:hAnsi="Times New Roman" w:cs="Times New Roman"/>
          <w:iCs/>
          <w:sz w:val="24"/>
          <w:szCs w:val="24"/>
          <w:lang w:val="es-ES_tradnl" w:eastAsia="es-ES"/>
        </w:rPr>
      </w:pPr>
    </w:p>
    <w:p w:rsidR="00F12C6E" w:rsidRPr="00F12C6E" w:rsidRDefault="00F12C6E" w:rsidP="00F12C6E">
      <w:pPr>
        <w:jc w:val="both"/>
        <w:rPr>
          <w:rFonts w:ascii="Times New Roman" w:hAnsi="Times New Roman" w:cs="Times New Roman"/>
          <w:iCs/>
          <w:sz w:val="24"/>
          <w:szCs w:val="24"/>
          <w:lang w:val="es-ES_tradnl"/>
        </w:rPr>
      </w:pPr>
      <w:r w:rsidRPr="00F12C6E">
        <w:rPr>
          <w:rFonts w:ascii="Times New Roman" w:hAnsi="Times New Roman" w:cs="Times New Roman"/>
          <w:iCs/>
          <w:sz w:val="24"/>
          <w:szCs w:val="24"/>
          <w:lang w:val="es-ES_tradnl"/>
        </w:rPr>
        <w:t xml:space="preserve">Tabla 3. Entradas a cada proceso de la CS en 8 horas de trabajo. </w:t>
      </w:r>
    </w:p>
    <w:tbl>
      <w:tblPr>
        <w:tblW w:w="0" w:type="auto"/>
        <w:tblInd w:w="-5" w:type="dxa"/>
        <w:tblBorders>
          <w:top w:val="single" w:sz="4" w:space="0" w:color="auto"/>
          <w:bottom w:val="single" w:sz="4" w:space="0" w:color="auto"/>
        </w:tblBorders>
        <w:tblLook w:val="04A0" w:firstRow="1" w:lastRow="0" w:firstColumn="1" w:lastColumn="0" w:noHBand="0" w:noVBand="1"/>
      </w:tblPr>
      <w:tblGrid>
        <w:gridCol w:w="976"/>
        <w:gridCol w:w="1027"/>
        <w:gridCol w:w="1492"/>
        <w:gridCol w:w="1593"/>
        <w:gridCol w:w="604"/>
        <w:gridCol w:w="813"/>
      </w:tblGrid>
      <w:tr w:rsidR="00F12C6E" w:rsidRPr="00F12C6E" w:rsidTr="00033F0F">
        <w:trPr>
          <w:trHeight w:val="349"/>
        </w:trPr>
        <w:tc>
          <w:tcPr>
            <w:tcW w:w="0" w:type="auto"/>
            <w:tcBorders>
              <w:bottom w:val="single" w:sz="4" w:space="0" w:color="auto"/>
            </w:tcBorders>
            <w:shd w:val="clear" w:color="auto" w:fill="auto"/>
            <w:noWrap/>
            <w:hideMark/>
          </w:tcPr>
          <w:p w:rsidR="00F12C6E" w:rsidRPr="00F12C6E" w:rsidRDefault="00F12C6E" w:rsidP="00033F0F">
            <w:pPr>
              <w:jc w:val="both"/>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eastAsia="en-GB"/>
              </w:rPr>
              <w:t>Proceso</w:t>
            </w:r>
          </w:p>
        </w:tc>
        <w:tc>
          <w:tcPr>
            <w:tcW w:w="1027" w:type="dxa"/>
            <w:tcBorders>
              <w:bottom w:val="single" w:sz="4" w:space="0" w:color="auto"/>
            </w:tcBorders>
            <w:shd w:val="clear" w:color="auto" w:fill="auto"/>
            <w:noWrap/>
          </w:tcPr>
          <w:p w:rsidR="00F12C6E" w:rsidRPr="00F12C6E" w:rsidRDefault="00F12C6E" w:rsidP="00033F0F">
            <w:pPr>
              <w:ind w:hanging="284"/>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eastAsia="en-GB"/>
              </w:rPr>
              <w:t>En</w:t>
            </w:r>
          </w:p>
        </w:tc>
        <w:tc>
          <w:tcPr>
            <w:tcW w:w="1492" w:type="dxa"/>
            <w:tcBorders>
              <w:bottom w:val="single" w:sz="4" w:space="0" w:color="auto"/>
            </w:tcBorders>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t</w:t>
            </w:r>
            <w:r w:rsidRPr="00F12C6E">
              <w:rPr>
                <w:rFonts w:ascii="Times New Roman" w:hAnsi="Times New Roman" w:cs="Times New Roman"/>
                <w:color w:val="000000"/>
                <w:sz w:val="24"/>
                <w:szCs w:val="24"/>
                <w:vertAlign w:val="subscript"/>
                <w:lang w:val="es-ES_tradnl"/>
              </w:rPr>
              <w:t>ij</w:t>
            </w:r>
            <w:r w:rsidRPr="00F12C6E">
              <w:rPr>
                <w:rFonts w:ascii="Times New Roman" w:hAnsi="Times New Roman" w:cs="Times New Roman"/>
                <w:color w:val="000000"/>
                <w:sz w:val="24"/>
                <w:szCs w:val="24"/>
                <w:lang w:val="es-ES_tradnl"/>
              </w:rPr>
              <w:t xml:space="preserve"> (horas/año)</w:t>
            </w:r>
          </w:p>
        </w:tc>
        <w:tc>
          <w:tcPr>
            <w:tcW w:w="1593" w:type="dxa"/>
            <w:tcBorders>
              <w:bottom w:val="single" w:sz="4" w:space="0" w:color="auto"/>
            </w:tcBorders>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C</w:t>
            </w:r>
            <w:r w:rsidRPr="00F12C6E">
              <w:rPr>
                <w:rFonts w:ascii="Times New Roman" w:hAnsi="Times New Roman" w:cs="Times New Roman"/>
                <w:color w:val="000000"/>
                <w:sz w:val="24"/>
                <w:szCs w:val="24"/>
                <w:vertAlign w:val="subscript"/>
                <w:lang w:val="es-ES_tradnl"/>
              </w:rPr>
              <w:t>ij</w:t>
            </w:r>
            <w:r w:rsidRPr="00F12C6E">
              <w:rPr>
                <w:rFonts w:ascii="Times New Roman" w:hAnsi="Times New Roman" w:cs="Times New Roman"/>
                <w:color w:val="000000"/>
                <w:sz w:val="24"/>
                <w:szCs w:val="24"/>
                <w:lang w:val="es-ES_tradnl"/>
              </w:rPr>
              <w:t xml:space="preserve"> ($/año)</w:t>
            </w:r>
          </w:p>
        </w:tc>
        <w:tc>
          <w:tcPr>
            <w:tcW w:w="604" w:type="dxa"/>
            <w:tcBorders>
              <w:bottom w:val="single" w:sz="4" w:space="0" w:color="auto"/>
            </w:tcBorders>
            <w:shd w:val="clear" w:color="auto" w:fill="auto"/>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Ob</w:t>
            </w:r>
          </w:p>
        </w:tc>
        <w:tc>
          <w:tcPr>
            <w:tcW w:w="813" w:type="dxa"/>
            <w:tcBorders>
              <w:bottom w:val="single" w:sz="4" w:space="0" w:color="auto"/>
            </w:tcBorders>
          </w:tcPr>
          <w:p w:rsidR="00F12C6E" w:rsidRPr="00F12C6E" w:rsidRDefault="00F12C6E" w:rsidP="00033F0F">
            <w:pPr>
              <w:ind w:left="-82"/>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Pr</w:t>
            </w:r>
          </w:p>
        </w:tc>
      </w:tr>
      <w:tr w:rsidR="00F12C6E" w:rsidRPr="00F12C6E" w:rsidTr="00033F0F">
        <w:trPr>
          <w:trHeight w:val="300"/>
        </w:trPr>
        <w:tc>
          <w:tcPr>
            <w:tcW w:w="0" w:type="auto"/>
            <w:tcBorders>
              <w:top w:val="single" w:sz="4" w:space="0" w:color="auto"/>
              <w:bottom w:val="nil"/>
            </w:tcBorders>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P-1</w:t>
            </w:r>
          </w:p>
        </w:tc>
        <w:tc>
          <w:tcPr>
            <w:tcW w:w="1027" w:type="dxa"/>
            <w:tcBorders>
              <w:top w:val="single" w:sz="4" w:space="0" w:color="auto"/>
              <w:bottom w:val="nil"/>
            </w:tcBorders>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64,80</w:t>
            </w:r>
          </w:p>
        </w:tc>
        <w:tc>
          <w:tcPr>
            <w:tcW w:w="1492" w:type="dxa"/>
            <w:tcBorders>
              <w:top w:val="single" w:sz="4" w:space="0" w:color="auto"/>
              <w:bottom w:val="nil"/>
            </w:tcBorders>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3,09</w:t>
            </w:r>
          </w:p>
        </w:tc>
        <w:tc>
          <w:tcPr>
            <w:tcW w:w="1593" w:type="dxa"/>
            <w:tcBorders>
              <w:top w:val="single" w:sz="4" w:space="0" w:color="auto"/>
              <w:bottom w:val="nil"/>
            </w:tcBorders>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27,50</w:t>
            </w:r>
          </w:p>
        </w:tc>
        <w:tc>
          <w:tcPr>
            <w:tcW w:w="604" w:type="dxa"/>
            <w:tcBorders>
              <w:top w:val="single" w:sz="4" w:space="0" w:color="auto"/>
              <w:bottom w:val="nil"/>
            </w:tcBorders>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2</w:t>
            </w:r>
          </w:p>
        </w:tc>
        <w:tc>
          <w:tcPr>
            <w:tcW w:w="813" w:type="dxa"/>
            <w:tcBorders>
              <w:top w:val="single" w:sz="4" w:space="0" w:color="auto"/>
              <w:bottom w:val="nil"/>
            </w:tcBorders>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0,50</w:t>
            </w:r>
          </w:p>
        </w:tc>
      </w:tr>
      <w:tr w:rsidR="00F12C6E" w:rsidRPr="00F12C6E" w:rsidTr="00033F0F">
        <w:trPr>
          <w:trHeight w:val="300"/>
        </w:trPr>
        <w:tc>
          <w:tcPr>
            <w:tcW w:w="0" w:type="auto"/>
            <w:tcBorders>
              <w:top w:val="nil"/>
            </w:tcBorders>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P-2</w:t>
            </w:r>
          </w:p>
        </w:tc>
        <w:tc>
          <w:tcPr>
            <w:tcW w:w="1027" w:type="dxa"/>
            <w:tcBorders>
              <w:top w:val="nil"/>
            </w:tcBorders>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40,80</w:t>
            </w:r>
          </w:p>
        </w:tc>
        <w:tc>
          <w:tcPr>
            <w:tcW w:w="1492" w:type="dxa"/>
            <w:tcBorders>
              <w:top w:val="nil"/>
            </w:tcBorders>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0,51</w:t>
            </w:r>
          </w:p>
        </w:tc>
        <w:tc>
          <w:tcPr>
            <w:tcW w:w="1593" w:type="dxa"/>
            <w:tcBorders>
              <w:top w:val="nil"/>
            </w:tcBorders>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23,22</w:t>
            </w:r>
          </w:p>
        </w:tc>
        <w:tc>
          <w:tcPr>
            <w:tcW w:w="604" w:type="dxa"/>
            <w:tcBorders>
              <w:top w:val="nil"/>
            </w:tcBorders>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w:t>
            </w:r>
          </w:p>
        </w:tc>
        <w:tc>
          <w:tcPr>
            <w:tcW w:w="813" w:type="dxa"/>
            <w:tcBorders>
              <w:top w:val="nil"/>
            </w:tcBorders>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1,00</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lastRenderedPageBreak/>
              <w:t>P-3</w:t>
            </w:r>
          </w:p>
        </w:tc>
        <w:tc>
          <w:tcPr>
            <w:tcW w:w="1027"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60,00</w:t>
            </w:r>
          </w:p>
        </w:tc>
        <w:tc>
          <w:tcPr>
            <w:tcW w:w="1492"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0,00</w:t>
            </w:r>
          </w:p>
        </w:tc>
        <w:tc>
          <w:tcPr>
            <w:tcW w:w="1593"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0,54</w:t>
            </w:r>
          </w:p>
        </w:tc>
        <w:tc>
          <w:tcPr>
            <w:tcW w:w="604"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w:t>
            </w:r>
          </w:p>
        </w:tc>
        <w:tc>
          <w:tcPr>
            <w:tcW w:w="813"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1,00</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P-4</w:t>
            </w:r>
          </w:p>
        </w:tc>
        <w:tc>
          <w:tcPr>
            <w:tcW w:w="1027"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82,40</w:t>
            </w:r>
          </w:p>
        </w:tc>
        <w:tc>
          <w:tcPr>
            <w:tcW w:w="1492"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0,01</w:t>
            </w:r>
          </w:p>
        </w:tc>
        <w:tc>
          <w:tcPr>
            <w:tcW w:w="1593"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0,13</w:t>
            </w:r>
          </w:p>
        </w:tc>
        <w:tc>
          <w:tcPr>
            <w:tcW w:w="604"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2</w:t>
            </w:r>
          </w:p>
        </w:tc>
        <w:tc>
          <w:tcPr>
            <w:tcW w:w="813"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1,05</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P-5</w:t>
            </w:r>
          </w:p>
        </w:tc>
        <w:tc>
          <w:tcPr>
            <w:tcW w:w="1027"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76,80</w:t>
            </w:r>
          </w:p>
        </w:tc>
        <w:tc>
          <w:tcPr>
            <w:tcW w:w="1492"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2,74</w:t>
            </w:r>
          </w:p>
        </w:tc>
        <w:tc>
          <w:tcPr>
            <w:tcW w:w="1593"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314,10</w:t>
            </w:r>
          </w:p>
        </w:tc>
        <w:tc>
          <w:tcPr>
            <w:tcW w:w="604"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w:t>
            </w:r>
          </w:p>
        </w:tc>
        <w:tc>
          <w:tcPr>
            <w:tcW w:w="813"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1,00</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P-6</w:t>
            </w:r>
          </w:p>
        </w:tc>
        <w:tc>
          <w:tcPr>
            <w:tcW w:w="1027"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121,60</w:t>
            </w:r>
          </w:p>
        </w:tc>
        <w:tc>
          <w:tcPr>
            <w:tcW w:w="1492"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5,30</w:t>
            </w:r>
          </w:p>
        </w:tc>
        <w:tc>
          <w:tcPr>
            <w:tcW w:w="1593"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652,32</w:t>
            </w:r>
          </w:p>
        </w:tc>
        <w:tc>
          <w:tcPr>
            <w:tcW w:w="604"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3</w:t>
            </w:r>
          </w:p>
        </w:tc>
        <w:tc>
          <w:tcPr>
            <w:tcW w:w="813"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0,33</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P-7</w:t>
            </w:r>
          </w:p>
        </w:tc>
        <w:tc>
          <w:tcPr>
            <w:tcW w:w="1027"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140,16</w:t>
            </w:r>
          </w:p>
        </w:tc>
        <w:tc>
          <w:tcPr>
            <w:tcW w:w="1492"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8,00</w:t>
            </w:r>
          </w:p>
        </w:tc>
        <w:tc>
          <w:tcPr>
            <w:tcW w:w="1593"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562,32</w:t>
            </w:r>
          </w:p>
        </w:tc>
        <w:tc>
          <w:tcPr>
            <w:tcW w:w="604"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5</w:t>
            </w:r>
          </w:p>
        </w:tc>
        <w:tc>
          <w:tcPr>
            <w:tcW w:w="813"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0,20</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P-8</w:t>
            </w:r>
          </w:p>
        </w:tc>
        <w:tc>
          <w:tcPr>
            <w:tcW w:w="1027"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126,40</w:t>
            </w:r>
          </w:p>
        </w:tc>
        <w:tc>
          <w:tcPr>
            <w:tcW w:w="1492"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5,95</w:t>
            </w:r>
          </w:p>
        </w:tc>
        <w:tc>
          <w:tcPr>
            <w:tcW w:w="1593"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701,10</w:t>
            </w:r>
          </w:p>
        </w:tc>
        <w:tc>
          <w:tcPr>
            <w:tcW w:w="604"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2</w:t>
            </w:r>
          </w:p>
        </w:tc>
        <w:tc>
          <w:tcPr>
            <w:tcW w:w="813"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0,50</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P-9</w:t>
            </w:r>
          </w:p>
        </w:tc>
        <w:tc>
          <w:tcPr>
            <w:tcW w:w="1027"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25,60</w:t>
            </w:r>
          </w:p>
        </w:tc>
        <w:tc>
          <w:tcPr>
            <w:tcW w:w="1492"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0,01</w:t>
            </w:r>
          </w:p>
        </w:tc>
        <w:tc>
          <w:tcPr>
            <w:tcW w:w="1593"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15,66</w:t>
            </w:r>
          </w:p>
        </w:tc>
        <w:tc>
          <w:tcPr>
            <w:tcW w:w="604"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w:t>
            </w:r>
          </w:p>
        </w:tc>
        <w:tc>
          <w:tcPr>
            <w:tcW w:w="813"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1,05</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rPr>
              <w:t>P-10</w:t>
            </w:r>
          </w:p>
        </w:tc>
        <w:tc>
          <w:tcPr>
            <w:tcW w:w="1027"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15,20</w:t>
            </w:r>
          </w:p>
        </w:tc>
        <w:tc>
          <w:tcPr>
            <w:tcW w:w="1492"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0,73</w:t>
            </w:r>
          </w:p>
        </w:tc>
        <w:tc>
          <w:tcPr>
            <w:tcW w:w="1593" w:type="dxa"/>
            <w:shd w:val="clear" w:color="auto" w:fill="auto"/>
            <w:noWrap/>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23,04</w:t>
            </w:r>
          </w:p>
        </w:tc>
        <w:tc>
          <w:tcPr>
            <w:tcW w:w="604"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2</w:t>
            </w:r>
          </w:p>
        </w:tc>
        <w:tc>
          <w:tcPr>
            <w:tcW w:w="813"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1,07</w:t>
            </w:r>
          </w:p>
        </w:tc>
      </w:tr>
    </w:tbl>
    <w:p w:rsidR="00F12C6E" w:rsidRPr="00F12C6E" w:rsidRDefault="00F12C6E" w:rsidP="00F12C6E">
      <w:pPr>
        <w:pStyle w:val="Prrafodelista"/>
        <w:tabs>
          <w:tab w:val="left" w:pos="180"/>
        </w:tabs>
        <w:spacing w:after="120" w:line="240" w:lineRule="auto"/>
        <w:ind w:left="0" w:right="158"/>
        <w:jc w:val="both"/>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 xml:space="preserve">En: energía (kw-h); Ob: cantidad de obreros (u); Pr: Productividad (valor entre 0 y 1). </w:t>
      </w:r>
    </w:p>
    <w:p w:rsidR="00F12C6E" w:rsidRPr="00F12C6E" w:rsidRDefault="00F12C6E" w:rsidP="00F12C6E">
      <w:pPr>
        <w:pStyle w:val="Prrafodelista"/>
        <w:tabs>
          <w:tab w:val="left" w:pos="180"/>
        </w:tabs>
        <w:spacing w:after="120" w:line="240" w:lineRule="auto"/>
        <w:ind w:left="0" w:right="158"/>
        <w:jc w:val="both"/>
        <w:rPr>
          <w:rFonts w:ascii="Times New Roman" w:hAnsi="Times New Roman" w:cs="Times New Roman"/>
          <w:sz w:val="24"/>
          <w:szCs w:val="24"/>
          <w:lang w:val="es-ES_tradnl"/>
        </w:rPr>
      </w:pPr>
      <w:r w:rsidRPr="00F12C6E">
        <w:rPr>
          <w:rFonts w:ascii="Times New Roman" w:hAnsi="Times New Roman" w:cs="Times New Roman"/>
          <w:sz w:val="24"/>
          <w:szCs w:val="24"/>
          <w:lang w:val="es-ES_tradnl"/>
        </w:rPr>
        <w:t>Fuente: elaboración propia.</w:t>
      </w:r>
    </w:p>
    <w:p w:rsidR="00F12C6E" w:rsidRPr="00F12C6E" w:rsidRDefault="00F12C6E" w:rsidP="00F12C6E">
      <w:pPr>
        <w:pStyle w:val="Prrafodelista"/>
        <w:tabs>
          <w:tab w:val="left" w:pos="180"/>
        </w:tabs>
        <w:spacing w:before="120" w:after="120"/>
        <w:ind w:left="0" w:right="158"/>
        <w:jc w:val="both"/>
        <w:rPr>
          <w:rFonts w:ascii="Times New Roman" w:eastAsia="Times New Roman" w:hAnsi="Times New Roman" w:cs="Times New Roman"/>
          <w:iCs/>
          <w:sz w:val="24"/>
          <w:szCs w:val="24"/>
          <w:lang w:val="es-ES_tradnl" w:eastAsia="es-ES"/>
        </w:rPr>
      </w:pPr>
    </w:p>
    <w:p w:rsidR="00F12C6E" w:rsidRPr="00F12C6E" w:rsidRDefault="00F12C6E" w:rsidP="00F12C6E">
      <w:pPr>
        <w:pStyle w:val="Prrafodelista"/>
        <w:numPr>
          <w:ilvl w:val="0"/>
          <w:numId w:val="7"/>
        </w:numPr>
        <w:tabs>
          <w:tab w:val="left" w:pos="180"/>
        </w:tabs>
        <w:spacing w:before="120" w:after="120"/>
        <w:ind w:left="0" w:right="158" w:firstLine="0"/>
        <w:jc w:val="both"/>
        <w:rPr>
          <w:rFonts w:ascii="Times New Roman" w:eastAsia="Times New Roman" w:hAnsi="Times New Roman" w:cs="Times New Roman"/>
          <w:iCs/>
          <w:sz w:val="24"/>
          <w:szCs w:val="24"/>
          <w:lang w:val="es-ES_tradnl" w:eastAsia="es-ES"/>
        </w:rPr>
      </w:pPr>
      <w:r w:rsidRPr="00F12C6E">
        <w:rPr>
          <w:rFonts w:ascii="Times New Roman" w:eastAsia="Times New Roman" w:hAnsi="Times New Roman" w:cs="Times New Roman"/>
          <w:iCs/>
          <w:sz w:val="24"/>
          <w:szCs w:val="24"/>
          <w:lang w:val="es-ES_tradnl" w:eastAsia="es-ES"/>
        </w:rPr>
        <w:t xml:space="preserve">En la evaluación del impacto ambiental, se comenzó por determinar el inventario del ciclo de vida para toda la CS analizada (Tabla 4). </w:t>
      </w:r>
    </w:p>
    <w:p w:rsidR="00F12C6E" w:rsidRPr="00F12C6E" w:rsidRDefault="00F12C6E" w:rsidP="00F12C6E">
      <w:pPr>
        <w:pStyle w:val="Prrafodelista"/>
        <w:tabs>
          <w:tab w:val="left" w:pos="180"/>
        </w:tabs>
        <w:spacing w:before="120" w:after="120"/>
        <w:ind w:left="0" w:right="158"/>
        <w:jc w:val="both"/>
        <w:rPr>
          <w:rFonts w:ascii="Times New Roman" w:eastAsia="Times New Roman" w:hAnsi="Times New Roman" w:cs="Times New Roman"/>
          <w:iCs/>
          <w:sz w:val="24"/>
          <w:szCs w:val="24"/>
          <w:lang w:val="es-ES_tradnl" w:eastAsia="es-ES"/>
        </w:rPr>
      </w:pPr>
    </w:p>
    <w:p w:rsidR="00F12C6E" w:rsidRPr="00F12C6E" w:rsidRDefault="00F12C6E" w:rsidP="00F12C6E">
      <w:pPr>
        <w:jc w:val="both"/>
        <w:rPr>
          <w:rFonts w:ascii="Times New Roman" w:hAnsi="Times New Roman" w:cs="Times New Roman"/>
          <w:sz w:val="24"/>
          <w:szCs w:val="24"/>
          <w:lang w:val="es-ES_tradnl"/>
        </w:rPr>
      </w:pPr>
      <w:r w:rsidRPr="00F12C6E">
        <w:rPr>
          <w:rFonts w:ascii="Times New Roman" w:hAnsi="Times New Roman" w:cs="Times New Roman"/>
          <w:iCs/>
          <w:sz w:val="24"/>
          <w:szCs w:val="24"/>
          <w:lang w:val="es-ES_tradnl"/>
        </w:rPr>
        <w:t xml:space="preserve">Tabla 4. Inventario del ciclo de vida de cada uno de los procesos. </w:t>
      </w:r>
    </w:p>
    <w:tbl>
      <w:tblPr>
        <w:tblW w:w="0" w:type="auto"/>
        <w:tblInd w:w="-5" w:type="dxa"/>
        <w:tblBorders>
          <w:top w:val="single" w:sz="4" w:space="0" w:color="auto"/>
          <w:bottom w:val="single" w:sz="4" w:space="0" w:color="auto"/>
        </w:tblBorders>
        <w:tblLook w:val="04A0" w:firstRow="1" w:lastRow="0" w:firstColumn="1" w:lastColumn="0" w:noHBand="0" w:noVBand="1"/>
      </w:tblPr>
      <w:tblGrid>
        <w:gridCol w:w="857"/>
        <w:gridCol w:w="834"/>
        <w:gridCol w:w="756"/>
        <w:gridCol w:w="756"/>
        <w:gridCol w:w="652"/>
      </w:tblGrid>
      <w:tr w:rsidR="00F12C6E" w:rsidRPr="00F12C6E" w:rsidTr="00033F0F">
        <w:trPr>
          <w:trHeight w:val="315"/>
        </w:trPr>
        <w:tc>
          <w:tcPr>
            <w:tcW w:w="731" w:type="dxa"/>
            <w:tcBorders>
              <w:bottom w:val="single" w:sz="4" w:space="0" w:color="auto"/>
            </w:tcBorders>
            <w:shd w:val="clear" w:color="auto" w:fill="auto"/>
            <w:noWrap/>
            <w:hideMark/>
          </w:tcPr>
          <w:p w:rsidR="00F12C6E" w:rsidRPr="00F12C6E" w:rsidRDefault="00F12C6E" w:rsidP="00033F0F">
            <w:pPr>
              <w:ind w:left="-10" w:hanging="109"/>
              <w:jc w:val="both"/>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eastAsia="en-GB"/>
              </w:rPr>
              <w:t>Proceso</w:t>
            </w:r>
          </w:p>
        </w:tc>
        <w:tc>
          <w:tcPr>
            <w:tcW w:w="834" w:type="dxa"/>
            <w:tcBorders>
              <w:bottom w:val="single" w:sz="4" w:space="0" w:color="auto"/>
            </w:tcBorders>
            <w:shd w:val="clear" w:color="auto" w:fill="auto"/>
            <w:noWrap/>
            <w:hideMark/>
          </w:tcPr>
          <w:p w:rsidR="00F12C6E" w:rsidRPr="00F12C6E" w:rsidRDefault="00F12C6E" w:rsidP="00033F0F">
            <w:pPr>
              <w:ind w:hanging="284"/>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eastAsia="en-GB"/>
              </w:rPr>
              <w:t>En</w:t>
            </w:r>
          </w:p>
        </w:tc>
        <w:tc>
          <w:tcPr>
            <w:tcW w:w="666" w:type="dxa"/>
            <w:tcBorders>
              <w:bottom w:val="single" w:sz="4" w:space="0" w:color="auto"/>
            </w:tcBorders>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eastAsia="en-GB"/>
              </w:rPr>
              <w:t>In</w:t>
            </w:r>
          </w:p>
        </w:tc>
        <w:tc>
          <w:tcPr>
            <w:tcW w:w="666" w:type="dxa"/>
            <w:tcBorders>
              <w:bottom w:val="single" w:sz="4" w:space="0" w:color="auto"/>
            </w:tcBorders>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eastAsia="en-GB"/>
              </w:rPr>
              <w:t>P</w:t>
            </w:r>
          </w:p>
        </w:tc>
        <w:tc>
          <w:tcPr>
            <w:tcW w:w="652" w:type="dxa"/>
            <w:tcBorders>
              <w:bottom w:val="single" w:sz="4" w:space="0" w:color="auto"/>
            </w:tcBorders>
            <w:shd w:val="clear" w:color="auto" w:fill="auto"/>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eastAsia="en-GB"/>
              </w:rPr>
              <w:t>D</w:t>
            </w:r>
          </w:p>
        </w:tc>
      </w:tr>
      <w:tr w:rsidR="00F12C6E" w:rsidRPr="00F12C6E" w:rsidTr="00033F0F">
        <w:trPr>
          <w:trHeight w:val="300"/>
        </w:trPr>
        <w:tc>
          <w:tcPr>
            <w:tcW w:w="731" w:type="dxa"/>
            <w:tcBorders>
              <w:top w:val="single" w:sz="4" w:space="0" w:color="auto"/>
              <w:bottom w:val="nil"/>
            </w:tcBorders>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P-1</w:t>
            </w:r>
          </w:p>
        </w:tc>
        <w:tc>
          <w:tcPr>
            <w:tcW w:w="834" w:type="dxa"/>
            <w:tcBorders>
              <w:top w:val="single" w:sz="4" w:space="0" w:color="auto"/>
              <w:bottom w:val="nil"/>
            </w:tcBorders>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18144</w:t>
            </w:r>
          </w:p>
        </w:tc>
        <w:tc>
          <w:tcPr>
            <w:tcW w:w="666" w:type="dxa"/>
            <w:tcBorders>
              <w:top w:val="single" w:sz="4" w:space="0" w:color="auto"/>
              <w:bottom w:val="nil"/>
            </w:tcBorders>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0,86</w:t>
            </w:r>
          </w:p>
        </w:tc>
        <w:tc>
          <w:tcPr>
            <w:tcW w:w="666" w:type="dxa"/>
            <w:tcBorders>
              <w:top w:val="single" w:sz="4" w:space="0" w:color="auto"/>
              <w:bottom w:val="nil"/>
            </w:tcBorders>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0,225</w:t>
            </w:r>
          </w:p>
        </w:tc>
        <w:tc>
          <w:tcPr>
            <w:tcW w:w="652" w:type="dxa"/>
            <w:tcBorders>
              <w:top w:val="single" w:sz="4" w:space="0" w:color="auto"/>
              <w:bottom w:val="nil"/>
            </w:tcBorders>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w:t>
            </w:r>
          </w:p>
        </w:tc>
      </w:tr>
      <w:tr w:rsidR="00F12C6E" w:rsidRPr="00F12C6E" w:rsidTr="00033F0F">
        <w:trPr>
          <w:trHeight w:val="300"/>
        </w:trPr>
        <w:tc>
          <w:tcPr>
            <w:tcW w:w="731" w:type="dxa"/>
            <w:tcBorders>
              <w:top w:val="nil"/>
            </w:tcBorders>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P-2</w:t>
            </w:r>
          </w:p>
        </w:tc>
        <w:tc>
          <w:tcPr>
            <w:tcW w:w="834" w:type="dxa"/>
            <w:tcBorders>
              <w:top w:val="nil"/>
            </w:tcBorders>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12544</w:t>
            </w:r>
          </w:p>
        </w:tc>
        <w:tc>
          <w:tcPr>
            <w:tcW w:w="666" w:type="dxa"/>
            <w:tcBorders>
              <w:top w:val="nil"/>
            </w:tcBorders>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0,79</w:t>
            </w:r>
          </w:p>
        </w:tc>
        <w:tc>
          <w:tcPr>
            <w:tcW w:w="666" w:type="dxa"/>
            <w:tcBorders>
              <w:top w:val="nil"/>
            </w:tcBorders>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0,004</w:t>
            </w:r>
          </w:p>
        </w:tc>
        <w:tc>
          <w:tcPr>
            <w:tcW w:w="652" w:type="dxa"/>
            <w:tcBorders>
              <w:top w:val="nil"/>
            </w:tcBorders>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w:t>
            </w:r>
          </w:p>
        </w:tc>
      </w:tr>
      <w:tr w:rsidR="00F12C6E" w:rsidRPr="00F12C6E" w:rsidTr="00033F0F">
        <w:trPr>
          <w:trHeight w:val="300"/>
        </w:trPr>
        <w:tc>
          <w:tcPr>
            <w:tcW w:w="731" w:type="dxa"/>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P-3</w:t>
            </w:r>
          </w:p>
        </w:tc>
        <w:tc>
          <w:tcPr>
            <w:tcW w:w="834"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16800</w:t>
            </w:r>
          </w:p>
        </w:tc>
        <w:tc>
          <w:tcPr>
            <w:tcW w:w="666"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2,86</w:t>
            </w:r>
          </w:p>
        </w:tc>
        <w:tc>
          <w:tcPr>
            <w:tcW w:w="666"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0,001</w:t>
            </w:r>
          </w:p>
        </w:tc>
        <w:tc>
          <w:tcPr>
            <w:tcW w:w="652"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w:t>
            </w:r>
          </w:p>
        </w:tc>
      </w:tr>
      <w:tr w:rsidR="00F12C6E" w:rsidRPr="00F12C6E" w:rsidTr="00033F0F">
        <w:trPr>
          <w:trHeight w:val="300"/>
        </w:trPr>
        <w:tc>
          <w:tcPr>
            <w:tcW w:w="731" w:type="dxa"/>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P-4</w:t>
            </w:r>
          </w:p>
        </w:tc>
        <w:tc>
          <w:tcPr>
            <w:tcW w:w="834"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23072</w:t>
            </w:r>
          </w:p>
        </w:tc>
        <w:tc>
          <w:tcPr>
            <w:tcW w:w="666"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17,14</w:t>
            </w:r>
          </w:p>
        </w:tc>
        <w:tc>
          <w:tcPr>
            <w:tcW w:w="666"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0,001</w:t>
            </w:r>
          </w:p>
        </w:tc>
        <w:tc>
          <w:tcPr>
            <w:tcW w:w="652"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2,6</w:t>
            </w:r>
          </w:p>
        </w:tc>
      </w:tr>
      <w:tr w:rsidR="00F12C6E" w:rsidRPr="00F12C6E" w:rsidTr="00033F0F">
        <w:trPr>
          <w:trHeight w:val="300"/>
        </w:trPr>
        <w:tc>
          <w:tcPr>
            <w:tcW w:w="731" w:type="dxa"/>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P-5</w:t>
            </w:r>
          </w:p>
        </w:tc>
        <w:tc>
          <w:tcPr>
            <w:tcW w:w="834"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21504</w:t>
            </w:r>
          </w:p>
        </w:tc>
        <w:tc>
          <w:tcPr>
            <w:tcW w:w="666"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2,14</w:t>
            </w:r>
          </w:p>
        </w:tc>
        <w:tc>
          <w:tcPr>
            <w:tcW w:w="666"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3,82</w:t>
            </w:r>
          </w:p>
        </w:tc>
        <w:tc>
          <w:tcPr>
            <w:tcW w:w="652"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w:t>
            </w:r>
          </w:p>
        </w:tc>
      </w:tr>
      <w:tr w:rsidR="00F12C6E" w:rsidRPr="00F12C6E" w:rsidTr="00033F0F">
        <w:trPr>
          <w:trHeight w:val="300"/>
        </w:trPr>
        <w:tc>
          <w:tcPr>
            <w:tcW w:w="731" w:type="dxa"/>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P-6</w:t>
            </w:r>
          </w:p>
        </w:tc>
        <w:tc>
          <w:tcPr>
            <w:tcW w:w="834"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34048</w:t>
            </w:r>
          </w:p>
        </w:tc>
        <w:tc>
          <w:tcPr>
            <w:tcW w:w="666"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2,14</w:t>
            </w:r>
          </w:p>
        </w:tc>
        <w:tc>
          <w:tcPr>
            <w:tcW w:w="666"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1,72</w:t>
            </w:r>
          </w:p>
        </w:tc>
        <w:tc>
          <w:tcPr>
            <w:tcW w:w="652"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w:t>
            </w:r>
          </w:p>
        </w:tc>
      </w:tr>
      <w:tr w:rsidR="00F12C6E" w:rsidRPr="00F12C6E" w:rsidTr="00033F0F">
        <w:trPr>
          <w:trHeight w:val="300"/>
        </w:trPr>
        <w:tc>
          <w:tcPr>
            <w:tcW w:w="731" w:type="dxa"/>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P-7</w:t>
            </w:r>
          </w:p>
        </w:tc>
        <w:tc>
          <w:tcPr>
            <w:tcW w:w="834"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39245</w:t>
            </w:r>
          </w:p>
        </w:tc>
        <w:tc>
          <w:tcPr>
            <w:tcW w:w="666"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2,14</w:t>
            </w:r>
          </w:p>
        </w:tc>
        <w:tc>
          <w:tcPr>
            <w:tcW w:w="666"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39,2</w:t>
            </w:r>
          </w:p>
        </w:tc>
        <w:tc>
          <w:tcPr>
            <w:tcW w:w="652"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w:t>
            </w:r>
          </w:p>
        </w:tc>
      </w:tr>
      <w:tr w:rsidR="00F12C6E" w:rsidRPr="00F12C6E" w:rsidTr="00033F0F">
        <w:trPr>
          <w:trHeight w:val="300"/>
        </w:trPr>
        <w:tc>
          <w:tcPr>
            <w:tcW w:w="731" w:type="dxa"/>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P-8</w:t>
            </w:r>
          </w:p>
        </w:tc>
        <w:tc>
          <w:tcPr>
            <w:tcW w:w="834"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35392</w:t>
            </w:r>
          </w:p>
        </w:tc>
        <w:tc>
          <w:tcPr>
            <w:tcW w:w="666"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2,14</w:t>
            </w:r>
          </w:p>
        </w:tc>
        <w:tc>
          <w:tcPr>
            <w:tcW w:w="666"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3,85</w:t>
            </w:r>
          </w:p>
        </w:tc>
        <w:tc>
          <w:tcPr>
            <w:tcW w:w="652"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w:t>
            </w:r>
          </w:p>
        </w:tc>
      </w:tr>
      <w:tr w:rsidR="00F12C6E" w:rsidRPr="00F12C6E" w:rsidTr="00033F0F">
        <w:trPr>
          <w:trHeight w:val="300"/>
        </w:trPr>
        <w:tc>
          <w:tcPr>
            <w:tcW w:w="731" w:type="dxa"/>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P-9</w:t>
            </w:r>
          </w:p>
        </w:tc>
        <w:tc>
          <w:tcPr>
            <w:tcW w:w="834"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7168</w:t>
            </w:r>
          </w:p>
        </w:tc>
        <w:tc>
          <w:tcPr>
            <w:tcW w:w="666"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0,86</w:t>
            </w:r>
          </w:p>
        </w:tc>
        <w:tc>
          <w:tcPr>
            <w:tcW w:w="666"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w:t>
            </w:r>
          </w:p>
        </w:tc>
        <w:tc>
          <w:tcPr>
            <w:tcW w:w="652"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w:t>
            </w:r>
          </w:p>
        </w:tc>
      </w:tr>
      <w:tr w:rsidR="00F12C6E" w:rsidRPr="00F12C6E" w:rsidTr="00033F0F">
        <w:trPr>
          <w:trHeight w:val="300"/>
        </w:trPr>
        <w:tc>
          <w:tcPr>
            <w:tcW w:w="731" w:type="dxa"/>
            <w:shd w:val="clear" w:color="auto" w:fill="auto"/>
            <w:noWrap/>
            <w:hideMark/>
          </w:tcPr>
          <w:p w:rsidR="00F12C6E" w:rsidRPr="00F12C6E" w:rsidRDefault="00F12C6E" w:rsidP="00033F0F">
            <w:pPr>
              <w:jc w:val="both"/>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rPr>
              <w:t>P-10</w:t>
            </w:r>
          </w:p>
        </w:tc>
        <w:tc>
          <w:tcPr>
            <w:tcW w:w="834"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rPr>
              <w:t>P-10</w:t>
            </w:r>
          </w:p>
        </w:tc>
        <w:tc>
          <w:tcPr>
            <w:tcW w:w="666"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4256</w:t>
            </w:r>
          </w:p>
        </w:tc>
        <w:tc>
          <w:tcPr>
            <w:tcW w:w="666" w:type="dxa"/>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1,20</w:t>
            </w:r>
          </w:p>
        </w:tc>
        <w:tc>
          <w:tcPr>
            <w:tcW w:w="652" w:type="dxa"/>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1,15</w:t>
            </w:r>
          </w:p>
        </w:tc>
      </w:tr>
    </w:tbl>
    <w:p w:rsidR="00F12C6E" w:rsidRPr="00F12C6E" w:rsidRDefault="00F12C6E" w:rsidP="00F12C6E">
      <w:pPr>
        <w:jc w:val="both"/>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En: Energía (kw-h / año); In: Infraestructura; (m</w:t>
      </w:r>
      <w:r w:rsidRPr="00F12C6E">
        <w:rPr>
          <w:rFonts w:ascii="Times New Roman" w:hAnsi="Times New Roman" w:cs="Times New Roman"/>
          <w:color w:val="000000"/>
          <w:sz w:val="24"/>
          <w:szCs w:val="24"/>
          <w:vertAlign w:val="superscript"/>
          <w:lang w:val="es-ES_tradnl"/>
        </w:rPr>
        <w:t>2</w:t>
      </w:r>
      <w:r w:rsidRPr="00F12C6E">
        <w:rPr>
          <w:rFonts w:ascii="Times New Roman" w:hAnsi="Times New Roman" w:cs="Times New Roman"/>
          <w:color w:val="000000"/>
          <w:sz w:val="24"/>
          <w:szCs w:val="24"/>
          <w:lang w:val="es-ES_tradnl"/>
        </w:rPr>
        <w:t xml:space="preserve">/año); P: papel (kg/año); D: Diesel (Kg/año). </w:t>
      </w:r>
    </w:p>
    <w:p w:rsidR="00F12C6E" w:rsidRPr="00F12C6E" w:rsidRDefault="00F12C6E" w:rsidP="00F12C6E">
      <w:pPr>
        <w:jc w:val="both"/>
        <w:rPr>
          <w:rFonts w:ascii="Times New Roman" w:hAnsi="Times New Roman" w:cs="Times New Roman"/>
          <w:sz w:val="24"/>
          <w:szCs w:val="24"/>
          <w:lang w:val="es-ES_tradnl"/>
        </w:rPr>
      </w:pPr>
      <w:r w:rsidRPr="00F12C6E">
        <w:rPr>
          <w:rFonts w:ascii="Times New Roman" w:hAnsi="Times New Roman" w:cs="Times New Roman"/>
          <w:sz w:val="24"/>
          <w:szCs w:val="24"/>
          <w:lang w:val="es-ES_tradnl"/>
        </w:rPr>
        <w:lastRenderedPageBreak/>
        <w:t>Fuente: elaboración propia.</w:t>
      </w:r>
    </w:p>
    <w:p w:rsidR="00F12C6E" w:rsidRPr="00F12C6E" w:rsidRDefault="00F12C6E" w:rsidP="00F12C6E">
      <w:pPr>
        <w:spacing w:before="120"/>
        <w:jc w:val="both"/>
        <w:rPr>
          <w:rFonts w:ascii="Times New Roman" w:hAnsi="Times New Roman" w:cs="Times New Roman"/>
          <w:sz w:val="24"/>
          <w:szCs w:val="24"/>
          <w:lang w:val="es-ES_tradnl"/>
        </w:rPr>
      </w:pPr>
    </w:p>
    <w:p w:rsidR="00F12C6E" w:rsidRPr="00F12C6E" w:rsidRDefault="00F12C6E" w:rsidP="00F12C6E">
      <w:pPr>
        <w:spacing w:before="120"/>
        <w:jc w:val="both"/>
        <w:rPr>
          <w:rFonts w:ascii="Times New Roman" w:hAnsi="Times New Roman" w:cs="Times New Roman"/>
          <w:iCs/>
          <w:sz w:val="24"/>
          <w:szCs w:val="24"/>
          <w:lang w:val="es-ES_tradnl"/>
        </w:rPr>
      </w:pPr>
      <w:r w:rsidRPr="00F12C6E">
        <w:rPr>
          <w:rFonts w:ascii="Times New Roman" w:hAnsi="Times New Roman" w:cs="Times New Roman"/>
          <w:sz w:val="24"/>
          <w:szCs w:val="24"/>
          <w:lang w:val="es-ES_tradnl"/>
        </w:rPr>
        <w:t xml:space="preserve">Luego, </w:t>
      </w:r>
      <w:r w:rsidRPr="00F12C6E">
        <w:rPr>
          <w:rFonts w:ascii="Times New Roman" w:hAnsi="Times New Roman" w:cs="Times New Roman"/>
          <w:iCs/>
          <w:sz w:val="24"/>
          <w:szCs w:val="24"/>
          <w:lang w:val="es-ES_tradnl"/>
        </w:rPr>
        <w:t>se calcularon las categorías de impacto ambiental según el Eco-Indicador 99 y se aplicó el modelo mostrado por el conjunto de ecuaciones (9), hasta obtener la eco-eficiencia para cada proceso (última columna, Tabla 5). Por último, se aplicó la expresión (10), siendo el resultado final de la eco-eficiencia de la CS de 0.726, para una evaluación de Mal (Tabla 2).</w:t>
      </w:r>
    </w:p>
    <w:p w:rsidR="00F12C6E" w:rsidRPr="00F12C6E" w:rsidRDefault="00F12C6E" w:rsidP="00F12C6E">
      <w:pPr>
        <w:spacing w:before="120"/>
        <w:jc w:val="both"/>
        <w:rPr>
          <w:rFonts w:ascii="Times New Roman" w:hAnsi="Times New Roman" w:cs="Times New Roman"/>
          <w:iCs/>
          <w:sz w:val="24"/>
          <w:szCs w:val="24"/>
          <w:lang w:val="es-ES_tradnl"/>
        </w:rPr>
      </w:pPr>
    </w:p>
    <w:p w:rsidR="00F12C6E" w:rsidRPr="00F12C6E" w:rsidRDefault="00F12C6E" w:rsidP="00F12C6E">
      <w:pPr>
        <w:jc w:val="both"/>
        <w:rPr>
          <w:rFonts w:ascii="Times New Roman" w:hAnsi="Times New Roman" w:cs="Times New Roman"/>
          <w:iCs/>
          <w:sz w:val="24"/>
          <w:szCs w:val="24"/>
          <w:lang w:val="es-ES_tradnl"/>
        </w:rPr>
      </w:pPr>
      <w:r w:rsidRPr="00F12C6E">
        <w:rPr>
          <w:rFonts w:ascii="Times New Roman" w:hAnsi="Times New Roman" w:cs="Times New Roman"/>
          <w:iCs/>
          <w:sz w:val="24"/>
          <w:szCs w:val="24"/>
          <w:lang w:val="es-ES_tradnl"/>
        </w:rPr>
        <w:t xml:space="preserve">Tabla 5. Impacto ambiental anual de los procesos considerados. </w:t>
      </w:r>
    </w:p>
    <w:tbl>
      <w:tblPr>
        <w:tblW w:w="0" w:type="auto"/>
        <w:tblInd w:w="-5" w:type="dxa"/>
        <w:tblBorders>
          <w:top w:val="single" w:sz="4" w:space="0" w:color="auto"/>
          <w:bottom w:val="single" w:sz="4" w:space="0" w:color="auto"/>
        </w:tblBorders>
        <w:tblLook w:val="04A0" w:firstRow="1" w:lastRow="0" w:firstColumn="1" w:lastColumn="0" w:noHBand="0" w:noVBand="1"/>
      </w:tblPr>
      <w:tblGrid>
        <w:gridCol w:w="977"/>
        <w:gridCol w:w="1429"/>
        <w:gridCol w:w="1429"/>
        <w:gridCol w:w="1429"/>
        <w:gridCol w:w="1429"/>
      </w:tblGrid>
      <w:tr w:rsidR="00F12C6E" w:rsidRPr="00F12C6E" w:rsidTr="00033F0F">
        <w:trPr>
          <w:trHeight w:val="548"/>
        </w:trPr>
        <w:tc>
          <w:tcPr>
            <w:tcW w:w="0" w:type="auto"/>
            <w:tcBorders>
              <w:bottom w:val="single" w:sz="4" w:space="0" w:color="auto"/>
            </w:tcBorders>
            <w:shd w:val="clear" w:color="auto" w:fill="auto"/>
            <w:noWrap/>
            <w:hideMark/>
          </w:tcPr>
          <w:p w:rsidR="00F12C6E" w:rsidRPr="00F12C6E" w:rsidRDefault="00F12C6E" w:rsidP="00033F0F">
            <w:pPr>
              <w:ind w:left="-10" w:hanging="109"/>
              <w:jc w:val="both"/>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eastAsia="en-GB"/>
              </w:rPr>
              <w:t>Proceso</w:t>
            </w:r>
          </w:p>
        </w:tc>
        <w:tc>
          <w:tcPr>
            <w:tcW w:w="0" w:type="auto"/>
            <w:tcBorders>
              <w:bottom w:val="single" w:sz="4" w:space="0" w:color="auto"/>
            </w:tcBorders>
            <w:shd w:val="clear" w:color="auto" w:fill="auto"/>
            <w:noWrap/>
            <w:hideMark/>
          </w:tcPr>
          <w:p w:rsidR="00F12C6E" w:rsidRPr="00F12C6E" w:rsidRDefault="00F12C6E" w:rsidP="00033F0F">
            <w:pPr>
              <w:ind w:hanging="284"/>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eastAsia="en-GB"/>
              </w:rPr>
              <w:t>CE</w:t>
            </w:r>
          </w:p>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iCs/>
                <w:sz w:val="24"/>
                <w:szCs w:val="24"/>
                <w:lang w:val="es-ES_tradnl"/>
              </w:rPr>
              <w:t>(eco-puntos)</w:t>
            </w:r>
          </w:p>
        </w:tc>
        <w:tc>
          <w:tcPr>
            <w:tcW w:w="0" w:type="auto"/>
            <w:tcBorders>
              <w:bottom w:val="single" w:sz="4" w:space="0" w:color="auto"/>
            </w:tcBorders>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eastAsia="en-GB"/>
              </w:rPr>
              <w:t>SH</w:t>
            </w:r>
          </w:p>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iCs/>
                <w:sz w:val="24"/>
                <w:szCs w:val="24"/>
                <w:lang w:val="es-ES_tradnl"/>
              </w:rPr>
              <w:t>(eco-puntos)</w:t>
            </w:r>
          </w:p>
        </w:tc>
        <w:tc>
          <w:tcPr>
            <w:tcW w:w="0" w:type="auto"/>
            <w:tcBorders>
              <w:bottom w:val="single" w:sz="4" w:space="0" w:color="auto"/>
            </w:tcBorders>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eastAsia="en-GB"/>
              </w:rPr>
              <w:t>R</w:t>
            </w:r>
          </w:p>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iCs/>
                <w:sz w:val="24"/>
                <w:szCs w:val="24"/>
                <w:lang w:val="es-ES_tradnl"/>
              </w:rPr>
              <w:t>(eco-puntos)</w:t>
            </w:r>
          </w:p>
        </w:tc>
        <w:tc>
          <w:tcPr>
            <w:tcW w:w="0" w:type="auto"/>
            <w:tcBorders>
              <w:bottom w:val="single" w:sz="4" w:space="0" w:color="auto"/>
            </w:tcBorders>
            <w:shd w:val="clear" w:color="auto" w:fill="auto"/>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eastAsia="en-GB"/>
              </w:rPr>
              <w:t>Ec</w:t>
            </w:r>
          </w:p>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iCs/>
                <w:sz w:val="24"/>
                <w:szCs w:val="24"/>
                <w:lang w:val="es-ES_tradnl"/>
              </w:rPr>
              <w:t>(eco-puntos)</w:t>
            </w:r>
          </w:p>
        </w:tc>
      </w:tr>
      <w:tr w:rsidR="00F12C6E" w:rsidRPr="00F12C6E" w:rsidTr="00033F0F">
        <w:trPr>
          <w:trHeight w:val="300"/>
        </w:trPr>
        <w:tc>
          <w:tcPr>
            <w:tcW w:w="0" w:type="auto"/>
            <w:tcBorders>
              <w:top w:val="single" w:sz="4" w:space="0" w:color="auto"/>
              <w:bottom w:val="nil"/>
            </w:tcBorders>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P-1</w:t>
            </w:r>
          </w:p>
        </w:tc>
        <w:tc>
          <w:tcPr>
            <w:tcW w:w="0" w:type="auto"/>
            <w:tcBorders>
              <w:top w:val="single" w:sz="4" w:space="0" w:color="auto"/>
              <w:bottom w:val="nil"/>
            </w:tcBorders>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11</w:t>
            </w:r>
          </w:p>
        </w:tc>
        <w:tc>
          <w:tcPr>
            <w:tcW w:w="0" w:type="auto"/>
            <w:tcBorders>
              <w:top w:val="single" w:sz="4" w:space="0" w:color="auto"/>
              <w:bottom w:val="nil"/>
            </w:tcBorders>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34</w:t>
            </w:r>
          </w:p>
        </w:tc>
        <w:tc>
          <w:tcPr>
            <w:tcW w:w="0" w:type="auto"/>
            <w:tcBorders>
              <w:top w:val="single" w:sz="4" w:space="0" w:color="auto"/>
              <w:bottom w:val="nil"/>
            </w:tcBorders>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18</w:t>
            </w:r>
          </w:p>
        </w:tc>
        <w:tc>
          <w:tcPr>
            <w:tcW w:w="0" w:type="auto"/>
            <w:tcBorders>
              <w:top w:val="single" w:sz="4" w:space="0" w:color="auto"/>
              <w:bottom w:val="nil"/>
            </w:tcBorders>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w:t>
            </w:r>
          </w:p>
        </w:tc>
      </w:tr>
      <w:tr w:rsidR="00F12C6E" w:rsidRPr="00F12C6E" w:rsidTr="00033F0F">
        <w:trPr>
          <w:trHeight w:val="300"/>
        </w:trPr>
        <w:tc>
          <w:tcPr>
            <w:tcW w:w="0" w:type="auto"/>
            <w:tcBorders>
              <w:top w:val="nil"/>
            </w:tcBorders>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P-2</w:t>
            </w:r>
          </w:p>
        </w:tc>
        <w:tc>
          <w:tcPr>
            <w:tcW w:w="0" w:type="auto"/>
            <w:tcBorders>
              <w:top w:val="nil"/>
            </w:tcBorders>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2</w:t>
            </w:r>
          </w:p>
        </w:tc>
        <w:tc>
          <w:tcPr>
            <w:tcW w:w="0" w:type="auto"/>
            <w:tcBorders>
              <w:top w:val="nil"/>
            </w:tcBorders>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49</w:t>
            </w:r>
          </w:p>
        </w:tc>
        <w:tc>
          <w:tcPr>
            <w:tcW w:w="0" w:type="auto"/>
            <w:tcBorders>
              <w:top w:val="nil"/>
            </w:tcBorders>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59</w:t>
            </w:r>
          </w:p>
        </w:tc>
        <w:tc>
          <w:tcPr>
            <w:tcW w:w="0" w:type="auto"/>
            <w:tcBorders>
              <w:top w:val="nil"/>
            </w:tcBorders>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64</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P-3</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70</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59</w:t>
            </w:r>
          </w:p>
        </w:tc>
        <w:tc>
          <w:tcPr>
            <w:tcW w:w="0" w:type="auto"/>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P-4</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22</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5660</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377</w:t>
            </w:r>
          </w:p>
        </w:tc>
        <w:tc>
          <w:tcPr>
            <w:tcW w:w="0" w:type="auto"/>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6017</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P-5</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114</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39854</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215</w:t>
            </w:r>
          </w:p>
        </w:tc>
        <w:tc>
          <w:tcPr>
            <w:tcW w:w="0" w:type="auto"/>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39999</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P-6</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179</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63079</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315</w:t>
            </w:r>
          </w:p>
        </w:tc>
        <w:tc>
          <w:tcPr>
            <w:tcW w:w="0" w:type="auto"/>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63236</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P-7</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208</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72702</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358</w:t>
            </w:r>
          </w:p>
        </w:tc>
        <w:tc>
          <w:tcPr>
            <w:tcW w:w="0" w:type="auto"/>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72908</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P-8</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2</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313</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46</w:t>
            </w:r>
          </w:p>
        </w:tc>
        <w:tc>
          <w:tcPr>
            <w:tcW w:w="0" w:type="auto"/>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sz w:val="24"/>
                <w:szCs w:val="24"/>
                <w:lang w:val="es-ES_tradnl"/>
              </w:rPr>
            </w:pPr>
            <w:r w:rsidRPr="00F12C6E">
              <w:rPr>
                <w:rFonts w:ascii="Times New Roman" w:hAnsi="Times New Roman" w:cs="Times New Roman"/>
                <w:color w:val="000000"/>
                <w:sz w:val="24"/>
                <w:szCs w:val="24"/>
                <w:lang w:val="es-ES_tradnl"/>
              </w:rPr>
              <w:t>P-9</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0.3</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23</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18</w:t>
            </w:r>
          </w:p>
        </w:tc>
        <w:tc>
          <w:tcPr>
            <w:tcW w:w="0" w:type="auto"/>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0</w:t>
            </w:r>
          </w:p>
        </w:tc>
      </w:tr>
      <w:tr w:rsidR="00F12C6E" w:rsidRPr="00F12C6E" w:rsidTr="00033F0F">
        <w:trPr>
          <w:trHeight w:val="300"/>
        </w:trPr>
        <w:tc>
          <w:tcPr>
            <w:tcW w:w="0" w:type="auto"/>
            <w:shd w:val="clear" w:color="auto" w:fill="auto"/>
            <w:noWrap/>
            <w:hideMark/>
          </w:tcPr>
          <w:p w:rsidR="00F12C6E" w:rsidRPr="00F12C6E" w:rsidRDefault="00F12C6E" w:rsidP="00033F0F">
            <w:pPr>
              <w:jc w:val="both"/>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rPr>
              <w:t>P-10</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eastAsia="en-GB"/>
              </w:rPr>
            </w:pPr>
            <w:r w:rsidRPr="00F12C6E">
              <w:rPr>
                <w:rFonts w:ascii="Times New Roman" w:hAnsi="Times New Roman" w:cs="Times New Roman"/>
                <w:color w:val="000000"/>
                <w:sz w:val="24"/>
                <w:szCs w:val="24"/>
                <w:lang w:val="es-ES_tradnl"/>
              </w:rPr>
              <w:t>P-10</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4256</w:t>
            </w:r>
          </w:p>
        </w:tc>
        <w:tc>
          <w:tcPr>
            <w:tcW w:w="0" w:type="auto"/>
            <w:shd w:val="clear" w:color="auto" w:fill="auto"/>
            <w:noWrap/>
            <w:hideMark/>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1,20</w:t>
            </w:r>
          </w:p>
        </w:tc>
        <w:tc>
          <w:tcPr>
            <w:tcW w:w="0" w:type="auto"/>
          </w:tcPr>
          <w:p w:rsidR="00F12C6E" w:rsidRPr="00F12C6E" w:rsidRDefault="00F12C6E" w:rsidP="00033F0F">
            <w:pPr>
              <w:jc w:val="center"/>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1,15</w:t>
            </w:r>
          </w:p>
        </w:tc>
      </w:tr>
    </w:tbl>
    <w:p w:rsidR="00F12C6E" w:rsidRPr="00F12C6E" w:rsidRDefault="00F12C6E" w:rsidP="00F12C6E">
      <w:pPr>
        <w:jc w:val="both"/>
        <w:rPr>
          <w:rFonts w:ascii="Times New Roman" w:hAnsi="Times New Roman" w:cs="Times New Roman"/>
          <w:color w:val="000000"/>
          <w:sz w:val="24"/>
          <w:szCs w:val="24"/>
          <w:lang w:val="es-ES_tradnl"/>
        </w:rPr>
      </w:pPr>
      <w:r w:rsidRPr="00F12C6E">
        <w:rPr>
          <w:rFonts w:ascii="Times New Roman" w:hAnsi="Times New Roman" w:cs="Times New Roman"/>
          <w:color w:val="000000"/>
          <w:sz w:val="24"/>
          <w:szCs w:val="24"/>
          <w:lang w:val="es-ES_tradnl"/>
        </w:rPr>
        <w:t xml:space="preserve">CE: calidad del ecosistema; SH: Salud humana; R: recursos; Ec: eco-eficiencia. </w:t>
      </w:r>
    </w:p>
    <w:p w:rsidR="00F12C6E" w:rsidRPr="00F12C6E" w:rsidRDefault="00F12C6E" w:rsidP="00F12C6E">
      <w:pPr>
        <w:jc w:val="both"/>
        <w:rPr>
          <w:rFonts w:ascii="Times New Roman" w:hAnsi="Times New Roman" w:cs="Times New Roman"/>
          <w:b/>
          <w:sz w:val="24"/>
          <w:szCs w:val="24"/>
          <w:lang w:val="es-ES_tradnl"/>
        </w:rPr>
      </w:pPr>
      <w:r w:rsidRPr="00F12C6E">
        <w:rPr>
          <w:rFonts w:ascii="Times New Roman" w:hAnsi="Times New Roman" w:cs="Times New Roman"/>
          <w:sz w:val="24"/>
          <w:szCs w:val="24"/>
          <w:lang w:val="es-ES_tradnl"/>
        </w:rPr>
        <w:t>Fuente: elaboración propia.</w:t>
      </w:r>
    </w:p>
    <w:p w:rsidR="00F12C6E" w:rsidRPr="00F12C6E" w:rsidRDefault="00F12C6E" w:rsidP="00F12C6E">
      <w:pPr>
        <w:spacing w:before="120"/>
        <w:jc w:val="both"/>
        <w:rPr>
          <w:rFonts w:ascii="Times New Roman" w:hAnsi="Times New Roman" w:cs="Times New Roman"/>
          <w:b/>
          <w:sz w:val="24"/>
          <w:szCs w:val="24"/>
          <w:lang w:val="es-ES_tradnl"/>
        </w:rPr>
      </w:pPr>
    </w:p>
    <w:p w:rsidR="00F12C6E" w:rsidRPr="00F12C6E" w:rsidRDefault="00F12C6E" w:rsidP="00F12C6E">
      <w:pPr>
        <w:pStyle w:val="Prrafodelista"/>
        <w:numPr>
          <w:ilvl w:val="0"/>
          <w:numId w:val="5"/>
        </w:numPr>
        <w:spacing w:after="0" w:line="240" w:lineRule="auto"/>
        <w:jc w:val="both"/>
        <w:rPr>
          <w:rFonts w:ascii="Times New Roman" w:hAnsi="Times New Roman" w:cs="Times New Roman"/>
          <w:sz w:val="24"/>
          <w:szCs w:val="24"/>
          <w:lang w:val="es-ES_tradnl"/>
        </w:rPr>
      </w:pPr>
      <w:r w:rsidRPr="00F12C6E">
        <w:rPr>
          <w:rFonts w:ascii="Times New Roman" w:hAnsi="Times New Roman" w:cs="Times New Roman"/>
          <w:sz w:val="24"/>
          <w:szCs w:val="24"/>
          <w:lang w:val="es-ES_tradnl"/>
        </w:rPr>
        <w:t>Paso 4. Determinar el peso de cada criterio</w:t>
      </w:r>
    </w:p>
    <w:p w:rsidR="00F12C6E" w:rsidRPr="00F12C6E" w:rsidRDefault="00F12C6E" w:rsidP="00F12C6E">
      <w:pPr>
        <w:jc w:val="both"/>
        <w:rPr>
          <w:rFonts w:ascii="Times New Roman" w:hAnsi="Times New Roman" w:cs="Times New Roman"/>
          <w:sz w:val="24"/>
          <w:szCs w:val="24"/>
          <w:lang w:val="es-ES_tradnl"/>
        </w:rPr>
      </w:pPr>
      <w:r w:rsidRPr="00F12C6E">
        <w:rPr>
          <w:rFonts w:ascii="Times New Roman" w:hAnsi="Times New Roman" w:cs="Times New Roman"/>
          <w:sz w:val="24"/>
          <w:szCs w:val="24"/>
          <w:lang w:val="es-ES_tradnl"/>
        </w:rPr>
        <w:t xml:space="preserve">Para el cálculo del peso de cada criterio se aplicó el método de </w:t>
      </w:r>
      <w:r w:rsidRPr="00F12C6E">
        <w:rPr>
          <w:rFonts w:ascii="Times New Roman" w:hAnsi="Times New Roman" w:cs="Times New Roman"/>
          <w:sz w:val="24"/>
          <w:szCs w:val="24"/>
          <w:lang w:val="es-ES_tradnl"/>
        </w:rPr>
        <w:fldChar w:fldCharType="begin" w:fldLock="1"/>
      </w:r>
      <w:r w:rsidRPr="00F12C6E">
        <w:rPr>
          <w:rFonts w:ascii="Times New Roman" w:hAnsi="Times New Roman" w:cs="Times New Roman"/>
          <w:sz w:val="24"/>
          <w:szCs w:val="24"/>
          <w:lang w:val="es-ES_tradnl"/>
        </w:rPr>
        <w:instrText>ADDIN CSL_CITATION {"citationItems":[{"id":"ITEM-1","itemData":{"author":[{"dropping-particle":"","family":"Diakoulaki","given":"D","non-dropping-particle":"","parse-names":false,"suffix":""},{"dropping-particle":"","family":"Mavrotas","given":"G","non-dropping-particle":"","parse-names":false,"suffix":""},{"dropping-particle":"","family":"Papayannakis","given":"L","non-dropping-particle":"","parse-names":false,"suffix":""}],"container-title":"Computers &amp; Operations Research","id":"ITEM-1","issue":"7","issued":{"date-parts":[["1995"]]},"page":"763-770","title":"Determining objective weights in multiple criteria problems: the CRITIC method","type":"article-journal","volume":"22"},"uris":["http://www.mendeley.com/documents/?uuid=6b9464c6-d24f-4146-a5e1-f415c33a7e79"]}],"mendeley":{"formattedCitation":"(Diakoulaki et al., 1995)","plainTextFormattedCitation":"(Diakoulaki et al., 1995)","previouslyFormattedCitation":"(Diakoulaki et al., 1995)"},"properties":{"noteIndex":0},"schema":"https://github.com/citation-style-language/schema/raw/master/csl-citation.json"}</w:instrText>
      </w:r>
      <w:r w:rsidRPr="00F12C6E">
        <w:rPr>
          <w:rFonts w:ascii="Times New Roman" w:hAnsi="Times New Roman" w:cs="Times New Roman"/>
          <w:sz w:val="24"/>
          <w:szCs w:val="24"/>
          <w:lang w:val="es-ES_tradnl"/>
        </w:rPr>
        <w:fldChar w:fldCharType="end"/>
      </w:r>
      <w:r w:rsidRPr="00F12C6E">
        <w:rPr>
          <w:rFonts w:ascii="Times New Roman" w:hAnsi="Times New Roman" w:cs="Times New Roman"/>
          <w:sz w:val="24"/>
          <w:szCs w:val="24"/>
          <w:lang w:val="es-ES_tradnl"/>
        </w:rPr>
        <w:fldChar w:fldCharType="begin" w:fldLock="1"/>
      </w:r>
      <w:r w:rsidRPr="00F12C6E">
        <w:rPr>
          <w:rFonts w:ascii="Times New Roman" w:hAnsi="Times New Roman" w:cs="Times New Roman"/>
          <w:sz w:val="24"/>
          <w:szCs w:val="24"/>
          <w:lang w:val="es-ES_tradnl"/>
        </w:rPr>
        <w:instrText>ADDIN CSL_CITATION {"citationItems":[{"id":"ITEM-1","itemData":{"author":[{"dropping-particle":"","family":"Saaty","given":"TL","non-dropping-particle":"","parse-names":false,"suffix":""}],"id":"ITEM-1","issued":{"date-parts":[["1980"]]},"number-of-pages":"210","publisher":"McGraw-Hill","publisher-place":"New York","title":"The Analytic Hierarchical Process","type":"book"},"uris":["http://www.mendeley.com/documents/?uuid=c08988cf-4d3d-4fb1-bfa3-b2bf048fa01a"]}],"mendeley":{"formattedCitation":"(Saaty, 1980)","manualFormatting":"Saaty (1980)","plainTextFormattedCitation":"(Saaty, 1980)","previouslyFormattedCitation":"(Saaty, 1980)"},"properties":{"noteIndex":0},"schema":"https://github.com/citation-style-language/schema/raw/master/csl-citation.json"}</w:instrText>
      </w:r>
      <w:r w:rsidRPr="00F12C6E">
        <w:rPr>
          <w:rFonts w:ascii="Times New Roman" w:hAnsi="Times New Roman" w:cs="Times New Roman"/>
          <w:sz w:val="24"/>
          <w:szCs w:val="24"/>
          <w:lang w:val="es-ES_tradnl"/>
        </w:rPr>
        <w:fldChar w:fldCharType="separate"/>
      </w:r>
      <w:r w:rsidRPr="00F12C6E">
        <w:rPr>
          <w:rFonts w:ascii="Times New Roman" w:hAnsi="Times New Roman" w:cs="Times New Roman"/>
          <w:noProof/>
          <w:sz w:val="24"/>
          <w:szCs w:val="24"/>
          <w:lang w:val="es-ES_tradnl"/>
        </w:rPr>
        <w:t>Saaty (1980)</w:t>
      </w:r>
      <w:r w:rsidRPr="00F12C6E">
        <w:rPr>
          <w:rFonts w:ascii="Times New Roman" w:hAnsi="Times New Roman" w:cs="Times New Roman"/>
          <w:sz w:val="24"/>
          <w:szCs w:val="24"/>
          <w:lang w:val="es-ES_tradnl"/>
        </w:rPr>
        <w:fldChar w:fldCharType="end"/>
      </w:r>
      <w:r w:rsidRPr="00F12C6E">
        <w:rPr>
          <w:rFonts w:ascii="Times New Roman" w:hAnsi="Times New Roman" w:cs="Times New Roman"/>
          <w:sz w:val="24"/>
          <w:szCs w:val="24"/>
          <w:lang w:val="es-ES_tradnl"/>
        </w:rPr>
        <w:t>. En la Tabla 6 se muestra el valor de los criterios de la CS estudiada y los pesos calculados para cada uno de ellos. Los resultados de cada criterio, se corresponden con los obtenidos en el paso 3 de la herramienta metodológica.</w:t>
      </w:r>
    </w:p>
    <w:p w:rsidR="00F12C6E" w:rsidRPr="00F12C6E" w:rsidRDefault="00F12C6E" w:rsidP="00F12C6E">
      <w:pPr>
        <w:jc w:val="both"/>
        <w:rPr>
          <w:rFonts w:ascii="Times New Roman" w:hAnsi="Times New Roman" w:cs="Times New Roman"/>
          <w:sz w:val="24"/>
          <w:szCs w:val="24"/>
          <w:lang w:val="es-ES_tradnl"/>
        </w:rPr>
      </w:pPr>
    </w:p>
    <w:p w:rsidR="00F12C6E" w:rsidRPr="00F12C6E" w:rsidRDefault="00F12C6E" w:rsidP="00F12C6E">
      <w:pPr>
        <w:jc w:val="both"/>
        <w:rPr>
          <w:rFonts w:ascii="Times New Roman" w:hAnsi="Times New Roman" w:cs="Times New Roman"/>
          <w:sz w:val="24"/>
          <w:szCs w:val="24"/>
          <w:lang w:val="es-ES_tradnl"/>
        </w:rPr>
      </w:pPr>
      <w:r w:rsidRPr="00F12C6E">
        <w:rPr>
          <w:rFonts w:ascii="Times New Roman" w:hAnsi="Times New Roman" w:cs="Times New Roman"/>
          <w:sz w:val="24"/>
          <w:szCs w:val="24"/>
          <w:lang w:val="es-ES_tradnl"/>
        </w:rPr>
        <w:t xml:space="preserve">Tabla 6. Cálculo del peso de cada criterio. </w:t>
      </w:r>
    </w:p>
    <w:tbl>
      <w:tblPr>
        <w:tblStyle w:val="Tablaconcuadrcula"/>
        <w:tblW w:w="37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876"/>
        <w:gridCol w:w="876"/>
        <w:gridCol w:w="876"/>
        <w:gridCol w:w="876"/>
        <w:gridCol w:w="876"/>
      </w:tblGrid>
      <w:tr w:rsidR="00F12C6E" w:rsidRPr="00F12C6E" w:rsidTr="00033F0F">
        <w:tc>
          <w:tcPr>
            <w:tcW w:w="1984" w:type="pct"/>
            <w:tcBorders>
              <w:bottom w:val="single" w:sz="4" w:space="0" w:color="auto"/>
            </w:tcBorders>
          </w:tcPr>
          <w:p w:rsidR="00F12C6E" w:rsidRPr="00F12C6E" w:rsidRDefault="00F12C6E" w:rsidP="00033F0F">
            <w:pPr>
              <w:jc w:val="both"/>
              <w:rPr>
                <w:sz w:val="24"/>
                <w:szCs w:val="24"/>
                <w:lang w:val="es-ES_tradnl"/>
              </w:rPr>
            </w:pPr>
            <w:r w:rsidRPr="00F12C6E">
              <w:rPr>
                <w:sz w:val="24"/>
                <w:szCs w:val="24"/>
                <w:lang w:val="es-ES_tradnl"/>
              </w:rPr>
              <w:t>Productos/Criterios</w:t>
            </w:r>
          </w:p>
        </w:tc>
        <w:tc>
          <w:tcPr>
            <w:tcW w:w="540" w:type="pct"/>
            <w:tcBorders>
              <w:bottom w:val="single" w:sz="4" w:space="0" w:color="auto"/>
            </w:tcBorders>
          </w:tcPr>
          <w:p w:rsidR="00F12C6E" w:rsidRPr="00F12C6E" w:rsidRDefault="00F12C6E" w:rsidP="00033F0F">
            <w:pPr>
              <w:jc w:val="center"/>
              <w:rPr>
                <w:sz w:val="24"/>
                <w:szCs w:val="24"/>
                <w:lang w:val="es-ES_tradnl"/>
              </w:rPr>
            </w:pPr>
            <w:r w:rsidRPr="00F12C6E">
              <w:rPr>
                <w:sz w:val="24"/>
                <w:szCs w:val="24"/>
                <w:lang w:val="es-ES_tradnl"/>
              </w:rPr>
              <w:t>P</w:t>
            </w:r>
          </w:p>
        </w:tc>
        <w:tc>
          <w:tcPr>
            <w:tcW w:w="567" w:type="pct"/>
            <w:tcBorders>
              <w:bottom w:val="single" w:sz="4" w:space="0" w:color="auto"/>
            </w:tcBorders>
          </w:tcPr>
          <w:p w:rsidR="00F12C6E" w:rsidRPr="00F12C6E" w:rsidRDefault="00F12C6E" w:rsidP="00033F0F">
            <w:pPr>
              <w:jc w:val="center"/>
              <w:rPr>
                <w:sz w:val="24"/>
                <w:szCs w:val="24"/>
                <w:lang w:val="es-ES_tradnl"/>
              </w:rPr>
            </w:pPr>
            <w:r w:rsidRPr="00F12C6E">
              <w:rPr>
                <w:sz w:val="24"/>
                <w:szCs w:val="24"/>
                <w:lang w:val="es-ES_tradnl"/>
              </w:rPr>
              <w:t>NSC</w:t>
            </w:r>
          </w:p>
        </w:tc>
        <w:tc>
          <w:tcPr>
            <w:tcW w:w="697" w:type="pct"/>
            <w:tcBorders>
              <w:bottom w:val="single" w:sz="4" w:space="0" w:color="auto"/>
            </w:tcBorders>
          </w:tcPr>
          <w:p w:rsidR="00F12C6E" w:rsidRPr="00F12C6E" w:rsidRDefault="00F12C6E" w:rsidP="00033F0F">
            <w:pPr>
              <w:ind w:right="-30" w:hanging="59"/>
              <w:jc w:val="center"/>
              <w:rPr>
                <w:sz w:val="24"/>
                <w:szCs w:val="24"/>
                <w:lang w:val="es-ES_tradnl"/>
              </w:rPr>
            </w:pPr>
            <w:r w:rsidRPr="00F12C6E">
              <w:rPr>
                <w:sz w:val="24"/>
                <w:szCs w:val="24"/>
                <w:lang w:val="es-ES_tradnl"/>
              </w:rPr>
              <w:t>TVA (%)</w:t>
            </w:r>
          </w:p>
        </w:tc>
        <w:tc>
          <w:tcPr>
            <w:tcW w:w="551" w:type="pct"/>
            <w:tcBorders>
              <w:bottom w:val="single" w:sz="4" w:space="0" w:color="auto"/>
            </w:tcBorders>
          </w:tcPr>
          <w:p w:rsidR="00F12C6E" w:rsidRPr="00F12C6E" w:rsidRDefault="00F12C6E" w:rsidP="00033F0F">
            <w:pPr>
              <w:jc w:val="center"/>
              <w:rPr>
                <w:sz w:val="24"/>
                <w:szCs w:val="24"/>
                <w:lang w:val="es-ES_tradnl"/>
              </w:rPr>
            </w:pPr>
            <w:r w:rsidRPr="00F12C6E">
              <w:rPr>
                <w:sz w:val="24"/>
                <w:szCs w:val="24"/>
                <w:lang w:val="es-ES_tradnl"/>
              </w:rPr>
              <w:t>Ec. Ef</w:t>
            </w:r>
          </w:p>
        </w:tc>
        <w:tc>
          <w:tcPr>
            <w:tcW w:w="660" w:type="pct"/>
            <w:tcBorders>
              <w:bottom w:val="single" w:sz="4" w:space="0" w:color="auto"/>
            </w:tcBorders>
          </w:tcPr>
          <w:p w:rsidR="00F12C6E" w:rsidRPr="00F12C6E" w:rsidRDefault="00F12C6E" w:rsidP="00033F0F">
            <w:pPr>
              <w:jc w:val="center"/>
              <w:rPr>
                <w:sz w:val="24"/>
                <w:szCs w:val="24"/>
                <w:lang w:val="es-ES_tradnl"/>
              </w:rPr>
            </w:pPr>
            <w:r w:rsidRPr="00F12C6E">
              <w:rPr>
                <w:sz w:val="24"/>
                <w:szCs w:val="24"/>
                <w:lang w:val="es-ES_tradnl"/>
              </w:rPr>
              <w:t>ROI</w:t>
            </w:r>
          </w:p>
        </w:tc>
      </w:tr>
      <w:tr w:rsidR="00F12C6E" w:rsidRPr="00F12C6E" w:rsidTr="00033F0F">
        <w:tc>
          <w:tcPr>
            <w:tcW w:w="1984" w:type="pct"/>
            <w:tcBorders>
              <w:top w:val="single" w:sz="4" w:space="0" w:color="auto"/>
              <w:bottom w:val="nil"/>
            </w:tcBorders>
            <w:vAlign w:val="bottom"/>
          </w:tcPr>
          <w:p w:rsidR="00F12C6E" w:rsidRPr="00F12C6E" w:rsidRDefault="00F12C6E" w:rsidP="00033F0F">
            <w:pPr>
              <w:jc w:val="both"/>
              <w:rPr>
                <w:sz w:val="24"/>
                <w:szCs w:val="24"/>
                <w:lang w:val="es-ES_tradnl"/>
              </w:rPr>
            </w:pPr>
            <w:r w:rsidRPr="00F12C6E">
              <w:rPr>
                <w:color w:val="000000"/>
                <w:sz w:val="24"/>
                <w:szCs w:val="24"/>
                <w:lang w:val="es-ES_tradnl"/>
              </w:rPr>
              <w:t>Contadores de energía eléctrica</w:t>
            </w:r>
          </w:p>
        </w:tc>
        <w:tc>
          <w:tcPr>
            <w:tcW w:w="540" w:type="pct"/>
            <w:tcBorders>
              <w:top w:val="single" w:sz="4" w:space="0" w:color="auto"/>
              <w:bottom w:val="nil"/>
            </w:tcBorders>
            <w:vAlign w:val="bottom"/>
          </w:tcPr>
          <w:p w:rsidR="00F12C6E" w:rsidRPr="00F12C6E" w:rsidRDefault="00F12C6E" w:rsidP="00033F0F">
            <w:pPr>
              <w:jc w:val="center"/>
              <w:rPr>
                <w:color w:val="000000"/>
                <w:sz w:val="24"/>
                <w:szCs w:val="24"/>
                <w:lang w:val="es-ES_tradnl"/>
              </w:rPr>
            </w:pPr>
            <w:r w:rsidRPr="00F12C6E">
              <w:rPr>
                <w:color w:val="000000"/>
                <w:sz w:val="24"/>
                <w:szCs w:val="24"/>
                <w:lang w:val="es-ES_tradnl"/>
              </w:rPr>
              <w:t>0,766</w:t>
            </w:r>
          </w:p>
        </w:tc>
        <w:tc>
          <w:tcPr>
            <w:tcW w:w="567" w:type="pct"/>
            <w:tcBorders>
              <w:top w:val="single" w:sz="4" w:space="0" w:color="auto"/>
              <w:bottom w:val="nil"/>
            </w:tcBorders>
            <w:vAlign w:val="bottom"/>
          </w:tcPr>
          <w:p w:rsidR="00F12C6E" w:rsidRPr="00F12C6E" w:rsidRDefault="00F12C6E" w:rsidP="00033F0F">
            <w:pPr>
              <w:jc w:val="center"/>
              <w:rPr>
                <w:color w:val="000000"/>
                <w:sz w:val="24"/>
                <w:szCs w:val="24"/>
                <w:lang w:val="es-ES_tradnl"/>
              </w:rPr>
            </w:pPr>
            <w:r w:rsidRPr="00F12C6E">
              <w:rPr>
                <w:color w:val="000000"/>
                <w:sz w:val="24"/>
                <w:szCs w:val="24"/>
                <w:lang w:val="es-ES_tradnl"/>
              </w:rPr>
              <w:t>0,930</w:t>
            </w:r>
          </w:p>
        </w:tc>
        <w:tc>
          <w:tcPr>
            <w:tcW w:w="697" w:type="pct"/>
            <w:tcBorders>
              <w:top w:val="single" w:sz="4" w:space="0" w:color="auto"/>
              <w:bottom w:val="nil"/>
            </w:tcBorders>
            <w:vAlign w:val="bottom"/>
          </w:tcPr>
          <w:p w:rsidR="00F12C6E" w:rsidRPr="00F12C6E" w:rsidRDefault="00F12C6E" w:rsidP="00033F0F">
            <w:pPr>
              <w:jc w:val="center"/>
              <w:rPr>
                <w:color w:val="000000"/>
                <w:sz w:val="24"/>
                <w:szCs w:val="24"/>
                <w:lang w:val="es-ES_tradnl"/>
              </w:rPr>
            </w:pPr>
            <w:r w:rsidRPr="00F12C6E">
              <w:rPr>
                <w:color w:val="000000"/>
                <w:sz w:val="24"/>
                <w:szCs w:val="24"/>
                <w:lang w:val="es-ES_tradnl"/>
              </w:rPr>
              <w:t>0,998</w:t>
            </w:r>
          </w:p>
        </w:tc>
        <w:tc>
          <w:tcPr>
            <w:tcW w:w="551" w:type="pct"/>
            <w:tcBorders>
              <w:top w:val="single" w:sz="4" w:space="0" w:color="auto"/>
              <w:bottom w:val="nil"/>
            </w:tcBorders>
            <w:vAlign w:val="bottom"/>
          </w:tcPr>
          <w:p w:rsidR="00F12C6E" w:rsidRPr="00F12C6E" w:rsidRDefault="00F12C6E" w:rsidP="00033F0F">
            <w:pPr>
              <w:jc w:val="center"/>
              <w:rPr>
                <w:color w:val="000000"/>
                <w:sz w:val="24"/>
                <w:szCs w:val="24"/>
                <w:lang w:val="es-ES_tradnl"/>
              </w:rPr>
            </w:pPr>
            <w:r w:rsidRPr="00F12C6E">
              <w:rPr>
                <w:color w:val="000000"/>
                <w:sz w:val="24"/>
                <w:szCs w:val="24"/>
                <w:lang w:val="es-ES_tradnl"/>
              </w:rPr>
              <w:t>0,726</w:t>
            </w:r>
          </w:p>
        </w:tc>
        <w:tc>
          <w:tcPr>
            <w:tcW w:w="660" w:type="pct"/>
            <w:tcBorders>
              <w:top w:val="single" w:sz="4" w:space="0" w:color="auto"/>
              <w:bottom w:val="nil"/>
            </w:tcBorders>
            <w:vAlign w:val="bottom"/>
          </w:tcPr>
          <w:p w:rsidR="00F12C6E" w:rsidRPr="00F12C6E" w:rsidRDefault="00F12C6E" w:rsidP="00033F0F">
            <w:pPr>
              <w:jc w:val="center"/>
              <w:rPr>
                <w:color w:val="000000"/>
                <w:sz w:val="24"/>
                <w:szCs w:val="24"/>
                <w:lang w:val="es-ES_tradnl"/>
              </w:rPr>
            </w:pPr>
            <w:r w:rsidRPr="00F12C6E">
              <w:rPr>
                <w:color w:val="000000"/>
                <w:sz w:val="24"/>
                <w:szCs w:val="24"/>
                <w:lang w:val="es-ES_tradnl"/>
              </w:rPr>
              <w:t>0,0328</w:t>
            </w:r>
          </w:p>
        </w:tc>
      </w:tr>
      <w:tr w:rsidR="00F12C6E" w:rsidRPr="00F12C6E" w:rsidTr="00033F0F">
        <w:tc>
          <w:tcPr>
            <w:tcW w:w="1984" w:type="pct"/>
            <w:tcBorders>
              <w:top w:val="nil"/>
            </w:tcBorders>
            <w:vAlign w:val="bottom"/>
          </w:tcPr>
          <w:p w:rsidR="00F12C6E" w:rsidRPr="00F12C6E" w:rsidRDefault="00F12C6E" w:rsidP="00033F0F">
            <w:pPr>
              <w:jc w:val="both"/>
              <w:rPr>
                <w:color w:val="000000"/>
                <w:sz w:val="24"/>
                <w:szCs w:val="24"/>
                <w:lang w:val="es-ES_tradnl"/>
              </w:rPr>
            </w:pPr>
            <w:r w:rsidRPr="00F12C6E">
              <w:rPr>
                <w:color w:val="000000"/>
                <w:sz w:val="24"/>
                <w:szCs w:val="24"/>
                <w:lang w:val="es-ES_tradnl"/>
              </w:rPr>
              <w:t>Pesos</w:t>
            </w:r>
          </w:p>
        </w:tc>
        <w:tc>
          <w:tcPr>
            <w:tcW w:w="540" w:type="pct"/>
            <w:tcBorders>
              <w:top w:val="nil"/>
            </w:tcBorders>
            <w:vAlign w:val="bottom"/>
          </w:tcPr>
          <w:p w:rsidR="00F12C6E" w:rsidRPr="00F12C6E" w:rsidRDefault="00F12C6E" w:rsidP="00033F0F">
            <w:pPr>
              <w:jc w:val="center"/>
              <w:rPr>
                <w:color w:val="000000"/>
                <w:sz w:val="24"/>
                <w:szCs w:val="24"/>
                <w:lang w:val="es-ES_tradnl"/>
              </w:rPr>
            </w:pPr>
            <w:r w:rsidRPr="00F12C6E">
              <w:rPr>
                <w:color w:val="000000"/>
                <w:sz w:val="24"/>
                <w:szCs w:val="24"/>
                <w:lang w:val="es-ES_tradnl"/>
              </w:rPr>
              <w:t>0,2391</w:t>
            </w:r>
          </w:p>
        </w:tc>
        <w:tc>
          <w:tcPr>
            <w:tcW w:w="567" w:type="pct"/>
            <w:tcBorders>
              <w:top w:val="nil"/>
            </w:tcBorders>
            <w:vAlign w:val="bottom"/>
          </w:tcPr>
          <w:p w:rsidR="00F12C6E" w:rsidRPr="00F12C6E" w:rsidRDefault="00F12C6E" w:rsidP="00033F0F">
            <w:pPr>
              <w:jc w:val="center"/>
              <w:rPr>
                <w:color w:val="000000"/>
                <w:sz w:val="24"/>
                <w:szCs w:val="24"/>
                <w:lang w:val="es-ES_tradnl"/>
              </w:rPr>
            </w:pPr>
            <w:r w:rsidRPr="00F12C6E">
              <w:rPr>
                <w:color w:val="000000"/>
                <w:sz w:val="24"/>
                <w:szCs w:val="24"/>
                <w:lang w:val="es-ES_tradnl"/>
              </w:rPr>
              <w:t>0,2552</w:t>
            </w:r>
          </w:p>
        </w:tc>
        <w:tc>
          <w:tcPr>
            <w:tcW w:w="697" w:type="pct"/>
            <w:tcBorders>
              <w:top w:val="nil"/>
            </w:tcBorders>
            <w:vAlign w:val="bottom"/>
          </w:tcPr>
          <w:p w:rsidR="00F12C6E" w:rsidRPr="00F12C6E" w:rsidRDefault="00F12C6E" w:rsidP="00033F0F">
            <w:pPr>
              <w:jc w:val="center"/>
              <w:rPr>
                <w:color w:val="000000"/>
                <w:sz w:val="24"/>
                <w:szCs w:val="24"/>
                <w:lang w:val="es-ES_tradnl"/>
              </w:rPr>
            </w:pPr>
            <w:r w:rsidRPr="00F12C6E">
              <w:rPr>
                <w:color w:val="000000"/>
                <w:sz w:val="24"/>
                <w:szCs w:val="24"/>
                <w:lang w:val="es-ES_tradnl"/>
              </w:rPr>
              <w:t>0,1015</w:t>
            </w:r>
          </w:p>
        </w:tc>
        <w:tc>
          <w:tcPr>
            <w:tcW w:w="551" w:type="pct"/>
            <w:tcBorders>
              <w:top w:val="nil"/>
            </w:tcBorders>
            <w:vAlign w:val="bottom"/>
          </w:tcPr>
          <w:p w:rsidR="00F12C6E" w:rsidRPr="00F12C6E" w:rsidRDefault="00F12C6E" w:rsidP="00033F0F">
            <w:pPr>
              <w:jc w:val="center"/>
              <w:rPr>
                <w:color w:val="000000"/>
                <w:sz w:val="24"/>
                <w:szCs w:val="24"/>
                <w:lang w:val="es-ES_tradnl"/>
              </w:rPr>
            </w:pPr>
            <w:r w:rsidRPr="00F12C6E">
              <w:rPr>
                <w:color w:val="000000"/>
                <w:sz w:val="24"/>
                <w:szCs w:val="24"/>
                <w:lang w:val="es-ES_tradnl"/>
              </w:rPr>
              <w:t>0,1934</w:t>
            </w:r>
          </w:p>
        </w:tc>
        <w:tc>
          <w:tcPr>
            <w:tcW w:w="660" w:type="pct"/>
            <w:tcBorders>
              <w:top w:val="nil"/>
            </w:tcBorders>
            <w:vAlign w:val="bottom"/>
          </w:tcPr>
          <w:p w:rsidR="00F12C6E" w:rsidRPr="00F12C6E" w:rsidRDefault="00F12C6E" w:rsidP="00033F0F">
            <w:pPr>
              <w:jc w:val="center"/>
              <w:rPr>
                <w:color w:val="000000"/>
                <w:sz w:val="24"/>
                <w:szCs w:val="24"/>
                <w:lang w:val="es-ES_tradnl"/>
              </w:rPr>
            </w:pPr>
            <w:r w:rsidRPr="00F12C6E">
              <w:rPr>
                <w:color w:val="000000"/>
                <w:sz w:val="24"/>
                <w:szCs w:val="24"/>
                <w:lang w:val="es-ES_tradnl"/>
              </w:rPr>
              <w:t>0,2107</w:t>
            </w:r>
          </w:p>
        </w:tc>
      </w:tr>
    </w:tbl>
    <w:p w:rsidR="00F12C6E" w:rsidRPr="00F12C6E" w:rsidRDefault="00F12C6E" w:rsidP="00F12C6E">
      <w:pPr>
        <w:spacing w:before="120"/>
        <w:jc w:val="both"/>
        <w:rPr>
          <w:rFonts w:ascii="Times New Roman" w:hAnsi="Times New Roman" w:cs="Times New Roman"/>
          <w:sz w:val="24"/>
          <w:szCs w:val="24"/>
          <w:lang w:val="es-ES_tradnl"/>
        </w:rPr>
      </w:pPr>
      <w:r w:rsidRPr="00F12C6E">
        <w:rPr>
          <w:rFonts w:ascii="Times New Roman" w:hAnsi="Times New Roman" w:cs="Times New Roman"/>
          <w:sz w:val="24"/>
          <w:szCs w:val="24"/>
          <w:lang w:val="es-ES_tradnl"/>
        </w:rPr>
        <w:t>Fuente: elaboración propia.</w:t>
      </w:r>
    </w:p>
    <w:p w:rsidR="00F12C6E" w:rsidRPr="00F12C6E" w:rsidRDefault="00F12C6E" w:rsidP="00F12C6E">
      <w:pPr>
        <w:spacing w:before="120"/>
        <w:jc w:val="both"/>
        <w:rPr>
          <w:rFonts w:ascii="Times New Roman" w:hAnsi="Times New Roman" w:cs="Times New Roman"/>
          <w:b/>
          <w:sz w:val="24"/>
          <w:szCs w:val="24"/>
          <w:lang w:val="es-ES_tradnl"/>
        </w:rPr>
      </w:pPr>
    </w:p>
    <w:p w:rsidR="00F12C6E" w:rsidRPr="00F12C6E" w:rsidRDefault="00F12C6E" w:rsidP="00F12C6E">
      <w:pPr>
        <w:pStyle w:val="Prrafodelista"/>
        <w:numPr>
          <w:ilvl w:val="0"/>
          <w:numId w:val="5"/>
        </w:numPr>
        <w:spacing w:after="0" w:line="240" w:lineRule="auto"/>
        <w:jc w:val="both"/>
        <w:rPr>
          <w:rFonts w:ascii="Times New Roman" w:hAnsi="Times New Roman" w:cs="Times New Roman"/>
          <w:sz w:val="24"/>
          <w:szCs w:val="24"/>
          <w:lang w:val="es-ES_tradnl"/>
        </w:rPr>
      </w:pPr>
      <w:r w:rsidRPr="00F12C6E">
        <w:rPr>
          <w:rFonts w:ascii="Times New Roman" w:hAnsi="Times New Roman" w:cs="Times New Roman"/>
          <w:sz w:val="24"/>
          <w:szCs w:val="24"/>
          <w:lang w:val="es-ES_tradnl"/>
        </w:rPr>
        <w:t>Paso 5. Calcular SCPI</w:t>
      </w:r>
    </w:p>
    <w:p w:rsidR="00F12C6E" w:rsidRPr="00F12C6E" w:rsidRDefault="00F12C6E" w:rsidP="00F12C6E">
      <w:pPr>
        <w:jc w:val="both"/>
        <w:rPr>
          <w:rFonts w:ascii="Times New Roman" w:hAnsi="Times New Roman" w:cs="Times New Roman"/>
          <w:sz w:val="24"/>
          <w:szCs w:val="24"/>
          <w:lang w:val="es-ES_tradnl"/>
        </w:rPr>
      </w:pPr>
      <w:r w:rsidRPr="00F12C6E">
        <w:rPr>
          <w:rFonts w:ascii="Times New Roman" w:hAnsi="Times New Roman" w:cs="Times New Roman"/>
          <w:sz w:val="24"/>
          <w:szCs w:val="24"/>
          <w:lang w:val="es-ES_tradnl"/>
        </w:rPr>
        <w:t xml:space="preserve">Se procede al cálculo del SCPI que integra todos los criterios considerando el aporte de cada uno a la sostenibilidad de la CS. La Figura 4 muestra este resultado. Se puede observar para cada criterio el peso ponderado y el valor obtenido del criterio en los pasos anteriores (Tabla 6), conjuntamente con su evaluación. </w:t>
      </w:r>
    </w:p>
    <w:p w:rsidR="00F12C6E" w:rsidRPr="00F12C6E" w:rsidRDefault="00F12C6E" w:rsidP="00F12C6E">
      <w:pPr>
        <w:jc w:val="both"/>
        <w:rPr>
          <w:rFonts w:ascii="Times New Roman" w:hAnsi="Times New Roman" w:cs="Times New Roman"/>
          <w:sz w:val="24"/>
          <w:szCs w:val="24"/>
          <w:lang w:val="es-ES_tradnl"/>
        </w:rPr>
      </w:pPr>
      <w:r w:rsidRPr="00F12C6E">
        <w:rPr>
          <w:rFonts w:ascii="Times New Roman" w:hAnsi="Times New Roman" w:cs="Times New Roman"/>
          <w:noProof/>
          <w:sz w:val="24"/>
          <w:szCs w:val="24"/>
          <w:lang w:eastAsia="es-ES"/>
        </w:rPr>
        <w:drawing>
          <wp:inline distT="0" distB="0" distL="0" distR="0" wp14:anchorId="28541309" wp14:editId="3C6B0834">
            <wp:extent cx="6105525" cy="293370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12C6E" w:rsidRPr="00F12C6E" w:rsidRDefault="00F12C6E" w:rsidP="00F12C6E">
      <w:pPr>
        <w:spacing w:line="240" w:lineRule="auto"/>
        <w:jc w:val="both"/>
        <w:rPr>
          <w:rFonts w:ascii="Times New Roman" w:hAnsi="Times New Roman" w:cs="Times New Roman"/>
          <w:sz w:val="20"/>
          <w:szCs w:val="20"/>
          <w:lang w:val="es-ES_tradnl"/>
        </w:rPr>
      </w:pPr>
      <w:r w:rsidRPr="00F12C6E">
        <w:rPr>
          <w:rFonts w:ascii="Times New Roman" w:hAnsi="Times New Roman" w:cs="Times New Roman"/>
          <w:sz w:val="20"/>
          <w:szCs w:val="20"/>
          <w:lang w:val="es-ES_tradnl"/>
        </w:rPr>
        <w:t xml:space="preserve">Figura 4. Datos para el cálculo del SCPI. </w:t>
      </w:r>
    </w:p>
    <w:p w:rsidR="00F12C6E" w:rsidRPr="00F12C6E" w:rsidRDefault="00F12C6E" w:rsidP="00F12C6E">
      <w:pPr>
        <w:spacing w:line="240" w:lineRule="auto"/>
        <w:jc w:val="both"/>
        <w:rPr>
          <w:rFonts w:ascii="Times New Roman" w:hAnsi="Times New Roman" w:cs="Times New Roman"/>
          <w:sz w:val="20"/>
          <w:szCs w:val="20"/>
          <w:lang w:val="es-ES_tradnl"/>
        </w:rPr>
      </w:pPr>
      <w:r w:rsidRPr="00F12C6E">
        <w:rPr>
          <w:rFonts w:ascii="Times New Roman" w:hAnsi="Times New Roman" w:cs="Times New Roman"/>
          <w:sz w:val="20"/>
          <w:szCs w:val="20"/>
          <w:lang w:val="es-ES_tradnl"/>
        </w:rPr>
        <w:t>Fuente: elaboración propia.</w:t>
      </w:r>
    </w:p>
    <w:p w:rsidR="00F12C6E" w:rsidRPr="00F12C6E" w:rsidRDefault="00F12C6E" w:rsidP="00F12C6E">
      <w:pPr>
        <w:jc w:val="both"/>
        <w:rPr>
          <w:rFonts w:ascii="Times New Roman" w:hAnsi="Times New Roman" w:cs="Times New Roman"/>
          <w:sz w:val="24"/>
          <w:szCs w:val="24"/>
          <w:lang w:val="es-ES_tradnl"/>
        </w:rPr>
      </w:pPr>
      <w:r w:rsidRPr="00F12C6E">
        <w:rPr>
          <w:rFonts w:ascii="Times New Roman" w:hAnsi="Times New Roman" w:cs="Times New Roman"/>
          <w:sz w:val="24"/>
          <w:szCs w:val="24"/>
          <w:lang w:val="es-ES_tradnl"/>
        </w:rPr>
        <w:t xml:space="preserve">Aplicando la expresión (12) se obtuvo un valor de SCPI de 0,561. Según la escala propuesta (Tabla 1) el desempeño de la CS es Regular. Este resultado refleja la necesidad de buscar las causas y aplicar mejoras para toda la CS. El peor comportamiento lo muestran los criterios eco-eficiencia y rentabilidad. Luego de propuestas las mejoras, se aplica nuevamente la metodología y de ser positivo su impacto se pone en práctica. En un estudio posterior realizado por </w:t>
      </w:r>
      <w:r w:rsidRPr="00F12C6E">
        <w:rPr>
          <w:rFonts w:ascii="Times New Roman" w:hAnsi="Times New Roman" w:cs="Times New Roman"/>
          <w:sz w:val="24"/>
          <w:szCs w:val="24"/>
          <w:lang w:val="es-ES_tradnl"/>
        </w:rPr>
        <w:fldChar w:fldCharType="begin" w:fldLock="1"/>
      </w:r>
      <w:r w:rsidRPr="00F12C6E">
        <w:rPr>
          <w:rFonts w:ascii="Times New Roman" w:hAnsi="Times New Roman" w:cs="Times New Roman"/>
          <w:sz w:val="24"/>
          <w:szCs w:val="24"/>
          <w:lang w:val="es-ES_tradnl"/>
        </w:rPr>
        <w:instrText>ADDIN CSL_CITATION {"citationItems":[{"id":"ITEM-1","itemData":{"author":[{"dropping-particle":"","family":"Vinajera-Zamora","given":"Andrey","non-dropping-particle":"","parse-names":false,"suffix":""},{"dropping-particle":"","family":"Sarache-Castro","given":"William","non-dropping-particle":"","parse-names":false,"suffix":""},{"dropping-particle":"","family":"Cespón-Castro","given":"Roberto","non-dropping-particle":"","parse-names":false,"suffix":""},{"dropping-particle":"","family":"Marrero-Delgado","given":"Fernando","non-dropping-particle":"","parse-names":false,"suffix":""}],"container-title":"IX Conferencia Internacional de Ciencias Empresariales","id":"ITEM-1","issued":{"date-parts":[["2014"]]},"page":"1-11","publisher":"Editorial Feijoo","publisher-place":"Santa Clara,Cuba","title":"Diagnóstico del desempeño de la cadena de suministro de productos electromecanicos. Estudio de casos","type":"paper-conference"},"uris":["http://www.mendeley.com/documents/?uuid=81eaa665-bcab-45f5-a45d-11f8042f28b5"]}],"mendeley":{"formattedCitation":"(Vinajera-Zamora, Sarache-Castro, Cespón-Castro, &amp; Marrero-Delgado, 2014)","manualFormatting":"Vinajera-Zamora, Sarache-Castro,  Cespón-Castro y Marrero-Delgado (2014)","plainTextFormattedCitation":"(Vinajera-Zamora, Sarache-Castro, Cespón-Castro, &amp; Marrero-Delgado, 2014)","previouslyFormattedCitation":"(Vinajera-Zamora, Sarache-Castro, Cespón-Castro, &amp; Marrero-Delgado, 2014)"},"properties":{"noteIndex":0},"schema":"https://github.com/citation-style-language/schema/raw/master/csl-citation.json"}</w:instrText>
      </w:r>
      <w:r w:rsidRPr="00F12C6E">
        <w:rPr>
          <w:rFonts w:ascii="Times New Roman" w:hAnsi="Times New Roman" w:cs="Times New Roman"/>
          <w:sz w:val="24"/>
          <w:szCs w:val="24"/>
          <w:lang w:val="es-ES_tradnl"/>
        </w:rPr>
        <w:fldChar w:fldCharType="separate"/>
      </w:r>
      <w:r w:rsidRPr="00F12C6E">
        <w:rPr>
          <w:rFonts w:ascii="Times New Roman" w:hAnsi="Times New Roman" w:cs="Times New Roman"/>
          <w:noProof/>
          <w:sz w:val="24"/>
          <w:szCs w:val="24"/>
          <w:lang w:val="es-ES_tradnl"/>
        </w:rPr>
        <w:t xml:space="preserve">Vinajera-Zamora, Sarache-Castro,  Cespón-Castro y </w:t>
      </w:r>
      <w:r w:rsidRPr="00F12C6E">
        <w:rPr>
          <w:rFonts w:ascii="Times New Roman" w:hAnsi="Times New Roman" w:cs="Times New Roman"/>
          <w:noProof/>
          <w:sz w:val="24"/>
          <w:szCs w:val="24"/>
          <w:lang w:val="es-ES_tradnl"/>
        </w:rPr>
        <w:lastRenderedPageBreak/>
        <w:t>Marrero-Delgado (2014)</w:t>
      </w:r>
      <w:r w:rsidRPr="00F12C6E">
        <w:rPr>
          <w:rFonts w:ascii="Times New Roman" w:hAnsi="Times New Roman" w:cs="Times New Roman"/>
          <w:sz w:val="24"/>
          <w:szCs w:val="24"/>
          <w:lang w:val="es-ES_tradnl"/>
        </w:rPr>
        <w:fldChar w:fldCharType="end"/>
      </w:r>
      <w:r w:rsidRPr="00F12C6E">
        <w:rPr>
          <w:rFonts w:ascii="Times New Roman" w:hAnsi="Times New Roman" w:cs="Times New Roman"/>
          <w:sz w:val="24"/>
          <w:szCs w:val="24"/>
          <w:lang w:val="es-ES_tradnl"/>
        </w:rPr>
        <w:t>, se detectaron las principales causas de este comportamiento y las acciones de mejora emprendidas fueron:</w:t>
      </w:r>
    </w:p>
    <w:p w:rsidR="00F12C6E" w:rsidRPr="00F12C6E" w:rsidRDefault="00F12C6E" w:rsidP="00F12C6E">
      <w:pPr>
        <w:jc w:val="both"/>
        <w:rPr>
          <w:rFonts w:ascii="Times New Roman" w:hAnsi="Times New Roman" w:cs="Times New Roman"/>
          <w:sz w:val="24"/>
          <w:szCs w:val="24"/>
          <w:lang w:val="es-ES_tradnl"/>
        </w:rPr>
      </w:pPr>
      <w:r w:rsidRPr="00F12C6E">
        <w:rPr>
          <w:rFonts w:ascii="Times New Roman" w:hAnsi="Times New Roman" w:cs="Times New Roman"/>
          <w:sz w:val="24"/>
          <w:szCs w:val="24"/>
          <w:lang w:val="es-ES_tradnl"/>
        </w:rPr>
        <w:t>-La cantidad de productos que se deben recuperar por fallas humanas y del equipo. Esto implicó el comienzo de un programa de capacitación, de revisión del sistema de mantenimiento implantado y adecuación de los puntos de control de la calidad.</w:t>
      </w:r>
    </w:p>
    <w:p w:rsidR="00F12C6E" w:rsidRDefault="00F12C6E" w:rsidP="00F12C6E">
      <w:pPr>
        <w:jc w:val="both"/>
        <w:rPr>
          <w:rFonts w:ascii="Times New Roman" w:hAnsi="Times New Roman" w:cs="Times New Roman"/>
          <w:sz w:val="24"/>
          <w:szCs w:val="24"/>
          <w:lang w:val="es-ES_tradnl"/>
        </w:rPr>
      </w:pPr>
      <w:r w:rsidRPr="00F12C6E">
        <w:rPr>
          <w:rFonts w:ascii="Times New Roman" w:hAnsi="Times New Roman" w:cs="Times New Roman"/>
          <w:sz w:val="24"/>
          <w:szCs w:val="24"/>
          <w:lang w:val="es-ES_tradnl"/>
        </w:rPr>
        <w:t>-La existencia de reservas de capacidad tanto de equipos como de obreros, unido a dificultades de financiamiento para la compra de nuevos insumos. Como acción de mejora, se inició un estudio para el desarrollo de la CS inversa, que permitió la recuperación de los productos dañados utilizados por la población.</w:t>
      </w:r>
    </w:p>
    <w:p w:rsidR="00F12C6E" w:rsidRPr="00F9373E" w:rsidRDefault="00F12C6E" w:rsidP="00F12C6E">
      <w:pPr>
        <w:ind w:left="-90"/>
        <w:jc w:val="both"/>
        <w:rPr>
          <w:rFonts w:ascii="Times New Roman" w:hAnsi="Times New Roman" w:cs="Times New Roman"/>
          <w:sz w:val="24"/>
          <w:szCs w:val="24"/>
          <w:lang w:val="es-ES_tradnl"/>
        </w:rPr>
      </w:pPr>
      <w:r w:rsidRPr="00F9373E">
        <w:rPr>
          <w:rFonts w:ascii="Times New Roman" w:hAnsi="Times New Roman" w:cs="Times New Roman"/>
          <w:sz w:val="24"/>
          <w:szCs w:val="24"/>
          <w:lang w:val="es-ES_tradnl"/>
        </w:rPr>
        <w:t xml:space="preserve">La herramienta metodológica y el SCPI propuestos permitieron medir el desempeño de la CS tomada como objeto de estudio práctico, utilizando métodos basados en múltiples criterios, con orientación a procesos y considerando las dimensiones económica, ambiental y social. Con ello, se logra llenar el vacío de conocimiento dejado por las metodologías y aplicaciones que lo precedieron planteados en la figura 1. </w:t>
      </w:r>
    </w:p>
    <w:p w:rsidR="00F12C6E" w:rsidRPr="00F9373E" w:rsidRDefault="00F12C6E" w:rsidP="00F12C6E">
      <w:pPr>
        <w:ind w:left="-90"/>
        <w:jc w:val="both"/>
        <w:rPr>
          <w:rFonts w:ascii="Times New Roman" w:hAnsi="Times New Roman" w:cs="Times New Roman"/>
          <w:sz w:val="24"/>
          <w:szCs w:val="24"/>
          <w:lang w:val="es-ES_tradnl"/>
        </w:rPr>
      </w:pPr>
      <w:r w:rsidRPr="00F9373E">
        <w:rPr>
          <w:rFonts w:ascii="Times New Roman" w:hAnsi="Times New Roman" w:cs="Times New Roman"/>
          <w:sz w:val="24"/>
          <w:szCs w:val="24"/>
          <w:lang w:val="es-ES_tradnl"/>
        </w:rPr>
        <w:t>La CS estudiada fue evaluada de regular, según el SCPI propuesto, siendo los criterios de eco-eficiencia y rentabilidad los principales responsables de este comportamiento. Además, fue posible medir el acierto en las acciones de mejora emprendidas, no solo en los mencionados criterios, sino sobre la sostenibilidad de toda la CSS.  Los resultados mostrados, son flexibles de aplicar en otras CS con las modificaciones correspondientes, garantizando su mejora continua.</w:t>
      </w:r>
    </w:p>
    <w:p w:rsidR="00F12C6E" w:rsidRPr="00F9373E" w:rsidRDefault="00F12C6E" w:rsidP="00F12C6E">
      <w:pPr>
        <w:ind w:left="-90"/>
        <w:jc w:val="both"/>
        <w:rPr>
          <w:rFonts w:ascii="Times New Roman" w:hAnsi="Times New Roman" w:cs="Times New Roman"/>
          <w:sz w:val="24"/>
          <w:szCs w:val="24"/>
          <w:lang w:val="es-ES_tradnl"/>
        </w:rPr>
      </w:pPr>
      <w:r w:rsidRPr="00F9373E">
        <w:rPr>
          <w:rFonts w:ascii="Times New Roman" w:hAnsi="Times New Roman" w:cs="Times New Roman"/>
          <w:sz w:val="24"/>
          <w:szCs w:val="24"/>
          <w:lang w:val="es-ES_tradnl"/>
        </w:rPr>
        <w:t xml:space="preserve">Este trabajo, al igual que otros desarrollados con fines similares, tiene como limitante que, a nivel mundial, la mayor parte de las CS miden su desempeño considerando esencialmente el criterio económico, lo que dificulta realizar comparaciones en el corto plazo. Sin embargo, todo apunta a que las CSS terminarán predominando. </w:t>
      </w:r>
    </w:p>
    <w:p w:rsidR="00F12C6E" w:rsidRPr="00F12C6E" w:rsidRDefault="00F12C6E" w:rsidP="00F12C6E">
      <w:pPr>
        <w:jc w:val="both"/>
        <w:rPr>
          <w:rFonts w:ascii="Times New Roman" w:hAnsi="Times New Roman" w:cs="Times New Roman"/>
          <w:sz w:val="24"/>
          <w:szCs w:val="24"/>
          <w:lang w:val="es-ES_tradnl"/>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F9373E" w:rsidRPr="00F9373E" w:rsidRDefault="00F9373E" w:rsidP="00F9373E">
      <w:pPr>
        <w:autoSpaceDE w:val="0"/>
        <w:autoSpaceDN w:val="0"/>
        <w:adjustRightInd w:val="0"/>
        <w:jc w:val="both"/>
        <w:rPr>
          <w:rFonts w:ascii="Times New Roman" w:hAnsi="Times New Roman" w:cs="Times New Roman"/>
          <w:sz w:val="24"/>
          <w:szCs w:val="24"/>
          <w:lang w:val="es-ES_tradnl"/>
        </w:rPr>
      </w:pPr>
      <w:r w:rsidRPr="00F9373E">
        <w:rPr>
          <w:rFonts w:ascii="Times New Roman" w:hAnsi="Times New Roman" w:cs="Times New Roman"/>
          <w:sz w:val="24"/>
          <w:szCs w:val="24"/>
          <w:lang w:val="es-ES_tradnl"/>
        </w:rPr>
        <w:t>La literatura especializada y la práctica empresarial, reconocen la importancia de medir el desempeño de las CS y transitar hacia CSS. Al respecto, existen</w:t>
      </w:r>
      <w:r w:rsidRPr="00F9373E">
        <w:rPr>
          <w:rFonts w:ascii="Times New Roman" w:hAnsi="Times New Roman" w:cs="Times New Roman"/>
          <w:color w:val="FF0000"/>
          <w:sz w:val="24"/>
          <w:szCs w:val="24"/>
          <w:highlight w:val="yellow"/>
          <w:lang w:val="es-ES_tradnl"/>
        </w:rPr>
        <w:t xml:space="preserve"> </w:t>
      </w:r>
      <w:r w:rsidRPr="00F9373E">
        <w:rPr>
          <w:rFonts w:ascii="Times New Roman" w:hAnsi="Times New Roman" w:cs="Times New Roman"/>
          <w:sz w:val="24"/>
          <w:szCs w:val="24"/>
          <w:highlight w:val="yellow"/>
          <w:lang w:val="es-ES_tradnl"/>
        </w:rPr>
        <w:t>aportes</w:t>
      </w:r>
      <w:r w:rsidRPr="00F9373E">
        <w:rPr>
          <w:rFonts w:ascii="Times New Roman" w:hAnsi="Times New Roman" w:cs="Times New Roman"/>
          <w:sz w:val="24"/>
          <w:szCs w:val="24"/>
          <w:lang w:val="es-ES_tradnl"/>
        </w:rPr>
        <w:t xml:space="preserve"> importantes que constituyeron el punto de partida del presente trabajo, conjuntamente con la situación problemática definida en la CS estudiada.  </w:t>
      </w:r>
    </w:p>
    <w:p w:rsidR="00F9373E" w:rsidRPr="00F9373E" w:rsidRDefault="00F9373E" w:rsidP="00F9373E">
      <w:pPr>
        <w:autoSpaceDE w:val="0"/>
        <w:autoSpaceDN w:val="0"/>
        <w:adjustRightInd w:val="0"/>
        <w:jc w:val="both"/>
        <w:rPr>
          <w:rFonts w:ascii="Times New Roman" w:hAnsi="Times New Roman" w:cs="Times New Roman"/>
          <w:sz w:val="24"/>
          <w:szCs w:val="24"/>
          <w:lang w:val="es-ES_tradnl"/>
        </w:rPr>
      </w:pPr>
      <w:r w:rsidRPr="00F9373E">
        <w:rPr>
          <w:rFonts w:ascii="Times New Roman" w:hAnsi="Times New Roman" w:cs="Times New Roman"/>
          <w:sz w:val="24"/>
          <w:szCs w:val="24"/>
          <w:lang w:val="es-ES_tradnl"/>
        </w:rPr>
        <w:t xml:space="preserve">Esta investigación cubre el vacío de conocimiento dejado por los autores consultados en la bibliografía especializada en la medición del desempeño de CSS, facilitando su monitoreo y mejoramiento continuo.  Presenta como novedad la integración del enfoque a procesos, los métodos basados en múltiples criterios y la sostenibilidad. Además, el SCPI obtenido permite tomar decisiones sobre toda la CS de forma integral, considerando las situaciones de conflicto que se puedan presentar. </w:t>
      </w:r>
    </w:p>
    <w:p w:rsidR="00F9373E" w:rsidRPr="00F9373E" w:rsidRDefault="00F9373E" w:rsidP="00F9373E">
      <w:pPr>
        <w:jc w:val="both"/>
        <w:rPr>
          <w:rFonts w:ascii="Times New Roman" w:hAnsi="Times New Roman" w:cs="Times New Roman"/>
          <w:sz w:val="24"/>
          <w:szCs w:val="24"/>
          <w:lang w:val="es-ES_tradnl"/>
        </w:rPr>
      </w:pPr>
      <w:r w:rsidRPr="00F9373E">
        <w:rPr>
          <w:rFonts w:ascii="Times New Roman" w:hAnsi="Times New Roman" w:cs="Times New Roman"/>
          <w:sz w:val="24"/>
          <w:szCs w:val="24"/>
          <w:lang w:val="es-ES_tradnl"/>
        </w:rPr>
        <w:lastRenderedPageBreak/>
        <w:t xml:space="preserve">Resultaría interesante, el desarrollo de trabajos similares para evaluar CSS con enfoque a procesos, con el empleo de otros métodos como los estadísticos y la lógica difusa por solo citar algunos. Sin embargo, conjuntamente con la necesaria generalización de trabajos como el presentado, el mayor reto se encuentra en las investigaciones de la dimensión social de la CS, pues posee aún muchas aristas en las que se debe profundizar. </w:t>
      </w:r>
    </w:p>
    <w:p w:rsidR="00FF3346" w:rsidRPr="00F9373E" w:rsidRDefault="00FF3346" w:rsidP="00FF3346">
      <w:pPr>
        <w:spacing w:after="0" w:line="360" w:lineRule="auto"/>
        <w:jc w:val="both"/>
        <w:rPr>
          <w:rFonts w:ascii="Times New Roman" w:hAnsi="Times New Roman" w:cs="Times New Roman"/>
          <w:sz w:val="24"/>
          <w:szCs w:val="24"/>
          <w:lang w:val="es-ES_tradnl"/>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highlight w:val="yellow"/>
          <w:lang w:val="en-US"/>
        </w:rPr>
      </w:pPr>
      <w:r w:rsidRPr="00F9373E">
        <w:rPr>
          <w:rFonts w:ascii="Times New Roman" w:hAnsi="Times New Roman" w:cs="Times New Roman"/>
          <w:sz w:val="24"/>
          <w:szCs w:val="24"/>
          <w:highlight w:val="yellow"/>
          <w:lang w:val="es-ES_tradnl"/>
        </w:rPr>
        <w:fldChar w:fldCharType="begin" w:fldLock="1"/>
      </w:r>
      <w:r w:rsidRPr="00F56AEF">
        <w:rPr>
          <w:rFonts w:ascii="Times New Roman" w:hAnsi="Times New Roman" w:cs="Times New Roman"/>
          <w:sz w:val="24"/>
          <w:szCs w:val="24"/>
          <w:highlight w:val="yellow"/>
        </w:rPr>
        <w:instrText xml:space="preserve">ADDIN Mendeley Bibliography CSL_BIBLIOGRAPHY </w:instrText>
      </w:r>
      <w:r w:rsidRPr="00F9373E">
        <w:rPr>
          <w:rFonts w:ascii="Times New Roman" w:hAnsi="Times New Roman" w:cs="Times New Roman"/>
          <w:sz w:val="24"/>
          <w:szCs w:val="24"/>
          <w:highlight w:val="yellow"/>
          <w:lang w:val="es-ES_tradnl"/>
        </w:rPr>
        <w:fldChar w:fldCharType="separate"/>
      </w:r>
      <w:r w:rsidRPr="00F56AEF">
        <w:rPr>
          <w:rFonts w:ascii="Times New Roman" w:hAnsi="Times New Roman" w:cs="Times New Roman"/>
          <w:noProof/>
          <w:sz w:val="24"/>
          <w:szCs w:val="24"/>
        </w:rPr>
        <w:t xml:space="preserve">Acquaye, A., Ibn-Mohammed, T., Genovese, A., Afrifa, G. A., Yamoah, F. A. y Oppon, E. (2017). </w:t>
      </w:r>
      <w:r w:rsidRPr="00F9373E">
        <w:rPr>
          <w:rFonts w:ascii="Times New Roman" w:hAnsi="Times New Roman" w:cs="Times New Roman"/>
          <w:noProof/>
          <w:sz w:val="24"/>
          <w:szCs w:val="24"/>
          <w:lang w:val="en-US"/>
        </w:rPr>
        <w:t xml:space="preserve">A quantitative model for environmentally sustainable supply chain performance measurement. </w:t>
      </w:r>
      <w:r w:rsidRPr="00F9373E">
        <w:rPr>
          <w:rFonts w:ascii="Times New Roman" w:hAnsi="Times New Roman" w:cs="Times New Roman"/>
          <w:i/>
          <w:iCs/>
          <w:noProof/>
          <w:sz w:val="24"/>
          <w:szCs w:val="24"/>
          <w:lang w:val="en-US"/>
        </w:rPr>
        <w:t>European Journal of Operational Research</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268</w:t>
      </w:r>
      <w:r w:rsidRPr="00F9373E">
        <w:rPr>
          <w:rFonts w:ascii="Times New Roman" w:hAnsi="Times New Roman" w:cs="Times New Roman"/>
          <w:noProof/>
          <w:sz w:val="24"/>
          <w:szCs w:val="24"/>
          <w:lang w:val="en-US"/>
        </w:rPr>
        <w:t>(1), 188–205. https://doi.org/10.1016/j.ejor.2017.10.057</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s-ES_tradnl"/>
        </w:rPr>
        <w:t xml:space="preserve">Ahi, P. y Searcy, C. (2015). </w:t>
      </w:r>
      <w:r w:rsidRPr="00F9373E">
        <w:rPr>
          <w:rFonts w:ascii="Times New Roman" w:hAnsi="Times New Roman" w:cs="Times New Roman"/>
          <w:noProof/>
          <w:sz w:val="24"/>
          <w:szCs w:val="24"/>
          <w:lang w:val="en-US"/>
        </w:rPr>
        <w:t xml:space="preserve">An analysis of metrics used to measure performance in green and sustainable supply chains. </w:t>
      </w:r>
      <w:r w:rsidRPr="00F9373E">
        <w:rPr>
          <w:rFonts w:ascii="Times New Roman" w:hAnsi="Times New Roman" w:cs="Times New Roman"/>
          <w:i/>
          <w:iCs/>
          <w:noProof/>
          <w:sz w:val="24"/>
          <w:szCs w:val="24"/>
          <w:lang w:val="en-US"/>
        </w:rPr>
        <w:t>Journal of Cleaner Production</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86</w:t>
      </w:r>
      <w:r w:rsidRPr="00F9373E">
        <w:rPr>
          <w:rFonts w:ascii="Times New Roman" w:hAnsi="Times New Roman" w:cs="Times New Roman"/>
          <w:noProof/>
          <w:sz w:val="24"/>
          <w:szCs w:val="24"/>
          <w:lang w:val="en-US"/>
        </w:rPr>
        <w:t xml:space="preserve">(1), 360–377. https://doi.org/10.1016/j.jclepro.2014.08.005 </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Ala-Harja, H. y Helo, P. (2016). Food supply chain sustainable performance in plant decision. </w:t>
      </w:r>
      <w:r w:rsidRPr="00F9373E">
        <w:rPr>
          <w:rFonts w:ascii="Times New Roman" w:hAnsi="Times New Roman" w:cs="Times New Roman"/>
          <w:i/>
          <w:iCs/>
          <w:noProof/>
          <w:sz w:val="24"/>
          <w:szCs w:val="24"/>
          <w:lang w:val="en-US"/>
        </w:rPr>
        <w:t>International Journal of Advanced Logistics</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5</w:t>
      </w:r>
      <w:r w:rsidRPr="00F9373E">
        <w:rPr>
          <w:rFonts w:ascii="Times New Roman" w:hAnsi="Times New Roman" w:cs="Times New Roman"/>
          <w:noProof/>
          <w:sz w:val="24"/>
          <w:szCs w:val="24"/>
          <w:lang w:val="en-US"/>
        </w:rPr>
        <w:t>(1), 1–18. https://doi.org/10.1080/2287108X.2015.1103542</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Amad-Saeed, M. y Kersten, W. (2017). Supply chain sustainability performance indicators - a content analysis based on published standards and guidelines. </w:t>
      </w:r>
      <w:r w:rsidRPr="00F9373E">
        <w:rPr>
          <w:rFonts w:ascii="Times New Roman" w:hAnsi="Times New Roman" w:cs="Times New Roman"/>
          <w:i/>
          <w:iCs/>
          <w:noProof/>
          <w:sz w:val="24"/>
          <w:szCs w:val="24"/>
          <w:lang w:val="en-US"/>
        </w:rPr>
        <w:t>Logistics Research</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10</w:t>
      </w:r>
      <w:r w:rsidRPr="00F9373E">
        <w:rPr>
          <w:rFonts w:ascii="Times New Roman" w:hAnsi="Times New Roman" w:cs="Times New Roman"/>
          <w:noProof/>
          <w:sz w:val="24"/>
          <w:szCs w:val="24"/>
          <w:lang w:val="en-US"/>
        </w:rPr>
        <w:t>(12), 1-19. https://doi.org/10.23773/2017_12</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s-ES_tradnl"/>
        </w:rPr>
      </w:pPr>
      <w:r w:rsidRPr="00F9373E">
        <w:rPr>
          <w:rFonts w:ascii="Times New Roman" w:hAnsi="Times New Roman" w:cs="Times New Roman"/>
          <w:noProof/>
          <w:sz w:val="24"/>
          <w:szCs w:val="24"/>
          <w:lang w:val="en-US"/>
        </w:rPr>
        <w:t xml:space="preserve">Anand, N. y Grover, N. (2015). Measuring retail supply chain performance: Theoretical model using key performance indicators (KPIs). </w:t>
      </w:r>
      <w:r w:rsidRPr="00F9373E">
        <w:rPr>
          <w:rFonts w:ascii="Times New Roman" w:hAnsi="Times New Roman" w:cs="Times New Roman"/>
          <w:i/>
          <w:iCs/>
          <w:noProof/>
          <w:sz w:val="24"/>
          <w:szCs w:val="24"/>
          <w:lang w:val="es-ES_tradnl"/>
        </w:rPr>
        <w:t>Benchmarking</w:t>
      </w:r>
      <w:r w:rsidRPr="00F9373E">
        <w:rPr>
          <w:rFonts w:ascii="Times New Roman" w:hAnsi="Times New Roman" w:cs="Times New Roman"/>
          <w:noProof/>
          <w:sz w:val="24"/>
          <w:szCs w:val="24"/>
          <w:lang w:val="es-ES_tradnl"/>
        </w:rPr>
        <w:t xml:space="preserve">, </w:t>
      </w:r>
      <w:r w:rsidRPr="00F9373E">
        <w:rPr>
          <w:rFonts w:ascii="Times New Roman" w:hAnsi="Times New Roman" w:cs="Times New Roman"/>
          <w:i/>
          <w:iCs/>
          <w:noProof/>
          <w:sz w:val="24"/>
          <w:szCs w:val="24"/>
          <w:lang w:val="es-ES_tradnl"/>
        </w:rPr>
        <w:t>22</w:t>
      </w:r>
      <w:r w:rsidRPr="00F9373E">
        <w:rPr>
          <w:rFonts w:ascii="Times New Roman" w:hAnsi="Times New Roman" w:cs="Times New Roman"/>
          <w:noProof/>
          <w:sz w:val="24"/>
          <w:szCs w:val="24"/>
          <w:lang w:val="es-ES_tradnl"/>
        </w:rPr>
        <w:t>(1), 135–166. https://doi.org/10.1108/BIJ-05-2012-0034</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s-ES_tradnl"/>
        </w:rPr>
      </w:pPr>
      <w:r w:rsidRPr="00F9373E">
        <w:rPr>
          <w:rFonts w:ascii="Times New Roman" w:hAnsi="Times New Roman" w:cs="Times New Roman"/>
          <w:noProof/>
          <w:sz w:val="24"/>
          <w:szCs w:val="24"/>
          <w:lang w:val="es-ES_tradnl"/>
        </w:rPr>
        <w:t xml:space="preserve">Avelar-Sosa, L., García-Alcaraz, J. L. y Maldonado-Macías, A. A. (2019). </w:t>
      </w:r>
      <w:r w:rsidRPr="00F9373E">
        <w:rPr>
          <w:rFonts w:ascii="Times New Roman" w:hAnsi="Times New Roman" w:cs="Times New Roman"/>
          <w:noProof/>
          <w:sz w:val="24"/>
          <w:szCs w:val="24"/>
          <w:lang w:val="en-US"/>
        </w:rPr>
        <w:t xml:space="preserve">Conceptualization of Supply Chain Performance. In </w:t>
      </w:r>
      <w:r w:rsidRPr="00F9373E">
        <w:rPr>
          <w:rFonts w:ascii="Times New Roman" w:hAnsi="Times New Roman" w:cs="Times New Roman"/>
          <w:i/>
          <w:iCs/>
          <w:noProof/>
          <w:sz w:val="24"/>
          <w:szCs w:val="24"/>
          <w:lang w:val="en-US"/>
        </w:rPr>
        <w:t>Evaluation of Supply Chain Performance: A Manufacturing Industry Approach</w:t>
      </w:r>
      <w:r w:rsidRPr="00F9373E">
        <w:rPr>
          <w:rFonts w:ascii="Times New Roman" w:hAnsi="Times New Roman" w:cs="Times New Roman"/>
          <w:noProof/>
          <w:sz w:val="24"/>
          <w:szCs w:val="24"/>
          <w:lang w:val="en-US"/>
        </w:rPr>
        <w:t xml:space="preserve"> (pp. 69–89). </w:t>
      </w:r>
      <w:r w:rsidRPr="00F9373E">
        <w:rPr>
          <w:rFonts w:ascii="Times New Roman" w:hAnsi="Times New Roman" w:cs="Times New Roman"/>
          <w:noProof/>
          <w:sz w:val="24"/>
          <w:szCs w:val="24"/>
          <w:lang w:val="es-ES_tradnl"/>
        </w:rPr>
        <w:t>Cham: Spinger. https://doi.org/10.1007/978-3-319-93876-9_5</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s-ES_tradnl"/>
        </w:rPr>
        <w:t xml:space="preserve">Barba-Gutiérrez, Y., Adenso-Díaz, B. y Lozano, S. (2009). </w:t>
      </w:r>
      <w:r w:rsidRPr="00F9373E">
        <w:rPr>
          <w:rFonts w:ascii="Times New Roman" w:hAnsi="Times New Roman" w:cs="Times New Roman"/>
          <w:noProof/>
          <w:sz w:val="24"/>
          <w:szCs w:val="24"/>
          <w:lang w:val="en-US"/>
        </w:rPr>
        <w:t xml:space="preserve">Eco-efficiency of electric and electronic appliances: A data envelopment analysis (DEA). </w:t>
      </w:r>
      <w:r w:rsidRPr="00F9373E">
        <w:rPr>
          <w:rFonts w:ascii="Times New Roman" w:hAnsi="Times New Roman" w:cs="Times New Roman"/>
          <w:i/>
          <w:iCs/>
          <w:noProof/>
          <w:sz w:val="24"/>
          <w:szCs w:val="24"/>
          <w:lang w:val="en-US"/>
        </w:rPr>
        <w:t>Environmental Modeling and Assessment</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14</w:t>
      </w:r>
      <w:r w:rsidRPr="00F9373E">
        <w:rPr>
          <w:rFonts w:ascii="Times New Roman" w:hAnsi="Times New Roman" w:cs="Times New Roman"/>
          <w:noProof/>
          <w:sz w:val="24"/>
          <w:szCs w:val="24"/>
          <w:lang w:val="en-US"/>
        </w:rPr>
        <w:t>(4), 439–447. https://doi.org/10.1007/s10666-007-9134-2</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s-ES_tradnl"/>
        </w:rPr>
      </w:pPr>
      <w:r w:rsidRPr="00F9373E">
        <w:rPr>
          <w:rFonts w:ascii="Times New Roman" w:hAnsi="Times New Roman" w:cs="Times New Roman"/>
          <w:noProof/>
          <w:sz w:val="24"/>
          <w:szCs w:val="24"/>
          <w:lang w:val="en-US"/>
        </w:rPr>
        <w:t xml:space="preserve">Chacón Vargas, J. R. y Moreno Mantilla, C. E. (2016). Organizational antecedents and capabilities for sustainable supply chain management in developing economies: The case of Colombian focal firms. </w:t>
      </w:r>
      <w:r w:rsidRPr="00F9373E">
        <w:rPr>
          <w:rFonts w:ascii="Times New Roman" w:hAnsi="Times New Roman" w:cs="Times New Roman"/>
          <w:i/>
          <w:iCs/>
          <w:noProof/>
          <w:sz w:val="24"/>
          <w:szCs w:val="24"/>
          <w:lang w:val="es-ES_tradnl"/>
        </w:rPr>
        <w:t>Cuadernos de Administración</w:t>
      </w:r>
      <w:r w:rsidRPr="00F9373E">
        <w:rPr>
          <w:rFonts w:ascii="Times New Roman" w:hAnsi="Times New Roman" w:cs="Times New Roman"/>
          <w:noProof/>
          <w:sz w:val="24"/>
          <w:szCs w:val="24"/>
          <w:lang w:val="es-ES_tradnl"/>
        </w:rPr>
        <w:t xml:space="preserve">, </w:t>
      </w:r>
      <w:r w:rsidRPr="00F9373E">
        <w:rPr>
          <w:rFonts w:ascii="Times New Roman" w:hAnsi="Times New Roman" w:cs="Times New Roman"/>
          <w:i/>
          <w:iCs/>
          <w:noProof/>
          <w:sz w:val="24"/>
          <w:szCs w:val="24"/>
          <w:lang w:val="es-ES_tradnl"/>
        </w:rPr>
        <w:t>29</w:t>
      </w:r>
      <w:r w:rsidRPr="00F9373E">
        <w:rPr>
          <w:rFonts w:ascii="Times New Roman" w:hAnsi="Times New Roman" w:cs="Times New Roman"/>
          <w:iCs/>
          <w:noProof/>
          <w:sz w:val="24"/>
          <w:szCs w:val="24"/>
          <w:lang w:val="es-ES_tradnl"/>
        </w:rPr>
        <w:t>(53), 101-146</w:t>
      </w:r>
      <w:r w:rsidRPr="00F9373E">
        <w:rPr>
          <w:rFonts w:ascii="Times New Roman" w:hAnsi="Times New Roman" w:cs="Times New Roman"/>
          <w:noProof/>
          <w:sz w:val="24"/>
          <w:szCs w:val="24"/>
          <w:lang w:val="es-ES_tradnl"/>
        </w:rPr>
        <w:t>. https://doi.org/10.11144/Javeriana.cao29-53.oacs</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s-ES_tradnl"/>
        </w:rPr>
        <w:lastRenderedPageBreak/>
        <w:t xml:space="preserve">Charnes, A., Cooper, W. W. y Rhodes, E. (1978). </w:t>
      </w:r>
      <w:r w:rsidRPr="00F9373E">
        <w:rPr>
          <w:rFonts w:ascii="Times New Roman" w:hAnsi="Times New Roman" w:cs="Times New Roman"/>
          <w:noProof/>
          <w:sz w:val="24"/>
          <w:szCs w:val="24"/>
          <w:lang w:val="en-US"/>
        </w:rPr>
        <w:t xml:space="preserve">Measuring the efficiency of decision making units. </w:t>
      </w:r>
      <w:r w:rsidRPr="00F9373E">
        <w:rPr>
          <w:rFonts w:ascii="Times New Roman" w:hAnsi="Times New Roman" w:cs="Times New Roman"/>
          <w:i/>
          <w:iCs/>
          <w:noProof/>
          <w:sz w:val="24"/>
          <w:szCs w:val="24"/>
          <w:lang w:val="en-US"/>
        </w:rPr>
        <w:t>European Journal of Operational Research</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2</w:t>
      </w:r>
      <w:r w:rsidRPr="00F9373E">
        <w:rPr>
          <w:rFonts w:ascii="Times New Roman" w:hAnsi="Times New Roman" w:cs="Times New Roman"/>
          <w:noProof/>
          <w:sz w:val="24"/>
          <w:szCs w:val="24"/>
          <w:lang w:val="en-US"/>
        </w:rPr>
        <w:t>(6), 429–444.</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s-ES_tradnl"/>
        </w:rPr>
      </w:pPr>
      <w:r w:rsidRPr="00F9373E">
        <w:rPr>
          <w:rFonts w:ascii="Times New Roman" w:hAnsi="Times New Roman" w:cs="Times New Roman"/>
          <w:noProof/>
          <w:sz w:val="24"/>
          <w:szCs w:val="24"/>
          <w:lang w:val="en-US"/>
        </w:rPr>
        <w:t xml:space="preserve">Chin, T. A., Tat, H. H. y Sulaiman, Z. (2015). Green Supply Chain Management, Environmental Collaboration and Sustainability Performance. </w:t>
      </w:r>
      <w:r w:rsidRPr="00F9373E">
        <w:rPr>
          <w:rFonts w:ascii="Times New Roman" w:hAnsi="Times New Roman" w:cs="Times New Roman"/>
          <w:i/>
          <w:iCs/>
          <w:noProof/>
          <w:sz w:val="24"/>
          <w:szCs w:val="24"/>
          <w:lang w:val="es-ES_tradnl"/>
        </w:rPr>
        <w:t>Procedia CIRP</w:t>
      </w:r>
      <w:r w:rsidRPr="00F9373E">
        <w:rPr>
          <w:rFonts w:ascii="Times New Roman" w:hAnsi="Times New Roman" w:cs="Times New Roman"/>
          <w:noProof/>
          <w:sz w:val="24"/>
          <w:szCs w:val="24"/>
          <w:lang w:val="es-ES_tradnl"/>
        </w:rPr>
        <w:t xml:space="preserve">, </w:t>
      </w:r>
      <w:r w:rsidRPr="00F9373E">
        <w:rPr>
          <w:rFonts w:ascii="Times New Roman" w:hAnsi="Times New Roman" w:cs="Times New Roman"/>
          <w:i/>
          <w:iCs/>
          <w:noProof/>
          <w:sz w:val="24"/>
          <w:szCs w:val="24"/>
          <w:lang w:val="es-ES_tradnl"/>
        </w:rPr>
        <w:t>26</w:t>
      </w:r>
      <w:r w:rsidRPr="00F9373E">
        <w:rPr>
          <w:rFonts w:ascii="Times New Roman" w:hAnsi="Times New Roman" w:cs="Times New Roman"/>
          <w:noProof/>
          <w:sz w:val="24"/>
          <w:szCs w:val="24"/>
          <w:lang w:val="es-ES_tradnl"/>
        </w:rPr>
        <w:t>, 695–699. https://doi.org/10.1016/j.procir.2014.07.035</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s-ES_tradnl"/>
        </w:rPr>
        <w:t xml:space="preserve">Dey, P. K. y Cheffi, W. (2013). </w:t>
      </w:r>
      <w:r w:rsidRPr="00F9373E">
        <w:rPr>
          <w:rFonts w:ascii="Times New Roman" w:hAnsi="Times New Roman" w:cs="Times New Roman"/>
          <w:noProof/>
          <w:sz w:val="24"/>
          <w:szCs w:val="24"/>
          <w:lang w:val="en-US"/>
        </w:rPr>
        <w:t xml:space="preserve">Green supply chain performance measurement using the analytic hierarchy process: A comparative analysis of manufacturing organisations. </w:t>
      </w:r>
      <w:r w:rsidRPr="00F9373E">
        <w:rPr>
          <w:rFonts w:ascii="Times New Roman" w:hAnsi="Times New Roman" w:cs="Times New Roman"/>
          <w:i/>
          <w:iCs/>
          <w:noProof/>
          <w:sz w:val="24"/>
          <w:szCs w:val="24"/>
          <w:lang w:val="en-US"/>
        </w:rPr>
        <w:t>Production Planning and Control</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24</w:t>
      </w:r>
      <w:r w:rsidRPr="00F9373E">
        <w:rPr>
          <w:rFonts w:ascii="Times New Roman" w:hAnsi="Times New Roman" w:cs="Times New Roman"/>
          <w:noProof/>
          <w:sz w:val="24"/>
          <w:szCs w:val="24"/>
          <w:lang w:val="en-US"/>
        </w:rPr>
        <w:t>(8–9), 702–720. https://doi.org/10.1080/09537287.2012.666859</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Dossou, P. E. y Nachidi, M. (2017). Modeling Supply Chain Performance. </w:t>
      </w:r>
      <w:r w:rsidRPr="00F9373E">
        <w:rPr>
          <w:rFonts w:ascii="Times New Roman" w:hAnsi="Times New Roman" w:cs="Times New Roman"/>
          <w:i/>
          <w:iCs/>
          <w:noProof/>
          <w:sz w:val="24"/>
          <w:szCs w:val="24"/>
          <w:lang w:val="en-US"/>
        </w:rPr>
        <w:t>Procedia Manufacturing</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11</w:t>
      </w:r>
      <w:r w:rsidRPr="00F9373E">
        <w:rPr>
          <w:rFonts w:ascii="Times New Roman" w:hAnsi="Times New Roman" w:cs="Times New Roman"/>
          <w:noProof/>
          <w:sz w:val="24"/>
          <w:szCs w:val="24"/>
          <w:lang w:val="en-US"/>
        </w:rPr>
        <w:t>, 838–845. https://doi.org/10.1016/j.promfg.2017.07.186</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Dushyanth Kumar, K. R., Shivashankar, G. S. y Kadadevaramath, R. S. (2017). Lean Supply Chain Performance Metrics for the better Manufacturing Process. </w:t>
      </w:r>
      <w:r w:rsidRPr="00F9373E">
        <w:rPr>
          <w:rFonts w:ascii="Times New Roman" w:hAnsi="Times New Roman" w:cs="Times New Roman"/>
          <w:i/>
          <w:iCs/>
          <w:noProof/>
          <w:sz w:val="24"/>
          <w:szCs w:val="24"/>
          <w:lang w:val="en-US"/>
        </w:rPr>
        <w:t>Indian Journal of Science and Technology</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10</w:t>
      </w:r>
      <w:r w:rsidRPr="00F9373E">
        <w:rPr>
          <w:rFonts w:ascii="Times New Roman" w:hAnsi="Times New Roman" w:cs="Times New Roman"/>
          <w:noProof/>
          <w:sz w:val="24"/>
          <w:szCs w:val="24"/>
          <w:lang w:val="en-US"/>
        </w:rPr>
        <w:t>(11), 1–7. https://doi.org/10.17485/ijst/2017/v10i11/106135</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s-ES_tradnl"/>
        </w:rPr>
      </w:pPr>
      <w:r w:rsidRPr="00F9373E">
        <w:rPr>
          <w:rFonts w:ascii="Times New Roman" w:hAnsi="Times New Roman" w:cs="Times New Roman"/>
          <w:noProof/>
          <w:sz w:val="24"/>
          <w:szCs w:val="24"/>
          <w:lang w:val="es-ES_tradnl"/>
        </w:rPr>
        <w:t xml:space="preserve">Egiguren, J. A. E. y  Elordi, A. G. (2011). Diseño, aplicación y evaluación de un modelo para la mejora de procesos en sectores industriales maduros. Estudio del caso. </w:t>
      </w:r>
      <w:r w:rsidRPr="00F9373E">
        <w:rPr>
          <w:rFonts w:ascii="Times New Roman" w:hAnsi="Times New Roman" w:cs="Times New Roman"/>
          <w:i/>
          <w:iCs/>
          <w:noProof/>
          <w:sz w:val="24"/>
          <w:szCs w:val="24"/>
          <w:lang w:val="es-ES_tradnl"/>
        </w:rPr>
        <w:t>DYNA</w:t>
      </w:r>
      <w:r w:rsidRPr="00F9373E">
        <w:rPr>
          <w:rFonts w:ascii="Times New Roman" w:hAnsi="Times New Roman" w:cs="Times New Roman"/>
          <w:noProof/>
          <w:sz w:val="24"/>
          <w:szCs w:val="24"/>
          <w:lang w:val="es-ES_tradnl"/>
        </w:rPr>
        <w:t xml:space="preserve">, </w:t>
      </w:r>
      <w:r w:rsidRPr="00F9373E">
        <w:rPr>
          <w:rFonts w:ascii="Times New Roman" w:hAnsi="Times New Roman" w:cs="Times New Roman"/>
          <w:i/>
          <w:iCs/>
          <w:noProof/>
          <w:sz w:val="24"/>
          <w:szCs w:val="24"/>
          <w:lang w:val="es-ES_tradnl"/>
        </w:rPr>
        <w:t>86</w:t>
      </w:r>
      <w:r w:rsidRPr="00F9373E">
        <w:rPr>
          <w:rFonts w:ascii="Times New Roman" w:hAnsi="Times New Roman" w:cs="Times New Roman"/>
          <w:noProof/>
          <w:sz w:val="24"/>
          <w:szCs w:val="24"/>
          <w:lang w:val="es-ES_tradnl"/>
        </w:rPr>
        <w:t xml:space="preserve">(1), 59–73. </w:t>
      </w:r>
      <w:hyperlink r:id="rId42" w:history="1">
        <w:r w:rsidRPr="00F9373E">
          <w:rPr>
            <w:rFonts w:ascii="Times New Roman" w:hAnsi="Times New Roman" w:cs="Times New Roman"/>
            <w:noProof/>
            <w:sz w:val="24"/>
            <w:szCs w:val="24"/>
            <w:lang w:val="es-ES_tradnl"/>
          </w:rPr>
          <w:t>http://dx.doi.org/10.6036/3734</w:t>
        </w:r>
      </w:hyperlink>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s-ES_tradnl"/>
        </w:rPr>
        <w:t xml:space="preserve">Elgazzar, S., Tipi, N. y Jones, G. (2019). </w:t>
      </w:r>
      <w:r w:rsidRPr="00F9373E">
        <w:rPr>
          <w:rFonts w:ascii="Times New Roman" w:hAnsi="Times New Roman" w:cs="Times New Roman"/>
          <w:noProof/>
          <w:sz w:val="24"/>
          <w:szCs w:val="24"/>
          <w:lang w:val="en-US"/>
        </w:rPr>
        <w:t xml:space="preserve">Key characteristics for designing a supply chain performance measurement system. </w:t>
      </w:r>
      <w:r w:rsidRPr="00F9373E">
        <w:rPr>
          <w:rFonts w:ascii="Times New Roman" w:hAnsi="Times New Roman" w:cs="Times New Roman"/>
          <w:i/>
          <w:iCs/>
          <w:noProof/>
          <w:sz w:val="24"/>
          <w:szCs w:val="24"/>
          <w:lang w:val="en-US"/>
        </w:rPr>
        <w:t>International Journal of Productivity and Performance Management</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68</w:t>
      </w:r>
      <w:r w:rsidRPr="00F9373E">
        <w:rPr>
          <w:rFonts w:ascii="Times New Roman" w:hAnsi="Times New Roman" w:cs="Times New Roman"/>
          <w:noProof/>
          <w:sz w:val="24"/>
          <w:szCs w:val="24"/>
          <w:lang w:val="en-US"/>
        </w:rPr>
        <w:t>(2), 296–318. https://doi.org/10.1108/IJPPM-04-2018-0147</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s-ES_tradnl"/>
        </w:rPr>
      </w:pPr>
      <w:r w:rsidRPr="00F9373E">
        <w:rPr>
          <w:rFonts w:ascii="Times New Roman" w:hAnsi="Times New Roman" w:cs="Times New Roman"/>
          <w:noProof/>
          <w:sz w:val="24"/>
          <w:szCs w:val="24"/>
          <w:lang w:val="es-ES_tradnl"/>
        </w:rPr>
        <w:t xml:space="preserve">Feitó Cespón, M., Cespón Castro, R., Rubio Rodríguez, M. A. (2016). Modelos de optimización para el diseño sostenible de cadenas de suministros de reciclaje de múltiples productos. </w:t>
      </w:r>
      <w:r w:rsidRPr="00F9373E">
        <w:rPr>
          <w:rFonts w:ascii="Times New Roman" w:hAnsi="Times New Roman" w:cs="Times New Roman"/>
          <w:i/>
          <w:iCs/>
          <w:noProof/>
          <w:sz w:val="24"/>
          <w:szCs w:val="24"/>
          <w:lang w:val="es-ES_tradnl"/>
        </w:rPr>
        <w:t>Ingeniare. Revista Chilena de Ingeniería</w:t>
      </w:r>
      <w:r w:rsidRPr="00F9373E">
        <w:rPr>
          <w:rFonts w:ascii="Times New Roman" w:hAnsi="Times New Roman" w:cs="Times New Roman"/>
          <w:noProof/>
          <w:sz w:val="24"/>
          <w:szCs w:val="24"/>
          <w:lang w:val="es-ES_tradnl"/>
        </w:rPr>
        <w:t xml:space="preserve">, </w:t>
      </w:r>
      <w:r w:rsidRPr="00F9373E">
        <w:rPr>
          <w:rFonts w:ascii="Times New Roman" w:hAnsi="Times New Roman" w:cs="Times New Roman"/>
          <w:i/>
          <w:iCs/>
          <w:noProof/>
          <w:sz w:val="24"/>
          <w:szCs w:val="24"/>
          <w:lang w:val="es-ES_tradnl"/>
        </w:rPr>
        <w:t>24</w:t>
      </w:r>
      <w:r w:rsidRPr="00F9373E">
        <w:rPr>
          <w:rFonts w:ascii="Times New Roman" w:hAnsi="Times New Roman" w:cs="Times New Roman"/>
          <w:noProof/>
          <w:sz w:val="24"/>
          <w:szCs w:val="24"/>
          <w:lang w:val="es-ES_tradnl"/>
        </w:rPr>
        <w:t>(1), 135–148. https://doi.org/10.4067/S0718-33052016000100013</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s-ES_tradnl"/>
        </w:rPr>
        <w:t xml:space="preserve">Gao, Y., Li, J. y Song, Y. (2009). </w:t>
      </w:r>
      <w:r w:rsidRPr="00F9373E">
        <w:rPr>
          <w:rFonts w:ascii="Times New Roman" w:hAnsi="Times New Roman" w:cs="Times New Roman"/>
          <w:noProof/>
          <w:sz w:val="24"/>
          <w:szCs w:val="24"/>
          <w:lang w:val="en-US"/>
        </w:rPr>
        <w:t xml:space="preserve">Performance evaluation of green supply chain management based on membership conversion algorithm. </w:t>
      </w:r>
      <w:r w:rsidRPr="00F9373E">
        <w:rPr>
          <w:rFonts w:ascii="Times New Roman" w:hAnsi="Times New Roman" w:cs="Times New Roman"/>
          <w:iCs/>
          <w:noProof/>
          <w:sz w:val="24"/>
          <w:szCs w:val="24"/>
          <w:lang w:val="en-US"/>
        </w:rPr>
        <w:t>In</w:t>
      </w:r>
      <w:r w:rsidRPr="00F9373E">
        <w:rPr>
          <w:rFonts w:ascii="Times New Roman" w:hAnsi="Times New Roman" w:cs="Times New Roman"/>
          <w:i/>
          <w:iCs/>
          <w:noProof/>
          <w:sz w:val="24"/>
          <w:szCs w:val="24"/>
          <w:lang w:val="en-US"/>
        </w:rPr>
        <w:t xml:space="preserve"> Proceeding: IEEE International Colloquium on Computing, Communication, Control and Management </w:t>
      </w:r>
      <w:r w:rsidRPr="00F9373E">
        <w:rPr>
          <w:rFonts w:ascii="Times New Roman" w:hAnsi="Times New Roman" w:cs="Times New Roman"/>
          <w:iCs/>
          <w:noProof/>
          <w:sz w:val="24"/>
          <w:szCs w:val="24"/>
          <w:lang w:val="en-US"/>
        </w:rPr>
        <w:t xml:space="preserve">(p. </w:t>
      </w:r>
      <w:r w:rsidRPr="00F9373E">
        <w:rPr>
          <w:rFonts w:ascii="Times New Roman" w:hAnsi="Times New Roman" w:cs="Times New Roman"/>
          <w:noProof/>
          <w:sz w:val="24"/>
          <w:szCs w:val="24"/>
          <w:lang w:val="en-US"/>
        </w:rPr>
        <w:t>237–240). Sanya, China. https://doi.org/10.1109/CCCM.2009.5267895</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Gey, D. G., Yusuf, Y., Menhat, M. S., Abubakar, T., y Ogbuke, N. J. (2020). Agile capabilities as necessary conditions for maximising sustainable supply chain performance: An empirical investigation. </w:t>
      </w:r>
      <w:r w:rsidRPr="00F9373E">
        <w:rPr>
          <w:rFonts w:ascii="Times New Roman" w:hAnsi="Times New Roman" w:cs="Times New Roman"/>
          <w:i/>
          <w:iCs/>
          <w:noProof/>
          <w:sz w:val="24"/>
          <w:szCs w:val="24"/>
          <w:lang w:val="en-US"/>
        </w:rPr>
        <w:t>International Journal of Production Economics</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222</w:t>
      </w:r>
      <w:r w:rsidRPr="00F9373E">
        <w:rPr>
          <w:rFonts w:ascii="Times New Roman" w:hAnsi="Times New Roman" w:cs="Times New Roman"/>
          <w:noProof/>
          <w:sz w:val="24"/>
          <w:szCs w:val="24"/>
          <w:lang w:val="en-US"/>
        </w:rPr>
        <w:t>, 107501. https://doi.org/10.1016/j.ijpe.2019.09.022</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s-ES_tradnl"/>
        </w:rPr>
        <w:lastRenderedPageBreak/>
        <w:t xml:space="preserve">Golghate, C. D. y Pawar, M. S. (2013). </w:t>
      </w:r>
      <w:r w:rsidRPr="00F9373E">
        <w:rPr>
          <w:rFonts w:ascii="Times New Roman" w:hAnsi="Times New Roman" w:cs="Times New Roman"/>
          <w:noProof/>
          <w:sz w:val="24"/>
          <w:szCs w:val="24"/>
          <w:lang w:val="en-US"/>
        </w:rPr>
        <w:t xml:space="preserve">Measurement and analysis of the plastic films green supply chain performance. </w:t>
      </w:r>
      <w:r w:rsidRPr="00F9373E">
        <w:rPr>
          <w:rFonts w:ascii="Times New Roman" w:hAnsi="Times New Roman" w:cs="Times New Roman"/>
          <w:i/>
          <w:iCs/>
          <w:noProof/>
          <w:sz w:val="24"/>
          <w:szCs w:val="24"/>
          <w:lang w:val="en-US"/>
        </w:rPr>
        <w:t>International Journal of Intelligent Enterprise</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2</w:t>
      </w:r>
      <w:r w:rsidRPr="00F9373E">
        <w:rPr>
          <w:rFonts w:ascii="Times New Roman" w:hAnsi="Times New Roman" w:cs="Times New Roman"/>
          <w:noProof/>
          <w:sz w:val="24"/>
          <w:szCs w:val="24"/>
          <w:lang w:val="en-US"/>
        </w:rPr>
        <w:t>(1), 21–45. https://doi.org/10.1504/IJIE.2013.057332</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Gopal, P. R. C. y Thakkar, J. (2015). Development of composite sustainable supply chain performance index for the automobile industry. </w:t>
      </w:r>
      <w:r w:rsidRPr="00F9373E">
        <w:rPr>
          <w:rFonts w:ascii="Times New Roman" w:hAnsi="Times New Roman" w:cs="Times New Roman"/>
          <w:i/>
          <w:iCs/>
          <w:noProof/>
          <w:sz w:val="24"/>
          <w:szCs w:val="24"/>
          <w:lang w:val="en-US"/>
        </w:rPr>
        <w:t>International Journal of Sustainable Engineering</w:t>
      </w:r>
      <w:r w:rsidRPr="00F9373E">
        <w:rPr>
          <w:rFonts w:ascii="Times New Roman" w:hAnsi="Times New Roman" w:cs="Times New Roman"/>
          <w:noProof/>
          <w:sz w:val="24"/>
          <w:szCs w:val="24"/>
          <w:lang w:val="en-US"/>
        </w:rPr>
        <w:t>, 8(6), 366-385. https://doi.org/10.1080/19397038.2014.947392</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Guan, Y. H., Cheng, H. F. y Ye, Y. (2010). Performance Evaluation of Sustainable Supply Chain Based on AHP and Fuzzy Comprehensive Evaluation. </w:t>
      </w:r>
      <w:r w:rsidRPr="00F9373E">
        <w:rPr>
          <w:rFonts w:ascii="Times New Roman" w:hAnsi="Times New Roman" w:cs="Times New Roman"/>
          <w:i/>
          <w:iCs/>
          <w:noProof/>
          <w:sz w:val="24"/>
          <w:szCs w:val="24"/>
          <w:lang w:val="en-US"/>
        </w:rPr>
        <w:t>Applied Mechanics and Materials</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26</w:t>
      </w:r>
      <w:r w:rsidRPr="00F9373E">
        <w:rPr>
          <w:rFonts w:ascii="Times New Roman" w:hAnsi="Times New Roman" w:cs="Times New Roman"/>
          <w:noProof/>
          <w:sz w:val="24"/>
          <w:szCs w:val="24"/>
          <w:lang w:val="en-US"/>
        </w:rPr>
        <w:t>–</w:t>
      </w:r>
      <w:r w:rsidRPr="00F9373E">
        <w:rPr>
          <w:rFonts w:ascii="Times New Roman" w:hAnsi="Times New Roman" w:cs="Times New Roman"/>
          <w:i/>
          <w:iCs/>
          <w:noProof/>
          <w:sz w:val="24"/>
          <w:szCs w:val="24"/>
          <w:lang w:val="en-US"/>
        </w:rPr>
        <w:t>28</w:t>
      </w:r>
      <w:r w:rsidRPr="00F9373E">
        <w:rPr>
          <w:rFonts w:ascii="Times New Roman" w:hAnsi="Times New Roman" w:cs="Times New Roman"/>
          <w:noProof/>
          <w:sz w:val="24"/>
          <w:szCs w:val="24"/>
          <w:lang w:val="en-US"/>
        </w:rPr>
        <w:t>, 1004–1007. https://doi.org/10.4028/www.scientific.net/AMM.26-28.1004</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s-ES_tradnl"/>
        </w:rPr>
        <w:t xml:space="preserve">Hemalatha, S., Rao, K. N., Rambabu, G. y Venkatasubbaiah, K. (2017). </w:t>
      </w:r>
      <w:r w:rsidRPr="00F9373E">
        <w:rPr>
          <w:rFonts w:ascii="Times New Roman" w:hAnsi="Times New Roman" w:cs="Times New Roman"/>
          <w:noProof/>
          <w:sz w:val="24"/>
          <w:szCs w:val="24"/>
          <w:lang w:val="en-US"/>
        </w:rPr>
        <w:t xml:space="preserve">Supply chain performance evaluation through AHM and Membership degree transformation. </w:t>
      </w:r>
      <w:r w:rsidRPr="00F9373E">
        <w:rPr>
          <w:rFonts w:ascii="Times New Roman" w:hAnsi="Times New Roman" w:cs="Times New Roman"/>
          <w:i/>
          <w:iCs/>
          <w:noProof/>
          <w:sz w:val="24"/>
          <w:szCs w:val="24"/>
          <w:lang w:val="en-US"/>
        </w:rPr>
        <w:t>Materials Today: Proceedings</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4</w:t>
      </w:r>
      <w:r w:rsidRPr="00F9373E">
        <w:rPr>
          <w:rFonts w:ascii="Times New Roman" w:hAnsi="Times New Roman" w:cs="Times New Roman"/>
          <w:noProof/>
          <w:sz w:val="24"/>
          <w:szCs w:val="24"/>
          <w:lang w:val="en-US"/>
        </w:rPr>
        <w:t>(8), 7848–7858. https://doi.org/10.1016/j.matpr.2017.07.120</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s-ES_tradnl"/>
        </w:rPr>
      </w:pPr>
      <w:r w:rsidRPr="00F9373E">
        <w:rPr>
          <w:rFonts w:ascii="Times New Roman" w:hAnsi="Times New Roman" w:cs="Times New Roman"/>
          <w:noProof/>
          <w:sz w:val="24"/>
          <w:szCs w:val="24"/>
          <w:lang w:val="en-US"/>
        </w:rPr>
        <w:t xml:space="preserve">Icarte-Ahumada, G. A. (2016). </w:t>
      </w:r>
      <w:r w:rsidRPr="00F9373E">
        <w:rPr>
          <w:rFonts w:ascii="Times New Roman" w:hAnsi="Times New Roman" w:cs="Times New Roman"/>
          <w:noProof/>
          <w:sz w:val="24"/>
          <w:szCs w:val="24"/>
          <w:lang w:val="es-ES_tradnl"/>
        </w:rPr>
        <w:t xml:space="preserve">Aplicaciones de inteligencia artificial en procesos de cadenas de suministros: una revisión sistemática Applications of artificial intelligence in supply chain process : a systematic review. </w:t>
      </w:r>
      <w:r w:rsidRPr="00F9373E">
        <w:rPr>
          <w:rFonts w:ascii="Times New Roman" w:hAnsi="Times New Roman" w:cs="Times New Roman"/>
          <w:i/>
          <w:iCs/>
          <w:noProof/>
          <w:sz w:val="24"/>
          <w:szCs w:val="24"/>
          <w:lang w:val="es-ES_tradnl"/>
        </w:rPr>
        <w:t>Ingeniare. Revista Chilena de Ingeniería</w:t>
      </w:r>
      <w:r w:rsidRPr="00F9373E">
        <w:rPr>
          <w:rFonts w:ascii="Times New Roman" w:hAnsi="Times New Roman" w:cs="Times New Roman"/>
          <w:noProof/>
          <w:sz w:val="24"/>
          <w:szCs w:val="24"/>
          <w:lang w:val="es-ES_tradnl"/>
        </w:rPr>
        <w:t>, 24(4), 663–679. http://dx.doi.org/10.4067/S0718-33052016000400011</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Jakhar, S. K. (2015). Performance evaluation and a flow allocation decision model for a sustainable supply chain of an apparel industry. </w:t>
      </w:r>
      <w:r w:rsidRPr="00F9373E">
        <w:rPr>
          <w:rFonts w:ascii="Times New Roman" w:hAnsi="Times New Roman" w:cs="Times New Roman"/>
          <w:i/>
          <w:iCs/>
          <w:noProof/>
          <w:sz w:val="24"/>
          <w:szCs w:val="24"/>
          <w:lang w:val="en-US"/>
        </w:rPr>
        <w:t>Journal of Cleaner Production</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87</w:t>
      </w:r>
      <w:r w:rsidRPr="00F9373E">
        <w:rPr>
          <w:rFonts w:ascii="Times New Roman" w:hAnsi="Times New Roman" w:cs="Times New Roman"/>
          <w:noProof/>
          <w:sz w:val="24"/>
          <w:szCs w:val="24"/>
          <w:lang w:val="en-US"/>
        </w:rPr>
        <w:t>(15), 391–413. https://doi.org/10.1016/j.jclepro.2014.09.089</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Jamehshooran, B. G., Shaharoun, A. M. y Haron, H. N. (2015). Assessing Supply Chain Performance through Applying the SCOR Model. </w:t>
      </w:r>
      <w:r w:rsidRPr="00F9373E">
        <w:rPr>
          <w:rFonts w:ascii="Times New Roman" w:hAnsi="Times New Roman" w:cs="Times New Roman"/>
          <w:i/>
          <w:iCs/>
          <w:noProof/>
          <w:sz w:val="24"/>
          <w:szCs w:val="24"/>
          <w:lang w:val="en-US"/>
        </w:rPr>
        <w:t>International Journal of Supply Chain Management</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4</w:t>
      </w:r>
      <w:r w:rsidRPr="00F9373E">
        <w:rPr>
          <w:rFonts w:ascii="Times New Roman" w:hAnsi="Times New Roman" w:cs="Times New Roman"/>
          <w:noProof/>
          <w:sz w:val="24"/>
          <w:szCs w:val="24"/>
          <w:lang w:val="en-US"/>
        </w:rPr>
        <w:t xml:space="preserve">(1), 1–11. </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Jellali, A. y Benaissa, M. (2015). Sustainable performance evaluation of the supply chain. </w:t>
      </w:r>
      <w:r w:rsidRPr="00F9373E">
        <w:rPr>
          <w:rFonts w:ascii="Times New Roman" w:hAnsi="Times New Roman" w:cs="Times New Roman"/>
          <w:i/>
          <w:iCs/>
          <w:noProof/>
          <w:sz w:val="24"/>
          <w:szCs w:val="24"/>
          <w:lang w:val="en-US"/>
        </w:rPr>
        <w:t>Advanced Logistics and Transport (ICALT), 2015 4th International Conference On</w:t>
      </w:r>
      <w:r w:rsidRPr="00F9373E">
        <w:rPr>
          <w:rFonts w:ascii="Times New Roman" w:hAnsi="Times New Roman" w:cs="Times New Roman"/>
          <w:iCs/>
          <w:noProof/>
          <w:sz w:val="24"/>
          <w:szCs w:val="24"/>
          <w:lang w:val="en-US"/>
        </w:rPr>
        <w:t xml:space="preserve"> (p. </w:t>
      </w:r>
      <w:r w:rsidRPr="00F9373E">
        <w:rPr>
          <w:rFonts w:ascii="Times New Roman" w:hAnsi="Times New Roman" w:cs="Times New Roman"/>
          <w:noProof/>
          <w:sz w:val="24"/>
          <w:szCs w:val="24"/>
          <w:lang w:val="en-US"/>
        </w:rPr>
        <w:t>151–156). Valenciennes, France. https://doi.org/10.1109/ICAdLT.2015.7136612</w:t>
      </w:r>
    </w:p>
    <w:p w:rsidR="00F9373E" w:rsidRPr="00F9373E" w:rsidRDefault="00F9373E" w:rsidP="00F9373E">
      <w:pPr>
        <w:widowControl w:val="0"/>
        <w:autoSpaceDE w:val="0"/>
        <w:autoSpaceDN w:val="0"/>
        <w:adjustRightInd w:val="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Kaido, B. y Katsuhito, F. (2020) Supply chain and value-added distribution of pineapple fruit in Muaro Jambi Regency, Jambi province, Indonesia. International Journal of Research in Economics and Social Sciences (IJRESS), 10(2).</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s-ES_tradnl"/>
        </w:rPr>
        <w:t xml:space="preserve">Katiyar, R., Meena, P. L., Barua, M. K., Tibrewala, R. y Kumar, G. (2018). </w:t>
      </w:r>
      <w:r w:rsidRPr="00F9373E">
        <w:rPr>
          <w:rFonts w:ascii="Times New Roman" w:hAnsi="Times New Roman" w:cs="Times New Roman"/>
          <w:noProof/>
          <w:sz w:val="24"/>
          <w:szCs w:val="24"/>
          <w:lang w:val="en-US"/>
        </w:rPr>
        <w:t xml:space="preserve">Impact of sustainability and manufacturing practices on supply chain performance: Findings from an emerging economy. </w:t>
      </w:r>
      <w:r w:rsidRPr="00F9373E">
        <w:rPr>
          <w:rFonts w:ascii="Times New Roman" w:hAnsi="Times New Roman" w:cs="Times New Roman"/>
          <w:i/>
          <w:iCs/>
          <w:noProof/>
          <w:sz w:val="24"/>
          <w:szCs w:val="24"/>
          <w:lang w:val="en-US"/>
        </w:rPr>
        <w:t>International Journal of Production Economics</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197</w:t>
      </w:r>
      <w:r w:rsidRPr="00F9373E">
        <w:rPr>
          <w:rFonts w:ascii="Times New Roman" w:hAnsi="Times New Roman" w:cs="Times New Roman"/>
          <w:noProof/>
          <w:sz w:val="24"/>
          <w:szCs w:val="24"/>
          <w:lang w:val="en-US"/>
        </w:rPr>
        <w:t>, 303–316. https://doi.org/10.1016/j.ijpe.2017.12.007</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s-ES_tradnl"/>
        </w:rPr>
        <w:lastRenderedPageBreak/>
        <w:t xml:space="preserve">Kumar, V., Kumar, V., Rao, Y. y Veeramalla, S. (2019). </w:t>
      </w:r>
      <w:r w:rsidRPr="00F9373E">
        <w:rPr>
          <w:rFonts w:ascii="Times New Roman" w:hAnsi="Times New Roman" w:cs="Times New Roman"/>
          <w:noProof/>
          <w:sz w:val="24"/>
          <w:szCs w:val="24"/>
          <w:lang w:val="en-US"/>
        </w:rPr>
        <w:t xml:space="preserve">Supply Chain Performance Influencer in Construction Domain: A Key Factor Analysis. </w:t>
      </w:r>
      <w:r w:rsidRPr="00F9373E">
        <w:rPr>
          <w:rFonts w:ascii="Times New Roman" w:hAnsi="Times New Roman" w:cs="Times New Roman"/>
          <w:i/>
          <w:iCs/>
          <w:noProof/>
          <w:sz w:val="24"/>
          <w:szCs w:val="24"/>
          <w:lang w:val="en-US"/>
        </w:rPr>
        <w:t>International Journal of Supply Chain Management</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4</w:t>
      </w:r>
      <w:r w:rsidRPr="00F9373E">
        <w:rPr>
          <w:rFonts w:ascii="Times New Roman" w:hAnsi="Times New Roman" w:cs="Times New Roman"/>
          <w:noProof/>
          <w:sz w:val="24"/>
          <w:szCs w:val="24"/>
          <w:lang w:val="en-US"/>
        </w:rPr>
        <w:t>(1), 1–7. https://doi.org/10.14419/ijet.v7i4.26.27938</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iCs/>
          <w:noProof/>
          <w:sz w:val="24"/>
          <w:szCs w:val="24"/>
          <w:lang w:val="en-US"/>
        </w:rPr>
      </w:pPr>
      <w:r w:rsidRPr="00F9373E">
        <w:rPr>
          <w:rFonts w:ascii="Times New Roman" w:hAnsi="Times New Roman" w:cs="Times New Roman"/>
          <w:noProof/>
          <w:sz w:val="24"/>
          <w:szCs w:val="24"/>
          <w:lang w:val="es-ES_tradnl"/>
        </w:rPr>
        <w:t xml:space="preserve">Liu, X. y Wang, Z. (2011). </w:t>
      </w:r>
      <w:r w:rsidRPr="00F9373E">
        <w:rPr>
          <w:rFonts w:ascii="Times New Roman" w:hAnsi="Times New Roman" w:cs="Times New Roman"/>
          <w:noProof/>
          <w:sz w:val="24"/>
          <w:szCs w:val="24"/>
          <w:lang w:val="en-US"/>
        </w:rPr>
        <w:t xml:space="preserve">The Performance Evaluation of Green Supply Chain of Enterprise. </w:t>
      </w:r>
      <w:r w:rsidRPr="00F9373E">
        <w:rPr>
          <w:rFonts w:ascii="Times New Roman" w:hAnsi="Times New Roman" w:cs="Times New Roman"/>
          <w:iCs/>
          <w:noProof/>
          <w:sz w:val="24"/>
          <w:szCs w:val="24"/>
          <w:lang w:val="en-US"/>
        </w:rPr>
        <w:t>In: Zhou Q. (eds),</w:t>
      </w:r>
      <w:r w:rsidRPr="00F9373E">
        <w:rPr>
          <w:rFonts w:ascii="Times New Roman" w:hAnsi="Times New Roman" w:cs="Times New Roman"/>
          <w:i/>
          <w:iCs/>
          <w:noProof/>
          <w:sz w:val="24"/>
          <w:szCs w:val="24"/>
          <w:lang w:val="en-US"/>
        </w:rPr>
        <w:t xml:space="preserve"> Applied Economics, Business and Development.</w:t>
      </w:r>
      <w:r w:rsidRPr="00F9373E">
        <w:rPr>
          <w:rFonts w:ascii="Times New Roman" w:hAnsi="Times New Roman" w:cs="Times New Roman"/>
          <w:iCs/>
          <w:noProof/>
          <w:sz w:val="24"/>
          <w:szCs w:val="24"/>
          <w:lang w:val="en-US"/>
        </w:rPr>
        <w:t xml:space="preserve"> ISAEBD 2011. Communications in Computer and Information Science (vol. 208, pp. 304-309). Berlin:  Springer. https://doi.org/10.1007/978-3-642-23023-3_46</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s-ES_tradnl"/>
        </w:rPr>
        <w:t xml:space="preserve">Mani, V., Gunasekaran, A. y Delgado, C. (2018). </w:t>
      </w:r>
      <w:r w:rsidRPr="00F9373E">
        <w:rPr>
          <w:rFonts w:ascii="Times New Roman" w:hAnsi="Times New Roman" w:cs="Times New Roman"/>
          <w:noProof/>
          <w:sz w:val="24"/>
          <w:szCs w:val="24"/>
          <w:lang w:val="en-US"/>
        </w:rPr>
        <w:t xml:space="preserve">Enhancing supply chain performance through supplier social sustainability: An emerging economy perspective. </w:t>
      </w:r>
      <w:r w:rsidRPr="00F9373E">
        <w:rPr>
          <w:rFonts w:ascii="Times New Roman" w:hAnsi="Times New Roman" w:cs="Times New Roman"/>
          <w:i/>
          <w:iCs/>
          <w:noProof/>
          <w:sz w:val="24"/>
          <w:szCs w:val="24"/>
          <w:lang w:val="en-US"/>
        </w:rPr>
        <w:t>International Journal of Production Economics</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195</w:t>
      </w:r>
      <w:r w:rsidRPr="00F9373E">
        <w:rPr>
          <w:rFonts w:ascii="Times New Roman" w:hAnsi="Times New Roman" w:cs="Times New Roman"/>
          <w:noProof/>
          <w:sz w:val="24"/>
          <w:szCs w:val="24"/>
          <w:lang w:val="en-US"/>
        </w:rPr>
        <w:t>, 259–272. https://doi.org/10.1016/j.ijpe.2017.10.025</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s-ES_tradnl"/>
        </w:rPr>
        <w:t xml:space="preserve">Mathivathanan, D., Govindan, K. y Haq, A.N. (2017). </w:t>
      </w:r>
      <w:r w:rsidRPr="00F9373E">
        <w:rPr>
          <w:rFonts w:ascii="Times New Roman" w:hAnsi="Times New Roman" w:cs="Times New Roman"/>
          <w:noProof/>
          <w:sz w:val="24"/>
          <w:szCs w:val="24"/>
          <w:lang w:val="en-US"/>
        </w:rPr>
        <w:t xml:space="preserve">Exploring the impact of dynamic capabilities on sustainable supply chain firm’s performance using Grey-Analytical Hierarchy Process. </w:t>
      </w:r>
      <w:r w:rsidRPr="00F9373E">
        <w:rPr>
          <w:rFonts w:ascii="Times New Roman" w:hAnsi="Times New Roman" w:cs="Times New Roman"/>
          <w:i/>
          <w:iCs/>
          <w:noProof/>
          <w:sz w:val="24"/>
          <w:szCs w:val="24"/>
          <w:lang w:val="en-US"/>
        </w:rPr>
        <w:t>Journal of Cleaner Production</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147</w:t>
      </w:r>
      <w:r w:rsidRPr="00F9373E">
        <w:rPr>
          <w:rFonts w:ascii="Times New Roman" w:hAnsi="Times New Roman" w:cs="Times New Roman"/>
          <w:noProof/>
          <w:sz w:val="24"/>
          <w:szCs w:val="24"/>
          <w:lang w:val="en-US"/>
        </w:rPr>
        <w:t>, 637–653. https://doi.org/10.1016/j.jclepro.2017.01.018</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s-ES_tradnl"/>
        </w:rPr>
      </w:pPr>
      <w:r w:rsidRPr="00F9373E">
        <w:rPr>
          <w:rFonts w:ascii="Times New Roman" w:hAnsi="Times New Roman" w:cs="Times New Roman"/>
          <w:noProof/>
          <w:sz w:val="24"/>
          <w:szCs w:val="24"/>
          <w:lang w:val="en-US"/>
        </w:rPr>
        <w:t xml:space="preserve">Mediavilla, A., Errasti, A. y Domingo, R. (2011). </w:t>
      </w:r>
      <w:r w:rsidRPr="00F9373E">
        <w:rPr>
          <w:rFonts w:ascii="Times New Roman" w:hAnsi="Times New Roman" w:cs="Times New Roman"/>
          <w:noProof/>
          <w:sz w:val="24"/>
          <w:szCs w:val="24"/>
          <w:lang w:val="es-ES_tradnl"/>
        </w:rPr>
        <w:t xml:space="preserve">Modelo para la evaluación y mejora del rol estratégico de plantas productivas. Caso de una red global de operaciones. </w:t>
      </w:r>
      <w:r w:rsidRPr="00F9373E">
        <w:rPr>
          <w:rFonts w:ascii="Times New Roman" w:hAnsi="Times New Roman" w:cs="Times New Roman"/>
          <w:i/>
          <w:iCs/>
          <w:noProof/>
          <w:sz w:val="24"/>
          <w:szCs w:val="24"/>
          <w:lang w:val="es-ES_tradnl"/>
        </w:rPr>
        <w:t>DYNA</w:t>
      </w:r>
      <w:r w:rsidRPr="00F9373E">
        <w:rPr>
          <w:rFonts w:ascii="Times New Roman" w:hAnsi="Times New Roman" w:cs="Times New Roman"/>
          <w:noProof/>
          <w:sz w:val="24"/>
          <w:szCs w:val="24"/>
          <w:lang w:val="es-ES_tradnl"/>
        </w:rPr>
        <w:t xml:space="preserve">, </w:t>
      </w:r>
      <w:r w:rsidRPr="00F9373E">
        <w:rPr>
          <w:rFonts w:ascii="Times New Roman" w:hAnsi="Times New Roman" w:cs="Times New Roman"/>
          <w:i/>
          <w:iCs/>
          <w:noProof/>
          <w:sz w:val="24"/>
          <w:szCs w:val="24"/>
          <w:lang w:val="es-ES_tradnl"/>
        </w:rPr>
        <w:t>86</w:t>
      </w:r>
      <w:r w:rsidRPr="00F9373E">
        <w:rPr>
          <w:rFonts w:ascii="Times New Roman" w:hAnsi="Times New Roman" w:cs="Times New Roman"/>
          <w:noProof/>
          <w:sz w:val="24"/>
          <w:szCs w:val="24"/>
          <w:lang w:val="es-ES_tradnl"/>
        </w:rPr>
        <w:t>(4), 405–412.</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s-ES_tradnl"/>
        </w:rPr>
        <w:t xml:space="preserve">Miri-Lavassani, K. (2018). </w:t>
      </w:r>
      <w:r w:rsidRPr="00F9373E">
        <w:rPr>
          <w:rFonts w:ascii="Times New Roman" w:hAnsi="Times New Roman" w:cs="Times New Roman"/>
          <w:noProof/>
          <w:sz w:val="24"/>
          <w:szCs w:val="24"/>
          <w:lang w:val="en-US"/>
        </w:rPr>
        <w:t xml:space="preserve">Achieving Higher Supply Chain Performance via Business Process Orientation. </w:t>
      </w:r>
      <w:r w:rsidRPr="00F9373E">
        <w:rPr>
          <w:rFonts w:ascii="Times New Roman" w:hAnsi="Times New Roman" w:cs="Times New Roman"/>
          <w:i/>
          <w:iCs/>
          <w:noProof/>
          <w:sz w:val="24"/>
          <w:szCs w:val="24"/>
          <w:lang w:val="en-US"/>
        </w:rPr>
        <w:t>Business Process Management Journal</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24</w:t>
      </w:r>
      <w:r w:rsidRPr="00F9373E">
        <w:rPr>
          <w:rFonts w:ascii="Times New Roman" w:hAnsi="Times New Roman" w:cs="Times New Roman"/>
          <w:noProof/>
          <w:sz w:val="24"/>
          <w:szCs w:val="24"/>
          <w:lang w:val="en-US"/>
        </w:rPr>
        <w:t>(3), 671–694. https://doi.org/10.1108/BPMJ-07-2016-0140</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Mishra, D., Gunasekaran, A., Papadopoulos, T. y Hazen, B. (2017). Green supply chain performance measures: A review and bibliometric analysis. </w:t>
      </w:r>
      <w:r w:rsidRPr="00F9373E">
        <w:rPr>
          <w:rFonts w:ascii="Times New Roman" w:hAnsi="Times New Roman" w:cs="Times New Roman"/>
          <w:i/>
          <w:iCs/>
          <w:noProof/>
          <w:sz w:val="24"/>
          <w:szCs w:val="24"/>
          <w:lang w:val="en-US"/>
        </w:rPr>
        <w:t>Sustainable Production and Consumption</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10</w:t>
      </w:r>
      <w:r w:rsidRPr="00F9373E">
        <w:rPr>
          <w:rFonts w:ascii="Times New Roman" w:hAnsi="Times New Roman" w:cs="Times New Roman"/>
          <w:noProof/>
          <w:sz w:val="24"/>
          <w:szCs w:val="24"/>
          <w:lang w:val="en-US"/>
        </w:rPr>
        <w:t>, 85–99. https://doi.org/10.1016/j.spc.2017.01.003</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Mohaghar, A. (2014). Performance Evaluation of Green Supply Chain based on LFPP and Balanced Scorecard Approach. </w:t>
      </w:r>
      <w:r w:rsidRPr="00F9373E">
        <w:rPr>
          <w:rFonts w:ascii="Times New Roman" w:hAnsi="Times New Roman" w:cs="Times New Roman"/>
          <w:i/>
          <w:iCs/>
          <w:noProof/>
          <w:sz w:val="24"/>
          <w:szCs w:val="24"/>
          <w:lang w:val="en-US"/>
        </w:rPr>
        <w:t>Global Journal of Management Studies and Researches</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1</w:t>
      </w:r>
      <w:r w:rsidRPr="00F9373E">
        <w:rPr>
          <w:rFonts w:ascii="Times New Roman" w:hAnsi="Times New Roman" w:cs="Times New Roman"/>
          <w:noProof/>
          <w:sz w:val="24"/>
          <w:szCs w:val="24"/>
          <w:lang w:val="en-US"/>
        </w:rPr>
        <w:t>(3), 158–163.</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56AEF">
        <w:rPr>
          <w:rFonts w:ascii="Times New Roman" w:hAnsi="Times New Roman" w:cs="Times New Roman"/>
          <w:noProof/>
          <w:sz w:val="24"/>
          <w:szCs w:val="24"/>
          <w:lang w:val="en-US"/>
        </w:rPr>
        <w:t xml:space="preserve">Moharamkhani, A., Amiri, A. B. y Mina, H. (2017). </w:t>
      </w:r>
      <w:r w:rsidRPr="00F9373E">
        <w:rPr>
          <w:rFonts w:ascii="Times New Roman" w:hAnsi="Times New Roman" w:cs="Times New Roman"/>
          <w:noProof/>
          <w:sz w:val="24"/>
          <w:szCs w:val="24"/>
          <w:lang w:val="en-US"/>
        </w:rPr>
        <w:t xml:space="preserve">Supply chain performance measurement using SCOR model based on interval-valued fuzzy TOPSIS. </w:t>
      </w:r>
      <w:r w:rsidRPr="00F9373E">
        <w:rPr>
          <w:rFonts w:ascii="Times New Roman" w:hAnsi="Times New Roman" w:cs="Times New Roman"/>
          <w:i/>
          <w:iCs/>
          <w:noProof/>
          <w:sz w:val="24"/>
          <w:szCs w:val="24"/>
          <w:lang w:val="en-US"/>
        </w:rPr>
        <w:t>International Journal of Logistics Systems and Management</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27</w:t>
      </w:r>
      <w:r w:rsidRPr="00F9373E">
        <w:rPr>
          <w:rFonts w:ascii="Times New Roman" w:hAnsi="Times New Roman" w:cs="Times New Roman"/>
          <w:noProof/>
          <w:sz w:val="24"/>
          <w:szCs w:val="24"/>
          <w:lang w:val="en-US"/>
        </w:rPr>
        <w:t>(1), 115-132. https://doi.org/10.1504/IJLSM.2017.083225</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s-ES_tradnl"/>
        </w:rPr>
        <w:t xml:space="preserve">Montero, M., Schmalenberg, A.-C., Quirós, O. y Doluschitz, R. (2018). </w:t>
      </w:r>
      <w:r w:rsidRPr="00F9373E">
        <w:rPr>
          <w:rFonts w:ascii="Times New Roman" w:hAnsi="Times New Roman" w:cs="Times New Roman"/>
          <w:noProof/>
          <w:sz w:val="24"/>
          <w:szCs w:val="24"/>
          <w:lang w:val="en-US"/>
        </w:rPr>
        <w:t xml:space="preserve">Identification of Supply Chain Performance Indicators: Case Study of Costa Rican Coffee Production. </w:t>
      </w:r>
      <w:r w:rsidRPr="00F9373E">
        <w:rPr>
          <w:rFonts w:ascii="Times New Roman" w:hAnsi="Times New Roman" w:cs="Times New Roman"/>
          <w:i/>
          <w:iCs/>
          <w:noProof/>
          <w:sz w:val="24"/>
          <w:szCs w:val="24"/>
          <w:lang w:val="en-US"/>
        </w:rPr>
        <w:t>Universal Journal of Industrial and Business Management</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6</w:t>
      </w:r>
      <w:r w:rsidRPr="00F9373E">
        <w:rPr>
          <w:rFonts w:ascii="Times New Roman" w:hAnsi="Times New Roman" w:cs="Times New Roman"/>
          <w:noProof/>
          <w:sz w:val="24"/>
          <w:szCs w:val="24"/>
          <w:lang w:val="en-US"/>
        </w:rPr>
        <w:t>(1), 1–10. https://doi.org/10.13189/ujibm.2018.060101</w:t>
      </w:r>
    </w:p>
    <w:p w:rsidR="00F9373E" w:rsidRPr="00F9373E" w:rsidRDefault="00F9373E" w:rsidP="00F9373E">
      <w:pPr>
        <w:widowControl w:val="0"/>
        <w:autoSpaceDE w:val="0"/>
        <w:autoSpaceDN w:val="0"/>
        <w:adjustRightInd w:val="0"/>
        <w:spacing w:after="160"/>
        <w:ind w:left="480" w:hanging="480"/>
        <w:rPr>
          <w:rFonts w:ascii="Times New Roman" w:hAnsi="Times New Roman" w:cs="Times New Roman"/>
          <w:noProof/>
          <w:sz w:val="24"/>
          <w:szCs w:val="24"/>
        </w:rPr>
      </w:pPr>
      <w:r w:rsidRPr="00F9373E">
        <w:rPr>
          <w:rFonts w:ascii="Times New Roman" w:hAnsi="Times New Roman" w:cs="Times New Roman"/>
          <w:noProof/>
          <w:sz w:val="24"/>
          <w:szCs w:val="24"/>
        </w:rPr>
        <w:lastRenderedPageBreak/>
        <w:t xml:space="preserve">Narimissa, O., Kangarani-Farahani, A., y Molla-Alizadeh-Zavardehi, S. (2020a). </w:t>
      </w:r>
      <w:r w:rsidRPr="00F9373E">
        <w:rPr>
          <w:rFonts w:ascii="Times New Roman" w:hAnsi="Times New Roman" w:cs="Times New Roman"/>
          <w:noProof/>
          <w:sz w:val="24"/>
          <w:szCs w:val="24"/>
          <w:lang w:val="en-US"/>
        </w:rPr>
        <w:t xml:space="preserve">Evaluation of sustainable supply chain management performance: Dimensions and aspects. </w:t>
      </w:r>
      <w:r w:rsidRPr="00F9373E">
        <w:rPr>
          <w:rFonts w:ascii="Times New Roman" w:hAnsi="Times New Roman" w:cs="Times New Roman"/>
          <w:i/>
          <w:iCs/>
          <w:noProof/>
          <w:sz w:val="24"/>
          <w:szCs w:val="24"/>
        </w:rPr>
        <w:t>Sustainable Development</w:t>
      </w:r>
      <w:r w:rsidRPr="00F9373E">
        <w:rPr>
          <w:rFonts w:ascii="Times New Roman" w:hAnsi="Times New Roman" w:cs="Times New Roman"/>
          <w:noProof/>
          <w:sz w:val="24"/>
          <w:szCs w:val="24"/>
        </w:rPr>
        <w:t xml:space="preserve">, </w:t>
      </w:r>
      <w:r w:rsidRPr="00F9373E">
        <w:rPr>
          <w:rFonts w:ascii="Times New Roman" w:hAnsi="Times New Roman" w:cs="Times New Roman"/>
          <w:i/>
          <w:iCs/>
          <w:noProof/>
          <w:sz w:val="24"/>
          <w:szCs w:val="24"/>
        </w:rPr>
        <w:t>28</w:t>
      </w:r>
      <w:r w:rsidRPr="00F9373E">
        <w:rPr>
          <w:rFonts w:ascii="Times New Roman" w:hAnsi="Times New Roman" w:cs="Times New Roman"/>
          <w:noProof/>
          <w:sz w:val="24"/>
          <w:szCs w:val="24"/>
        </w:rPr>
        <w:t>(1), 1–12. https://doi.org/10.1002/sd.1959</w:t>
      </w:r>
    </w:p>
    <w:p w:rsidR="00F9373E" w:rsidRPr="00F9373E" w:rsidRDefault="00F9373E" w:rsidP="00F9373E">
      <w:pPr>
        <w:widowControl w:val="0"/>
        <w:autoSpaceDE w:val="0"/>
        <w:autoSpaceDN w:val="0"/>
        <w:adjustRightInd w:val="0"/>
        <w:spacing w:after="160"/>
        <w:ind w:left="480" w:hanging="480"/>
        <w:rPr>
          <w:rFonts w:ascii="Times New Roman" w:hAnsi="Times New Roman" w:cs="Times New Roman"/>
          <w:noProof/>
          <w:sz w:val="24"/>
          <w:szCs w:val="24"/>
          <w:lang w:val="en-US"/>
        </w:rPr>
      </w:pPr>
      <w:r w:rsidRPr="00F9373E">
        <w:rPr>
          <w:rFonts w:ascii="Times New Roman" w:hAnsi="Times New Roman" w:cs="Times New Roman"/>
          <w:noProof/>
          <w:sz w:val="24"/>
          <w:szCs w:val="24"/>
        </w:rPr>
        <w:t xml:space="preserve">Narimissa, O., Kangarani-Farahani, A., y Molla-Alizadeh-Zavardehi, S. (2020b). </w:t>
      </w:r>
      <w:r w:rsidRPr="00F9373E">
        <w:rPr>
          <w:rFonts w:ascii="Times New Roman" w:hAnsi="Times New Roman" w:cs="Times New Roman"/>
          <w:noProof/>
          <w:sz w:val="24"/>
          <w:szCs w:val="24"/>
          <w:lang w:val="en-US"/>
        </w:rPr>
        <w:t xml:space="preserve">Evaluation of sustainable supply chain management performance: Indicators. </w:t>
      </w:r>
      <w:r w:rsidRPr="00F9373E">
        <w:rPr>
          <w:rFonts w:ascii="Times New Roman" w:hAnsi="Times New Roman" w:cs="Times New Roman"/>
          <w:i/>
          <w:iCs/>
          <w:noProof/>
          <w:sz w:val="24"/>
          <w:szCs w:val="24"/>
          <w:lang w:val="en-US"/>
        </w:rPr>
        <w:t>Sustainable Development</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28</w:t>
      </w:r>
      <w:r w:rsidRPr="00F9373E">
        <w:rPr>
          <w:rFonts w:ascii="Times New Roman" w:hAnsi="Times New Roman" w:cs="Times New Roman"/>
          <w:noProof/>
          <w:sz w:val="24"/>
          <w:szCs w:val="24"/>
          <w:lang w:val="en-US"/>
        </w:rPr>
        <w:t>(1), 118–131. https://doi.org/10.1002/sd.1976</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Pang, Y. (2013). Construction of Green Supply Chain Performance Evaluation System Based On the Balanced Scorecard. </w:t>
      </w:r>
      <w:r w:rsidRPr="00F9373E">
        <w:rPr>
          <w:rFonts w:ascii="Times New Roman" w:hAnsi="Times New Roman" w:cs="Times New Roman"/>
          <w:i/>
          <w:iCs/>
          <w:noProof/>
          <w:sz w:val="24"/>
          <w:szCs w:val="24"/>
          <w:lang w:val="en-US"/>
        </w:rPr>
        <w:t>Advances in Information Sciences and Service Sciences</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5</w:t>
      </w:r>
      <w:r w:rsidRPr="00F9373E">
        <w:rPr>
          <w:rFonts w:ascii="Times New Roman" w:hAnsi="Times New Roman" w:cs="Times New Roman"/>
          <w:noProof/>
          <w:sz w:val="24"/>
          <w:szCs w:val="24"/>
          <w:lang w:val="en-US"/>
        </w:rPr>
        <w:t>(8), 655–662.</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Parmenter, D. (2015). </w:t>
      </w:r>
      <w:r w:rsidRPr="00F9373E">
        <w:rPr>
          <w:rFonts w:ascii="Times New Roman" w:hAnsi="Times New Roman" w:cs="Times New Roman"/>
          <w:i/>
          <w:iCs/>
          <w:noProof/>
          <w:sz w:val="24"/>
          <w:szCs w:val="24"/>
          <w:lang w:val="en-US"/>
        </w:rPr>
        <w:t>Key performance indicators: developing, implementing, and using winning KPIs</w:t>
      </w:r>
      <w:r w:rsidRPr="00F9373E">
        <w:rPr>
          <w:rFonts w:ascii="Times New Roman" w:hAnsi="Times New Roman" w:cs="Times New Roman"/>
          <w:noProof/>
          <w:sz w:val="24"/>
          <w:szCs w:val="24"/>
          <w:lang w:val="en-US"/>
        </w:rPr>
        <w:t>. New Jersey: John Wiley &amp; Sons, Inc.</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Rujema, S. W., Richu, S. y Aquilars, K. (2015). Effects of Green Purchasing Strategies on Sustainable Supply Chain Performance at Unilever Tea Kenya Limited. </w:t>
      </w:r>
      <w:r w:rsidRPr="00F9373E">
        <w:rPr>
          <w:rFonts w:ascii="Times New Roman" w:hAnsi="Times New Roman" w:cs="Times New Roman"/>
          <w:i/>
          <w:iCs/>
          <w:noProof/>
          <w:sz w:val="24"/>
          <w:szCs w:val="24"/>
          <w:lang w:val="en-US"/>
        </w:rPr>
        <w:t>International Journal of Innovation and Scientific Research</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15</w:t>
      </w:r>
      <w:r w:rsidRPr="00F9373E">
        <w:rPr>
          <w:rFonts w:ascii="Times New Roman" w:hAnsi="Times New Roman" w:cs="Times New Roman"/>
          <w:noProof/>
          <w:sz w:val="24"/>
          <w:szCs w:val="24"/>
          <w:lang w:val="en-US"/>
        </w:rPr>
        <w:t>(2), 296–306.</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s-ES_tradnl"/>
        </w:rPr>
      </w:pPr>
      <w:r w:rsidRPr="00F9373E">
        <w:rPr>
          <w:rFonts w:ascii="Times New Roman" w:hAnsi="Times New Roman" w:cs="Times New Roman"/>
          <w:noProof/>
          <w:sz w:val="24"/>
          <w:szCs w:val="24"/>
          <w:lang w:val="en-US"/>
        </w:rPr>
        <w:t xml:space="preserve">Saaty, T. (1980). </w:t>
      </w:r>
      <w:r w:rsidRPr="00F9373E">
        <w:rPr>
          <w:rFonts w:ascii="Times New Roman" w:hAnsi="Times New Roman" w:cs="Times New Roman"/>
          <w:i/>
          <w:iCs/>
          <w:noProof/>
          <w:sz w:val="24"/>
          <w:szCs w:val="24"/>
          <w:lang w:val="en-US"/>
        </w:rPr>
        <w:t>The Analytic Hierarchical Process</w:t>
      </w:r>
      <w:r w:rsidRPr="00F9373E">
        <w:rPr>
          <w:rFonts w:ascii="Times New Roman" w:hAnsi="Times New Roman" w:cs="Times New Roman"/>
          <w:noProof/>
          <w:sz w:val="24"/>
          <w:szCs w:val="24"/>
          <w:lang w:val="en-US"/>
        </w:rPr>
        <w:t xml:space="preserve">. </w:t>
      </w:r>
      <w:r w:rsidRPr="00F9373E">
        <w:rPr>
          <w:rFonts w:ascii="Times New Roman" w:hAnsi="Times New Roman" w:cs="Times New Roman"/>
          <w:noProof/>
          <w:sz w:val="24"/>
          <w:szCs w:val="24"/>
          <w:lang w:val="es-ES_tradnl"/>
        </w:rPr>
        <w:t xml:space="preserve">New York: McGraw-Hill. </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s-ES_tradnl"/>
        </w:rPr>
        <w:t xml:space="preserve">Sánchez-Flores, R. B., Ojeda-Benítez, S., Cruz-Sotelo, S. E. y Navarro-González, C. R. (2020). </w:t>
      </w:r>
      <w:r w:rsidRPr="00F9373E">
        <w:rPr>
          <w:rFonts w:ascii="Times New Roman" w:hAnsi="Times New Roman" w:cs="Times New Roman"/>
          <w:noProof/>
          <w:sz w:val="24"/>
          <w:szCs w:val="24"/>
          <w:lang w:val="en-US"/>
        </w:rPr>
        <w:t xml:space="preserve">Supply Chain Performance Improvement: A Sustainable Perspective. In J. L. García-Alcaraz, C. Sánchez-Ramírez, L. Avelar-Sosa, G. Alor-Hernández (Eds.), </w:t>
      </w:r>
      <w:r w:rsidRPr="00F9373E">
        <w:rPr>
          <w:rFonts w:ascii="Times New Roman" w:hAnsi="Times New Roman" w:cs="Times New Roman"/>
          <w:i/>
          <w:iCs/>
          <w:noProof/>
          <w:sz w:val="24"/>
          <w:szCs w:val="24"/>
          <w:lang w:val="en-US"/>
        </w:rPr>
        <w:t>Techniques, Tools and Methodologies Applied to Global Supply Chain Ecosystems</w:t>
      </w:r>
      <w:r w:rsidRPr="00F9373E">
        <w:rPr>
          <w:rFonts w:ascii="Times New Roman" w:hAnsi="Times New Roman" w:cs="Times New Roman"/>
          <w:noProof/>
          <w:sz w:val="24"/>
          <w:szCs w:val="24"/>
          <w:lang w:val="en-US"/>
        </w:rPr>
        <w:t xml:space="preserve"> (pp. 333–358).</w:t>
      </w:r>
      <w:r w:rsidRPr="00F9373E">
        <w:rPr>
          <w:rFonts w:ascii="Times New Roman" w:hAnsi="Times New Roman" w:cs="Times New Roman"/>
          <w:sz w:val="24"/>
          <w:szCs w:val="24"/>
          <w:lang w:val="en-US"/>
        </w:rPr>
        <w:t xml:space="preserve"> </w:t>
      </w:r>
      <w:r w:rsidRPr="00F9373E">
        <w:rPr>
          <w:rFonts w:ascii="Times New Roman" w:hAnsi="Times New Roman" w:cs="Times New Roman"/>
          <w:noProof/>
          <w:sz w:val="24"/>
          <w:szCs w:val="24"/>
          <w:lang w:val="en-US"/>
        </w:rPr>
        <w:t>Cham: Springer. https://doi.org/10.1007/978-3-030-26488-8_15</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Schenk, A., Thuronyi, V. y Cui, W. (2016). Value added tax: a comparative approach. </w:t>
      </w:r>
      <w:r w:rsidRPr="00F9373E">
        <w:rPr>
          <w:rFonts w:ascii="Times New Roman" w:hAnsi="Times New Roman" w:cs="Times New Roman"/>
          <w:i/>
          <w:iCs/>
          <w:noProof/>
          <w:sz w:val="24"/>
          <w:szCs w:val="24"/>
          <w:lang w:val="en-US"/>
        </w:rPr>
        <w:t>National Tax Journal</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69</w:t>
      </w:r>
      <w:r w:rsidRPr="00F9373E">
        <w:rPr>
          <w:rFonts w:ascii="Times New Roman" w:hAnsi="Times New Roman" w:cs="Times New Roman"/>
          <w:noProof/>
          <w:sz w:val="24"/>
          <w:szCs w:val="24"/>
          <w:lang w:val="en-US"/>
        </w:rPr>
        <w:t>(1), 241–250. https://doi.org/http://dx.doi.org/10.17310/ntj.2016.1.08</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s-ES_tradnl"/>
        </w:rPr>
        <w:t xml:space="preserve">Sellitto, M. A., Pereira, G. M., Borchardt, M., da Silva, R. I. y Viegas, C. V. (2015). </w:t>
      </w:r>
      <w:r w:rsidRPr="00F9373E">
        <w:rPr>
          <w:rFonts w:ascii="Times New Roman" w:hAnsi="Times New Roman" w:cs="Times New Roman"/>
          <w:noProof/>
          <w:sz w:val="24"/>
          <w:szCs w:val="24"/>
          <w:lang w:val="en-US"/>
        </w:rPr>
        <w:t xml:space="preserve">A SCOR-based model for supply chain performance measurement: application in the footwear industry. </w:t>
      </w:r>
      <w:r w:rsidRPr="00F9373E">
        <w:rPr>
          <w:rFonts w:ascii="Times New Roman" w:hAnsi="Times New Roman" w:cs="Times New Roman"/>
          <w:i/>
          <w:iCs/>
          <w:noProof/>
          <w:sz w:val="24"/>
          <w:szCs w:val="24"/>
          <w:lang w:val="en-US"/>
        </w:rPr>
        <w:t>International Journal of Production Research</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53</w:t>
      </w:r>
      <w:r w:rsidRPr="00F9373E">
        <w:rPr>
          <w:rFonts w:ascii="Times New Roman" w:hAnsi="Times New Roman" w:cs="Times New Roman"/>
          <w:noProof/>
          <w:sz w:val="24"/>
          <w:szCs w:val="24"/>
          <w:lang w:val="en-US"/>
        </w:rPr>
        <w:t>(16), 4917–4926. https://doi.org/10.1080/00207543.2015.1005251</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Shuwang, W., Lei, Z., Zhifeng, L., Guangfu, L. y Zhang, H. (2005). Study on the Performance Assessment of Green Supply Chain. </w:t>
      </w:r>
      <w:r w:rsidRPr="00F9373E">
        <w:rPr>
          <w:rFonts w:ascii="Times New Roman" w:hAnsi="Times New Roman" w:cs="Times New Roman"/>
          <w:i/>
          <w:iCs/>
          <w:noProof/>
          <w:sz w:val="24"/>
          <w:szCs w:val="24"/>
          <w:lang w:val="en-US"/>
        </w:rPr>
        <w:t>2005 IEEE International Conference on Systems, Man and Cybernetics</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1</w:t>
      </w:r>
      <w:r w:rsidRPr="00F9373E">
        <w:rPr>
          <w:rFonts w:ascii="Times New Roman" w:hAnsi="Times New Roman" w:cs="Times New Roman"/>
          <w:noProof/>
          <w:sz w:val="24"/>
          <w:szCs w:val="24"/>
          <w:lang w:val="en-US"/>
        </w:rPr>
        <w:t>, 942–947. https://doi.org/10.1109/ICSMC.2005.1571267</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Sopadang, A., Wichaisri, S. y Banomyong, R. (2017). Sustainable supply chain performance measurement a case study of the sugar industry. </w:t>
      </w:r>
      <w:r w:rsidRPr="00F9373E">
        <w:rPr>
          <w:rFonts w:ascii="Times New Roman" w:hAnsi="Times New Roman" w:cs="Times New Roman"/>
          <w:i/>
          <w:iCs/>
          <w:noProof/>
          <w:sz w:val="24"/>
          <w:szCs w:val="24"/>
          <w:lang w:val="en-US"/>
        </w:rPr>
        <w:t xml:space="preserve">Proceedings of the International Conference on Industrial Engineering and Operations Management </w:t>
      </w:r>
      <w:r w:rsidRPr="00F9373E">
        <w:rPr>
          <w:rFonts w:ascii="Times New Roman" w:hAnsi="Times New Roman" w:cs="Times New Roman"/>
          <w:iCs/>
          <w:noProof/>
          <w:sz w:val="24"/>
          <w:szCs w:val="24"/>
          <w:lang w:val="en-US"/>
        </w:rPr>
        <w:t>(p.</w:t>
      </w:r>
      <w:r w:rsidRPr="00F9373E">
        <w:rPr>
          <w:rFonts w:ascii="Times New Roman" w:hAnsi="Times New Roman" w:cs="Times New Roman"/>
          <w:noProof/>
          <w:sz w:val="24"/>
          <w:szCs w:val="24"/>
          <w:lang w:val="en-US"/>
        </w:rPr>
        <w:t xml:space="preserve"> 1–12). Rabat, Morocco.</w:t>
      </w:r>
    </w:p>
    <w:p w:rsidR="00F9373E" w:rsidRPr="00F9373E" w:rsidRDefault="00F9373E" w:rsidP="00F9373E">
      <w:pPr>
        <w:widowControl w:val="0"/>
        <w:autoSpaceDE w:val="0"/>
        <w:autoSpaceDN w:val="0"/>
        <w:adjustRightInd w:val="0"/>
        <w:spacing w:after="160"/>
        <w:ind w:left="480" w:hanging="480"/>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lastRenderedPageBreak/>
        <w:t xml:space="preserve">Sun, J., Xu, S., y Li, G. (2020). Analyzing sustainable power supply chain performance. </w:t>
      </w:r>
      <w:r w:rsidRPr="00F9373E">
        <w:rPr>
          <w:rFonts w:ascii="Times New Roman" w:hAnsi="Times New Roman" w:cs="Times New Roman"/>
          <w:i/>
          <w:iCs/>
          <w:noProof/>
          <w:sz w:val="24"/>
          <w:szCs w:val="24"/>
          <w:lang w:val="en-US"/>
        </w:rPr>
        <w:t>Journal of Enterprise Information Management</w:t>
      </w:r>
      <w:r w:rsidRPr="00F9373E">
        <w:rPr>
          <w:rFonts w:ascii="Times New Roman" w:hAnsi="Times New Roman" w:cs="Times New Roman"/>
          <w:noProof/>
          <w:sz w:val="24"/>
          <w:szCs w:val="24"/>
          <w:lang w:val="en-US"/>
        </w:rPr>
        <w:t>. https://doi.org/10.1108/JEIM-09-2019-0296</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Tong, Y. (2017). Model for evaluating the green supply chain performance under low-carbon agricultural economy environment with 2-tuple linguistic information. </w:t>
      </w:r>
      <w:r w:rsidRPr="00F9373E">
        <w:rPr>
          <w:rFonts w:ascii="Times New Roman" w:hAnsi="Times New Roman" w:cs="Times New Roman"/>
          <w:i/>
          <w:iCs/>
          <w:noProof/>
          <w:sz w:val="24"/>
          <w:szCs w:val="24"/>
          <w:lang w:val="en-US"/>
        </w:rPr>
        <w:t>Journal of Intelligent and Fuzzy Systems</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32</w:t>
      </w:r>
      <w:r w:rsidRPr="00F9373E">
        <w:rPr>
          <w:rFonts w:ascii="Times New Roman" w:hAnsi="Times New Roman" w:cs="Times New Roman"/>
          <w:noProof/>
          <w:sz w:val="24"/>
          <w:szCs w:val="24"/>
          <w:lang w:val="en-US"/>
        </w:rPr>
        <w:t>(3), 2717–2723. https://doi.org/10.3233/JIFS-16802</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s-ES_tradnl"/>
        </w:rPr>
        <w:t xml:space="preserve">Tortorella, G. L., Giglio, R. y Limon-Romero, J. (2018). </w:t>
      </w:r>
      <w:r w:rsidRPr="00F9373E">
        <w:rPr>
          <w:rFonts w:ascii="Times New Roman" w:hAnsi="Times New Roman" w:cs="Times New Roman"/>
          <w:noProof/>
          <w:sz w:val="24"/>
          <w:szCs w:val="24"/>
          <w:lang w:val="en-US"/>
        </w:rPr>
        <w:t xml:space="preserve">Supply chain performance: how lean practices efficiently drive improvements. </w:t>
      </w:r>
      <w:r w:rsidRPr="00F9373E">
        <w:rPr>
          <w:rFonts w:ascii="Times New Roman" w:hAnsi="Times New Roman" w:cs="Times New Roman"/>
          <w:i/>
          <w:iCs/>
          <w:noProof/>
          <w:sz w:val="24"/>
          <w:szCs w:val="24"/>
          <w:lang w:val="en-US"/>
        </w:rPr>
        <w:t>Journal of Manufacturing Technology Management</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38</w:t>
      </w:r>
      <w:r w:rsidRPr="00F9373E">
        <w:rPr>
          <w:rFonts w:ascii="Times New Roman" w:hAnsi="Times New Roman" w:cs="Times New Roman"/>
          <w:noProof/>
          <w:sz w:val="24"/>
          <w:szCs w:val="24"/>
          <w:lang w:val="en-US"/>
        </w:rPr>
        <w:t>(4), 934–956. https://doi.org/10.1108/JMTM-09-2017-0194</w:t>
      </w:r>
    </w:p>
    <w:p w:rsidR="00F9373E" w:rsidRPr="00F9373E" w:rsidRDefault="00F9373E" w:rsidP="00F9373E">
      <w:pPr>
        <w:widowControl w:val="0"/>
        <w:autoSpaceDE w:val="0"/>
        <w:autoSpaceDN w:val="0"/>
        <w:adjustRightInd w:val="0"/>
        <w:spacing w:after="160"/>
        <w:ind w:left="480" w:hanging="480"/>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Tripathi, S., y Talukder, B. (2020). Supply Chain Performance and Profitability in Indian Automobile Industry: Evidence of Segmental Difference. </w:t>
      </w:r>
      <w:r w:rsidRPr="00F9373E">
        <w:rPr>
          <w:rFonts w:ascii="Times New Roman" w:hAnsi="Times New Roman" w:cs="Times New Roman"/>
          <w:i/>
          <w:iCs/>
          <w:noProof/>
          <w:sz w:val="24"/>
          <w:szCs w:val="24"/>
          <w:lang w:val="en-US"/>
        </w:rPr>
        <w:t>Global Business Review</w:t>
      </w:r>
      <w:r w:rsidRPr="00F9373E">
        <w:rPr>
          <w:rFonts w:ascii="Times New Roman" w:hAnsi="Times New Roman" w:cs="Times New Roman"/>
          <w:noProof/>
          <w:sz w:val="24"/>
          <w:szCs w:val="24"/>
          <w:lang w:val="en-US"/>
        </w:rPr>
        <w:t>, 0972150919898302. https://doi.org/10.1177/0972150919898302</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Tsai, W.-H. y Hung, S.-J. (2009). A fuzzy goal programming approach for green supply chain optimisation under activity-based costing and performance evaluation with a value-chain structure. </w:t>
      </w:r>
      <w:r w:rsidRPr="00F9373E">
        <w:rPr>
          <w:rFonts w:ascii="Times New Roman" w:hAnsi="Times New Roman" w:cs="Times New Roman"/>
          <w:i/>
          <w:iCs/>
          <w:noProof/>
          <w:sz w:val="24"/>
          <w:szCs w:val="24"/>
          <w:lang w:val="en-US"/>
        </w:rPr>
        <w:t>International Journal of Production Research</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47</w:t>
      </w:r>
      <w:r w:rsidRPr="00F9373E">
        <w:rPr>
          <w:rFonts w:ascii="Times New Roman" w:hAnsi="Times New Roman" w:cs="Times New Roman"/>
          <w:noProof/>
          <w:sz w:val="24"/>
          <w:szCs w:val="24"/>
          <w:lang w:val="en-US"/>
        </w:rPr>
        <w:t>(18), 4991–5017. https://doi.org/10.1080/00207540801932498</w:t>
      </w:r>
    </w:p>
    <w:p w:rsidR="00F9373E" w:rsidRPr="00F9373E" w:rsidRDefault="00F9373E" w:rsidP="00F9373E">
      <w:pPr>
        <w:widowControl w:val="0"/>
        <w:autoSpaceDE w:val="0"/>
        <w:autoSpaceDN w:val="0"/>
        <w:adjustRightInd w:val="0"/>
        <w:spacing w:after="160"/>
        <w:ind w:left="480" w:hanging="480"/>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Tundys, B., y Fernando, Y. (2020). Sustainable supply chain management--Key Performance Indicators (KPI) as an element for measuring of processes. </w:t>
      </w:r>
      <w:r w:rsidRPr="00F9373E">
        <w:rPr>
          <w:rFonts w:ascii="Times New Roman" w:hAnsi="Times New Roman" w:cs="Times New Roman"/>
          <w:i/>
          <w:iCs/>
          <w:noProof/>
          <w:sz w:val="24"/>
          <w:szCs w:val="24"/>
          <w:lang w:val="en-US"/>
        </w:rPr>
        <w:t>Transport Economics and Logistics</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83</w:t>
      </w:r>
      <w:r w:rsidRPr="00F9373E">
        <w:rPr>
          <w:rFonts w:ascii="Times New Roman" w:hAnsi="Times New Roman" w:cs="Times New Roman"/>
          <w:noProof/>
          <w:sz w:val="24"/>
          <w:szCs w:val="24"/>
          <w:lang w:val="en-US"/>
        </w:rPr>
        <w:t>, 31–50. https://doi.org/10.26881/etil.2019.83.03</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56AEF">
        <w:rPr>
          <w:rFonts w:ascii="Times New Roman" w:hAnsi="Times New Roman" w:cs="Times New Roman"/>
          <w:noProof/>
          <w:sz w:val="24"/>
          <w:szCs w:val="24"/>
          <w:lang w:val="en-US"/>
        </w:rPr>
        <w:t xml:space="preserve">Tyagi, M., Kumar, P. y Kumar, D. (2015). </w:t>
      </w:r>
      <w:r w:rsidRPr="00F9373E">
        <w:rPr>
          <w:rFonts w:ascii="Times New Roman" w:hAnsi="Times New Roman" w:cs="Times New Roman"/>
          <w:noProof/>
          <w:sz w:val="24"/>
          <w:szCs w:val="24"/>
          <w:lang w:val="en-US"/>
        </w:rPr>
        <w:t xml:space="preserve">Parametric Selection of Alternatives to Improve Performance of Green Supply Chain Management System. </w:t>
      </w:r>
      <w:r w:rsidRPr="00F9373E">
        <w:rPr>
          <w:rFonts w:ascii="Times New Roman" w:hAnsi="Times New Roman" w:cs="Times New Roman"/>
          <w:i/>
          <w:iCs/>
          <w:noProof/>
          <w:sz w:val="24"/>
          <w:szCs w:val="24"/>
          <w:lang w:val="en-US"/>
        </w:rPr>
        <w:t>Procedia - Social and Behavioral Sciences</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189</w:t>
      </w:r>
      <w:r w:rsidRPr="00F9373E">
        <w:rPr>
          <w:rFonts w:ascii="Times New Roman" w:hAnsi="Times New Roman" w:cs="Times New Roman"/>
          <w:noProof/>
          <w:sz w:val="24"/>
          <w:szCs w:val="24"/>
          <w:lang w:val="en-US"/>
        </w:rPr>
        <w:t>, 449–457. https://doi.org/10.1016/j.sbspro.2015.03.197</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s-ES_tradnl"/>
        </w:rPr>
        <w:t xml:space="preserve">Tyagi, M., Kumar, P. y Kumar, D. (2017). </w:t>
      </w:r>
      <w:r w:rsidRPr="00F9373E">
        <w:rPr>
          <w:rFonts w:ascii="Times New Roman" w:hAnsi="Times New Roman" w:cs="Times New Roman"/>
          <w:noProof/>
          <w:sz w:val="24"/>
          <w:szCs w:val="24"/>
          <w:lang w:val="en-US"/>
        </w:rPr>
        <w:t xml:space="preserve">Modelling and analysis of barriers for supply chain performance measurement system. </w:t>
      </w:r>
      <w:r w:rsidRPr="00F9373E">
        <w:rPr>
          <w:rFonts w:ascii="Times New Roman" w:hAnsi="Times New Roman" w:cs="Times New Roman"/>
          <w:i/>
          <w:iCs/>
          <w:noProof/>
          <w:sz w:val="24"/>
          <w:szCs w:val="24"/>
          <w:lang w:val="en-US"/>
        </w:rPr>
        <w:t>International Journal of Operational Research</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28</w:t>
      </w:r>
      <w:r w:rsidRPr="00F9373E">
        <w:rPr>
          <w:rFonts w:ascii="Times New Roman" w:hAnsi="Times New Roman" w:cs="Times New Roman"/>
          <w:noProof/>
          <w:sz w:val="24"/>
          <w:szCs w:val="24"/>
          <w:lang w:val="en-US"/>
        </w:rPr>
        <w:t>(3), 392-414. https://doi.org/10.1504/IJOR.2017.081912</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56AEF">
        <w:rPr>
          <w:rFonts w:ascii="Times New Roman" w:hAnsi="Times New Roman" w:cs="Times New Roman"/>
          <w:noProof/>
          <w:sz w:val="24"/>
          <w:szCs w:val="24"/>
          <w:lang w:val="en-US"/>
        </w:rPr>
        <w:t xml:space="preserve">Tyagi, M., Kumar, P. y Kumar, D. (2018). </w:t>
      </w:r>
      <w:r w:rsidRPr="00F9373E">
        <w:rPr>
          <w:rFonts w:ascii="Times New Roman" w:hAnsi="Times New Roman" w:cs="Times New Roman"/>
          <w:noProof/>
          <w:sz w:val="24"/>
          <w:szCs w:val="24"/>
          <w:lang w:val="en-US"/>
        </w:rPr>
        <w:t xml:space="preserve">Assessment of CSR based supply chain performance system using an integrated fuzzy AHP-TOPSIS approach. </w:t>
      </w:r>
      <w:r w:rsidRPr="00F9373E">
        <w:rPr>
          <w:rFonts w:ascii="Times New Roman" w:hAnsi="Times New Roman" w:cs="Times New Roman"/>
          <w:i/>
          <w:iCs/>
          <w:noProof/>
          <w:sz w:val="24"/>
          <w:szCs w:val="24"/>
          <w:lang w:val="en-US"/>
        </w:rPr>
        <w:t>International Journal of Logistics Research and Applications</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21</w:t>
      </w:r>
      <w:r w:rsidRPr="00F9373E">
        <w:rPr>
          <w:rFonts w:ascii="Times New Roman" w:hAnsi="Times New Roman" w:cs="Times New Roman"/>
          <w:noProof/>
          <w:sz w:val="24"/>
          <w:szCs w:val="24"/>
          <w:lang w:val="en-US"/>
        </w:rPr>
        <w:t>(4), 378–406. https://doi.org/10.1080/13675567.2017.1422707</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s-ES_tradnl"/>
        </w:rPr>
        <w:t xml:space="preserve">Uygun, Ö. y Dede, A. (2016). </w:t>
      </w:r>
      <w:r w:rsidRPr="00F9373E">
        <w:rPr>
          <w:rFonts w:ascii="Times New Roman" w:hAnsi="Times New Roman" w:cs="Times New Roman"/>
          <w:noProof/>
          <w:sz w:val="24"/>
          <w:szCs w:val="24"/>
          <w:lang w:val="en-US"/>
        </w:rPr>
        <w:t xml:space="preserve">Performance evaluation of green supply chain management using integrated fuzzy multi-criteria decision making techniques. </w:t>
      </w:r>
      <w:r w:rsidRPr="00F9373E">
        <w:rPr>
          <w:rFonts w:ascii="Times New Roman" w:hAnsi="Times New Roman" w:cs="Times New Roman"/>
          <w:i/>
          <w:iCs/>
          <w:noProof/>
          <w:sz w:val="24"/>
          <w:szCs w:val="24"/>
          <w:lang w:val="en-US"/>
        </w:rPr>
        <w:t>Computers &amp; Industrial Engineering</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102</w:t>
      </w:r>
      <w:r w:rsidRPr="00F9373E">
        <w:rPr>
          <w:rFonts w:ascii="Times New Roman" w:hAnsi="Times New Roman" w:cs="Times New Roman"/>
          <w:noProof/>
          <w:sz w:val="24"/>
          <w:szCs w:val="24"/>
          <w:lang w:val="en-US"/>
        </w:rPr>
        <w:t>, 502-511. https://doi.org/10.1016/j.cie.2016.02.020</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56AEF">
        <w:rPr>
          <w:rFonts w:ascii="Times New Roman" w:hAnsi="Times New Roman" w:cs="Times New Roman"/>
          <w:noProof/>
          <w:sz w:val="24"/>
          <w:szCs w:val="24"/>
          <w:lang w:val="en-US"/>
        </w:rPr>
        <w:t xml:space="preserve">Vázquez-Rowe, I., Iribarren, D., Moreira, M. T. y Feijoo, G. (2010). </w:t>
      </w:r>
      <w:r w:rsidRPr="00F9373E">
        <w:rPr>
          <w:rFonts w:ascii="Times New Roman" w:hAnsi="Times New Roman" w:cs="Times New Roman"/>
          <w:noProof/>
          <w:sz w:val="24"/>
          <w:szCs w:val="24"/>
          <w:lang w:val="en-US"/>
        </w:rPr>
        <w:t xml:space="preserve">Combined application of life cycle assessment and data envelopment analysis as a </w:t>
      </w:r>
      <w:r w:rsidRPr="00F9373E">
        <w:rPr>
          <w:rFonts w:ascii="Times New Roman" w:hAnsi="Times New Roman" w:cs="Times New Roman"/>
          <w:noProof/>
          <w:sz w:val="24"/>
          <w:szCs w:val="24"/>
          <w:lang w:val="en-US"/>
        </w:rPr>
        <w:lastRenderedPageBreak/>
        <w:t xml:space="preserve">methodological approach for the assessment of fisheries. </w:t>
      </w:r>
      <w:r w:rsidRPr="00F9373E">
        <w:rPr>
          <w:rFonts w:ascii="Times New Roman" w:hAnsi="Times New Roman" w:cs="Times New Roman"/>
          <w:i/>
          <w:iCs/>
          <w:noProof/>
          <w:sz w:val="24"/>
          <w:szCs w:val="24"/>
          <w:lang w:val="en-US"/>
        </w:rPr>
        <w:t>International Journal of Life Cycle Assessment</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15</w:t>
      </w:r>
      <w:r w:rsidRPr="00F9373E">
        <w:rPr>
          <w:rFonts w:ascii="Times New Roman" w:hAnsi="Times New Roman" w:cs="Times New Roman"/>
          <w:noProof/>
          <w:sz w:val="24"/>
          <w:szCs w:val="24"/>
          <w:lang w:val="en-US"/>
        </w:rPr>
        <w:t>(3), 272–283. https://doi.org/10.1007/s11367-010-0154-9</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s-ES_tradnl"/>
        </w:rPr>
      </w:pPr>
      <w:r w:rsidRPr="00F9373E">
        <w:rPr>
          <w:rFonts w:ascii="Times New Roman" w:hAnsi="Times New Roman" w:cs="Times New Roman"/>
          <w:noProof/>
          <w:sz w:val="24"/>
          <w:szCs w:val="24"/>
          <w:lang w:val="es-ES_tradnl"/>
        </w:rPr>
        <w:t xml:space="preserve">Vinajera-Zamora, A., Marrero-Delgado, F., Coello-Machado, N., Glistau, E. (2015). </w:t>
      </w:r>
      <w:r w:rsidRPr="00F9373E">
        <w:rPr>
          <w:rFonts w:ascii="Times New Roman" w:hAnsi="Times New Roman" w:cs="Times New Roman"/>
          <w:noProof/>
          <w:sz w:val="24"/>
          <w:szCs w:val="24"/>
          <w:lang w:val="en-US"/>
        </w:rPr>
        <w:t xml:space="preserve">Assessing the efficiency by Data Envelopment Analysis. </w:t>
      </w:r>
      <w:r w:rsidRPr="00F9373E">
        <w:rPr>
          <w:rFonts w:ascii="Times New Roman" w:hAnsi="Times New Roman" w:cs="Times New Roman"/>
          <w:i/>
          <w:iCs/>
          <w:noProof/>
          <w:sz w:val="24"/>
          <w:szCs w:val="24"/>
          <w:lang w:val="en-US"/>
        </w:rPr>
        <w:t>8th International Logistics Doctoral Student Workshop</w:t>
      </w:r>
      <w:r w:rsidRPr="00F9373E">
        <w:rPr>
          <w:rFonts w:ascii="Times New Roman" w:hAnsi="Times New Roman" w:cs="Times New Roman"/>
          <w:noProof/>
          <w:sz w:val="24"/>
          <w:szCs w:val="24"/>
          <w:lang w:val="en-US"/>
        </w:rPr>
        <w:t xml:space="preserve"> (p. 72–91). </w:t>
      </w:r>
      <w:r w:rsidRPr="00F9373E">
        <w:rPr>
          <w:rFonts w:ascii="Times New Roman" w:hAnsi="Times New Roman" w:cs="Times New Roman"/>
          <w:noProof/>
          <w:sz w:val="24"/>
          <w:szCs w:val="24"/>
          <w:lang w:val="es-ES_tradnl"/>
        </w:rPr>
        <w:t>Magdeburg, Alemania: Fraunhofer Institute.</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s-ES_tradnl"/>
        </w:rPr>
      </w:pPr>
      <w:r w:rsidRPr="00F9373E">
        <w:rPr>
          <w:rFonts w:ascii="Times New Roman" w:hAnsi="Times New Roman" w:cs="Times New Roman"/>
          <w:noProof/>
          <w:sz w:val="24"/>
          <w:szCs w:val="24"/>
          <w:lang w:val="es-ES_tradnl"/>
        </w:rPr>
        <w:t xml:space="preserve">Vinajera-Zamora, A., Marrero-Delgado, F. y Ruiz-Morales, M. (2017). Método para calcular el valor agregado en cadenas de suministro de productos electromecánico. </w:t>
      </w:r>
      <w:r w:rsidRPr="00F9373E">
        <w:rPr>
          <w:rFonts w:ascii="Times New Roman" w:hAnsi="Times New Roman" w:cs="Times New Roman"/>
          <w:i/>
          <w:iCs/>
          <w:noProof/>
          <w:sz w:val="24"/>
          <w:szCs w:val="24"/>
          <w:lang w:val="es-ES_tradnl"/>
        </w:rPr>
        <w:t>Ingeniare. Revista Chilena de Ingeniería</w:t>
      </w:r>
      <w:r w:rsidRPr="00F9373E">
        <w:rPr>
          <w:rFonts w:ascii="Times New Roman" w:hAnsi="Times New Roman" w:cs="Times New Roman"/>
          <w:noProof/>
          <w:sz w:val="24"/>
          <w:szCs w:val="24"/>
          <w:lang w:val="es-ES_tradnl"/>
        </w:rPr>
        <w:t xml:space="preserve">, </w:t>
      </w:r>
      <w:r w:rsidRPr="00F9373E">
        <w:rPr>
          <w:rFonts w:ascii="Times New Roman" w:hAnsi="Times New Roman" w:cs="Times New Roman"/>
          <w:i/>
          <w:iCs/>
          <w:noProof/>
          <w:sz w:val="24"/>
          <w:szCs w:val="24"/>
          <w:lang w:val="es-ES_tradnl"/>
        </w:rPr>
        <w:t>25</w:t>
      </w:r>
      <w:r w:rsidRPr="00F9373E">
        <w:rPr>
          <w:rFonts w:ascii="Times New Roman" w:hAnsi="Times New Roman" w:cs="Times New Roman"/>
          <w:noProof/>
          <w:sz w:val="24"/>
          <w:szCs w:val="24"/>
          <w:lang w:val="es-ES_tradnl"/>
        </w:rPr>
        <w:t xml:space="preserve">(3), 535–546. </w:t>
      </w:r>
      <w:r w:rsidRPr="00F9373E">
        <w:rPr>
          <w:rFonts w:ascii="Times New Roman" w:hAnsi="Times New Roman" w:cs="Times New Roman"/>
          <w:iCs/>
          <w:noProof/>
          <w:sz w:val="24"/>
          <w:szCs w:val="24"/>
          <w:lang w:val="es-ES_tradnl"/>
        </w:rPr>
        <w:t>http://dx.doi.org/10.4067/S0718-33052017000300535</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s-ES_tradnl"/>
        </w:rPr>
        <w:t xml:space="preserve">Vinajera-Zamora, A., Sarache-Castro, W., Cespón-Castro, R. y Marrero-Delgado, F. (2014). Diagnóstico del desempeño de la cadena de suministro de productos electromecanicos. Estudio de casos. </w:t>
      </w:r>
      <w:r w:rsidRPr="00F9373E">
        <w:rPr>
          <w:rFonts w:ascii="Times New Roman" w:hAnsi="Times New Roman" w:cs="Times New Roman"/>
          <w:i/>
          <w:iCs/>
          <w:noProof/>
          <w:sz w:val="24"/>
          <w:szCs w:val="24"/>
          <w:lang w:val="es-ES_tradnl"/>
        </w:rPr>
        <w:t xml:space="preserve">IX Conferencia Internacional de Ciencias Empresariales </w:t>
      </w:r>
      <w:r w:rsidRPr="00F9373E">
        <w:rPr>
          <w:rFonts w:ascii="Times New Roman" w:hAnsi="Times New Roman" w:cs="Times New Roman"/>
          <w:iCs/>
          <w:noProof/>
          <w:sz w:val="24"/>
          <w:szCs w:val="24"/>
          <w:lang w:val="es-ES_tradnl"/>
        </w:rPr>
        <w:t>(p.</w:t>
      </w:r>
      <w:r w:rsidRPr="00F9373E">
        <w:rPr>
          <w:rFonts w:ascii="Times New Roman" w:hAnsi="Times New Roman" w:cs="Times New Roman"/>
          <w:noProof/>
          <w:sz w:val="24"/>
          <w:szCs w:val="24"/>
          <w:lang w:val="es-ES_tradnl"/>
        </w:rPr>
        <w:t xml:space="preserve"> 1–11). </w:t>
      </w:r>
      <w:r w:rsidRPr="00F9373E">
        <w:rPr>
          <w:rFonts w:ascii="Times New Roman" w:hAnsi="Times New Roman" w:cs="Times New Roman"/>
          <w:noProof/>
          <w:sz w:val="24"/>
          <w:szCs w:val="24"/>
          <w:lang w:val="en-US"/>
        </w:rPr>
        <w:t>Santa Clara, Cuba: Editorial Feijoo.</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Wang, F. (2012). Research on performance measurement of green supply chain management. </w:t>
      </w:r>
      <w:r w:rsidRPr="00F9373E">
        <w:rPr>
          <w:rFonts w:ascii="Times New Roman" w:hAnsi="Times New Roman" w:cs="Times New Roman"/>
          <w:i/>
          <w:iCs/>
          <w:noProof/>
          <w:sz w:val="24"/>
          <w:szCs w:val="24"/>
          <w:lang w:val="en-US"/>
        </w:rPr>
        <w:t>2nd International Conference on Economics, Trade and Development</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36</w:t>
      </w:r>
      <w:r w:rsidRPr="00F9373E">
        <w:rPr>
          <w:rFonts w:ascii="Times New Roman" w:hAnsi="Times New Roman" w:cs="Times New Roman"/>
          <w:noProof/>
          <w:sz w:val="24"/>
          <w:szCs w:val="24"/>
          <w:lang w:val="en-US"/>
        </w:rPr>
        <w:t xml:space="preserve">, 111–114. </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Zhang, H. (2017). Research on fuzzy evaluation of performance in green supply chain based on environmental economics. </w:t>
      </w:r>
      <w:r w:rsidRPr="00F9373E">
        <w:rPr>
          <w:rFonts w:ascii="Times New Roman" w:hAnsi="Times New Roman" w:cs="Times New Roman"/>
          <w:i/>
          <w:iCs/>
          <w:noProof/>
          <w:sz w:val="24"/>
          <w:szCs w:val="24"/>
          <w:lang w:val="en-US"/>
        </w:rPr>
        <w:t>Journal of Intelligent &amp; Fuzzy Systems</w:t>
      </w:r>
      <w:r w:rsidRPr="00F9373E">
        <w:rPr>
          <w:rFonts w:ascii="Times New Roman" w:hAnsi="Times New Roman" w:cs="Times New Roman"/>
          <w:noProof/>
          <w:sz w:val="24"/>
          <w:szCs w:val="24"/>
          <w:lang w:val="en-US"/>
        </w:rPr>
        <w:t xml:space="preserve">, </w:t>
      </w:r>
      <w:r w:rsidRPr="00F9373E">
        <w:rPr>
          <w:rFonts w:ascii="Times New Roman" w:hAnsi="Times New Roman" w:cs="Times New Roman"/>
          <w:i/>
          <w:iCs/>
          <w:noProof/>
          <w:sz w:val="24"/>
          <w:szCs w:val="24"/>
          <w:lang w:val="en-US"/>
        </w:rPr>
        <w:t>32</w:t>
      </w:r>
      <w:r w:rsidRPr="00F9373E">
        <w:rPr>
          <w:rFonts w:ascii="Times New Roman" w:hAnsi="Times New Roman" w:cs="Times New Roman"/>
          <w:noProof/>
          <w:sz w:val="24"/>
          <w:szCs w:val="24"/>
          <w:lang w:val="en-US"/>
        </w:rPr>
        <w:t>(3), 2625–2631. https://doi.org/10.3233/JIFS-16576</w:t>
      </w:r>
    </w:p>
    <w:p w:rsidR="00F9373E" w:rsidRPr="00F9373E" w:rsidRDefault="00F9373E" w:rsidP="00F9373E">
      <w:pPr>
        <w:widowControl w:val="0"/>
        <w:autoSpaceDE w:val="0"/>
        <w:autoSpaceDN w:val="0"/>
        <w:adjustRightInd w:val="0"/>
        <w:ind w:left="480" w:hanging="480"/>
        <w:jc w:val="both"/>
        <w:rPr>
          <w:rFonts w:ascii="Times New Roman" w:hAnsi="Times New Roman" w:cs="Times New Roman"/>
          <w:noProof/>
          <w:sz w:val="24"/>
          <w:szCs w:val="24"/>
          <w:lang w:val="en-US"/>
        </w:rPr>
      </w:pPr>
      <w:r w:rsidRPr="00F9373E">
        <w:rPr>
          <w:rFonts w:ascii="Times New Roman" w:hAnsi="Times New Roman" w:cs="Times New Roman"/>
          <w:noProof/>
          <w:sz w:val="24"/>
          <w:szCs w:val="24"/>
          <w:lang w:val="en-US"/>
        </w:rPr>
        <w:t xml:space="preserve">Zhang, X. y Zhiwei, Z. (2009). Study of Green Supply Chain and its Performance Based on Fuzzy AHP and Measurement System. </w:t>
      </w:r>
      <w:r w:rsidRPr="00F9373E">
        <w:rPr>
          <w:rFonts w:ascii="Times New Roman" w:hAnsi="Times New Roman" w:cs="Times New Roman"/>
          <w:i/>
          <w:iCs/>
          <w:noProof/>
          <w:sz w:val="24"/>
          <w:szCs w:val="24"/>
          <w:lang w:val="en-US"/>
        </w:rPr>
        <w:t>2009 International Conference on E-Business and Information System Security, Wuhan</w:t>
      </w:r>
      <w:r w:rsidRPr="00F9373E">
        <w:rPr>
          <w:rFonts w:ascii="Times New Roman" w:hAnsi="Times New Roman" w:cs="Times New Roman"/>
          <w:iCs/>
          <w:noProof/>
          <w:sz w:val="24"/>
          <w:szCs w:val="24"/>
          <w:lang w:val="en-US"/>
        </w:rPr>
        <w:t xml:space="preserve"> (p. 1-5)</w:t>
      </w:r>
      <w:r w:rsidRPr="00F9373E">
        <w:rPr>
          <w:rFonts w:ascii="Times New Roman" w:hAnsi="Times New Roman" w:cs="Times New Roman"/>
          <w:noProof/>
          <w:sz w:val="24"/>
          <w:szCs w:val="24"/>
          <w:lang w:val="en-US"/>
        </w:rPr>
        <w:t>. https://doi.org/10.1109/EBISS.2009.5138081</w:t>
      </w:r>
    </w:p>
    <w:p w:rsidR="00F9373E" w:rsidRPr="00F9373E" w:rsidRDefault="00F9373E" w:rsidP="00F9373E">
      <w:pPr>
        <w:autoSpaceDE w:val="0"/>
        <w:autoSpaceDN w:val="0"/>
        <w:adjustRightInd w:val="0"/>
        <w:jc w:val="both"/>
        <w:rPr>
          <w:rFonts w:ascii="Times New Roman" w:hAnsi="Times New Roman" w:cs="Times New Roman"/>
          <w:sz w:val="24"/>
          <w:szCs w:val="24"/>
          <w:lang w:val="en-US"/>
        </w:rPr>
      </w:pPr>
      <w:r w:rsidRPr="00F9373E">
        <w:rPr>
          <w:rFonts w:ascii="Times New Roman" w:hAnsi="Times New Roman" w:cs="Times New Roman"/>
          <w:sz w:val="24"/>
          <w:szCs w:val="24"/>
          <w:highlight w:val="yellow"/>
          <w:lang w:val="es-ES_tradnl"/>
        </w:rPr>
        <w:fldChar w:fldCharType="end"/>
      </w:r>
    </w:p>
    <w:p w:rsidR="00D36D1C" w:rsidRPr="00F9373E" w:rsidRDefault="00D36D1C" w:rsidP="00F9373E">
      <w:pPr>
        <w:spacing w:after="0" w:line="360" w:lineRule="auto"/>
        <w:jc w:val="both"/>
        <w:rPr>
          <w:rFonts w:ascii="Times New Roman" w:hAnsi="Times New Roman" w:cs="Times New Roman"/>
          <w:sz w:val="24"/>
          <w:szCs w:val="24"/>
          <w:lang w:val="en-US"/>
        </w:rPr>
      </w:pPr>
    </w:p>
    <w:sectPr w:rsidR="00D36D1C" w:rsidRPr="00F9373E" w:rsidSect="00C8585B">
      <w:headerReference w:type="default" r:id="rId43"/>
      <w:footerReference w:type="default" r:id="rId4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C98" w:rsidRDefault="00B57C98" w:rsidP="00C8585B">
      <w:pPr>
        <w:spacing w:after="0" w:line="240" w:lineRule="auto"/>
      </w:pPr>
      <w:r>
        <w:separator/>
      </w:r>
    </w:p>
  </w:endnote>
  <w:endnote w:type="continuationSeparator" w:id="0">
    <w:p w:rsidR="00B57C98" w:rsidRDefault="00B57C9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C16AD5">
          <w:rPr>
            <w:noProof/>
          </w:rPr>
          <w:t>21</w:t>
        </w:r>
        <w:r>
          <w:rPr>
            <w:noProof/>
          </w:rPr>
          <w:fldChar w:fldCharType="end"/>
        </w:r>
      </w:p>
    </w:sdtContent>
  </w:sdt>
  <w:p w:rsidR="009D5E02" w:rsidRPr="00C8585B" w:rsidRDefault="000A6EC7"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009D5E02" w:rsidRPr="00C8585B">
      <w:rPr>
        <w:rFonts w:ascii="Verdana" w:hAnsi="Verdana"/>
        <w:b/>
        <w:sz w:val="16"/>
        <w:szCs w:val="16"/>
        <w:lang w:val="es-ES_tradnl"/>
      </w:rPr>
      <w:t>20</w:t>
    </w:r>
    <w:r w:rsidR="00671849">
      <w:rPr>
        <w:rFonts w:ascii="Verdana" w:hAnsi="Verdana"/>
        <w:b/>
        <w:sz w:val="16"/>
        <w:szCs w:val="16"/>
        <w:lang w:val="es-ES_tradnl"/>
      </w:rPr>
      <w:t>21</w:t>
    </w:r>
  </w:p>
  <w:p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0A6EC7"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C98" w:rsidRDefault="00B57C98" w:rsidP="00C8585B">
      <w:pPr>
        <w:spacing w:after="0" w:line="240" w:lineRule="auto"/>
      </w:pPr>
      <w:r>
        <w:separator/>
      </w:r>
    </w:p>
  </w:footnote>
  <w:footnote w:type="continuationSeparator" w:id="0">
    <w:p w:rsidR="00B57C98" w:rsidRDefault="00B57C98" w:rsidP="00C8585B">
      <w:pPr>
        <w:spacing w:after="0" w:line="240" w:lineRule="auto"/>
      </w:pPr>
      <w:r>
        <w:continuationSeparator/>
      </w:r>
    </w:p>
  </w:footnote>
  <w:footnote w:id="1">
    <w:p w:rsidR="00F12C6E" w:rsidRPr="0024575C" w:rsidRDefault="00F12C6E" w:rsidP="00F12C6E">
      <w:pPr>
        <w:pStyle w:val="Textonotapie"/>
        <w:ind w:left="90" w:hanging="90"/>
        <w:jc w:val="both"/>
        <w:rPr>
          <w:color w:val="000000" w:themeColor="text1"/>
        </w:rPr>
      </w:pPr>
      <w:r w:rsidRPr="00B16E1A">
        <w:rPr>
          <w:rStyle w:val="Refdenotaalpie"/>
        </w:rPr>
        <w:footnoteRef/>
      </w:r>
      <w:r w:rsidRPr="0024575C">
        <w:rPr>
          <w:color w:val="000000" w:themeColor="text1"/>
        </w:rPr>
        <w:t xml:space="preserve"> Utilizando un método probabilístico y asumiendo una ley binomial de probabilidad, con un nivel de precisión del 8% (p), una proporción estimada de errores del 2% (i) y para un nivel de confianza del 99% (para determinar k), se obtuvo una necesidad total de 9 expertos (</w:t>
      </w:r>
      <m:oMath>
        <m:r>
          <w:rPr>
            <w:rFonts w:ascii="Cambria Math" w:hAnsi="Cambria Math"/>
            <w:color w:val="000000" w:themeColor="text1"/>
          </w:rPr>
          <m:t>M=</m:t>
        </m:r>
        <m:f>
          <m:fPr>
            <m:ctrlPr>
              <w:rPr>
                <w:rFonts w:ascii="Cambria Math" w:hAnsi="Cambria Math"/>
                <w:i/>
                <w:color w:val="000000" w:themeColor="text1"/>
              </w:rPr>
            </m:ctrlPr>
          </m:fPr>
          <m:num>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1-p</m:t>
                </m:r>
              </m:e>
            </m:d>
            <m:r>
              <w:rPr>
                <w:rFonts w:ascii="Cambria Math" w:hAnsi="Cambria Math"/>
                <w:color w:val="000000" w:themeColor="text1"/>
              </w:rPr>
              <m:t>*k</m:t>
            </m:r>
          </m:num>
          <m:den>
            <m:sSup>
              <m:sSupPr>
                <m:ctrlPr>
                  <w:rPr>
                    <w:rFonts w:ascii="Cambria Math" w:hAnsi="Cambria Math"/>
                    <w:i/>
                    <w:color w:val="000000" w:themeColor="text1"/>
                  </w:rPr>
                </m:ctrlPr>
              </m:sSupPr>
              <m:e>
                <m:r>
                  <w:rPr>
                    <w:rFonts w:ascii="Cambria Math" w:hAnsi="Cambria Math"/>
                    <w:color w:val="000000" w:themeColor="text1"/>
                  </w:rPr>
                  <m:t>i</m:t>
                </m:r>
              </m:e>
              <m:sup>
                <m:r>
                  <w:rPr>
                    <w:rFonts w:ascii="Cambria Math" w:hAnsi="Cambria Math"/>
                    <w:color w:val="000000" w:themeColor="text1"/>
                  </w:rPr>
                  <m:t>2</m:t>
                </m:r>
              </m:sup>
            </m:sSup>
          </m:den>
        </m:f>
      </m:oMath>
      <w:r w:rsidRPr="0024575C">
        <w:rPr>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C8585B" w:rsidRDefault="000A6EC7"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F31B37" w:rsidRPr="00C8585B">
            <w:rPr>
              <w:rFonts w:ascii="Verdana" w:hAnsi="Verdana"/>
              <w:b/>
              <w:sz w:val="16"/>
              <w:szCs w:val="16"/>
              <w:lang w:val="es-ES_tradnl"/>
            </w:rPr>
            <w:t xml:space="preserve">Convención </w:t>
          </w:r>
          <w:r w:rsidR="00F31B37">
            <w:rPr>
              <w:rFonts w:ascii="Verdana" w:hAnsi="Verdana"/>
              <w:b/>
              <w:sz w:val="16"/>
              <w:szCs w:val="16"/>
              <w:lang w:val="es-ES_tradnl"/>
            </w:rPr>
            <w:t>2021</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31B37" w:rsidRPr="000A6EC7" w:rsidRDefault="000A6EC7"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rsidR="009D5E02" w:rsidRDefault="009D5E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E7182"/>
    <w:multiLevelType w:val="hybridMultilevel"/>
    <w:tmpl w:val="A8E4E2FA"/>
    <w:lvl w:ilvl="0" w:tplc="2A046596">
      <w:numFmt w:val="bullet"/>
      <w:lvlText w:val="-"/>
      <w:lvlJc w:val="left"/>
      <w:pPr>
        <w:ind w:left="720" w:hanging="360"/>
      </w:pPr>
      <w:rPr>
        <w:rFonts w:ascii="Arial" w:eastAsia="Calibri"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D44C1"/>
    <w:multiLevelType w:val="hybridMultilevel"/>
    <w:tmpl w:val="B45E18C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6154A"/>
    <w:multiLevelType w:val="hybridMultilevel"/>
    <w:tmpl w:val="DD84AD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591E1A9E"/>
    <w:multiLevelType w:val="hybridMultilevel"/>
    <w:tmpl w:val="894A687A"/>
    <w:lvl w:ilvl="0" w:tplc="2A046596">
      <w:numFmt w:val="bullet"/>
      <w:lvlText w:val="-"/>
      <w:lvlJc w:val="left"/>
      <w:pPr>
        <w:ind w:left="720" w:hanging="360"/>
      </w:pPr>
      <w:rPr>
        <w:rFonts w:ascii="Arial" w:eastAsia="Calibr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A7066D"/>
    <w:multiLevelType w:val="hybridMultilevel"/>
    <w:tmpl w:val="C97C5060"/>
    <w:lvl w:ilvl="0" w:tplc="2A046596">
      <w:numFmt w:val="bullet"/>
      <w:lvlText w:val="-"/>
      <w:lvlJc w:val="left"/>
      <w:pPr>
        <w:ind w:left="720" w:hanging="360"/>
      </w:pPr>
      <w:rPr>
        <w:rFonts w:ascii="Arial" w:eastAsia="Calibri" w:hAnsi="Arial" w:cs="Arial"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F030367"/>
    <w:multiLevelType w:val="hybridMultilevel"/>
    <w:tmpl w:val="54ACC464"/>
    <w:lvl w:ilvl="0" w:tplc="2A046596">
      <w:numFmt w:val="bullet"/>
      <w:lvlText w:val="-"/>
      <w:lvlJc w:val="left"/>
      <w:pPr>
        <w:ind w:left="720" w:hanging="360"/>
      </w:pPr>
      <w:rPr>
        <w:rFonts w:ascii="Arial" w:eastAsia="Calibri"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77A3A"/>
    <w:multiLevelType w:val="hybridMultilevel"/>
    <w:tmpl w:val="6BD42B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B401EEE"/>
    <w:multiLevelType w:val="hybridMultilevel"/>
    <w:tmpl w:val="3334C096"/>
    <w:lvl w:ilvl="0" w:tplc="C93A72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56022"/>
    <w:rsid w:val="000A6EC7"/>
    <w:rsid w:val="000C14DC"/>
    <w:rsid w:val="00162A99"/>
    <w:rsid w:val="002E0882"/>
    <w:rsid w:val="002E272A"/>
    <w:rsid w:val="00403285"/>
    <w:rsid w:val="005754D8"/>
    <w:rsid w:val="005F7502"/>
    <w:rsid w:val="006271E4"/>
    <w:rsid w:val="00667F10"/>
    <w:rsid w:val="00671849"/>
    <w:rsid w:val="007455FF"/>
    <w:rsid w:val="00815971"/>
    <w:rsid w:val="0088159E"/>
    <w:rsid w:val="008A1C16"/>
    <w:rsid w:val="008A2CFA"/>
    <w:rsid w:val="009061A5"/>
    <w:rsid w:val="0091621C"/>
    <w:rsid w:val="009B1EF2"/>
    <w:rsid w:val="009D5E02"/>
    <w:rsid w:val="009D67CD"/>
    <w:rsid w:val="00A156A5"/>
    <w:rsid w:val="00A21A1F"/>
    <w:rsid w:val="00A62A14"/>
    <w:rsid w:val="00AE534B"/>
    <w:rsid w:val="00B2024E"/>
    <w:rsid w:val="00B57C98"/>
    <w:rsid w:val="00B80E97"/>
    <w:rsid w:val="00BC770B"/>
    <w:rsid w:val="00C16AD5"/>
    <w:rsid w:val="00C17100"/>
    <w:rsid w:val="00C8585B"/>
    <w:rsid w:val="00CD2BC3"/>
    <w:rsid w:val="00D36D1C"/>
    <w:rsid w:val="00D5035B"/>
    <w:rsid w:val="00D73DE9"/>
    <w:rsid w:val="00DA747D"/>
    <w:rsid w:val="00E40131"/>
    <w:rsid w:val="00E912D0"/>
    <w:rsid w:val="00F07FC6"/>
    <w:rsid w:val="00F12C6E"/>
    <w:rsid w:val="00F31B37"/>
    <w:rsid w:val="00F56AEF"/>
    <w:rsid w:val="00F9373E"/>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independiente">
    <w:name w:val="Body Text"/>
    <w:basedOn w:val="Normal"/>
    <w:link w:val="TextoindependienteCar"/>
    <w:rsid w:val="00DA747D"/>
    <w:pPr>
      <w:spacing w:after="0" w:line="240" w:lineRule="auto"/>
      <w:jc w:val="center"/>
    </w:pPr>
    <w:rPr>
      <w:rFonts w:ascii="Times New Roman" w:eastAsia="Times New Roman" w:hAnsi="Times New Roman" w:cs="Times New Roman"/>
      <w:b/>
      <w:sz w:val="24"/>
      <w:szCs w:val="20"/>
      <w:lang w:val="es-CL" w:eastAsia="es-ES"/>
    </w:rPr>
  </w:style>
  <w:style w:type="character" w:customStyle="1" w:styleId="TextoindependienteCar">
    <w:name w:val="Texto independiente Car"/>
    <w:basedOn w:val="Fuentedeprrafopredeter"/>
    <w:link w:val="Textoindependiente"/>
    <w:rsid w:val="00DA747D"/>
    <w:rPr>
      <w:rFonts w:ascii="Times New Roman" w:eastAsia="Times New Roman" w:hAnsi="Times New Roman" w:cs="Times New Roman"/>
      <w:b/>
      <w:sz w:val="24"/>
      <w:szCs w:val="20"/>
      <w:lang w:val="es-CL" w:eastAsia="es-ES"/>
    </w:rPr>
  </w:style>
  <w:style w:type="paragraph" w:styleId="NormalWeb">
    <w:name w:val="Normal (Web)"/>
    <w:basedOn w:val="Normal"/>
    <w:uiPriority w:val="99"/>
    <w:rsid w:val="00DA747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DA747D"/>
    <w:pPr>
      <w:spacing w:line="240" w:lineRule="auto"/>
    </w:pPr>
    <w:rPr>
      <w:rFonts w:ascii="Calibri" w:eastAsia="Times New Roman" w:hAnsi="Calibri" w:cs="Times New Roman"/>
      <w:b/>
      <w:bCs/>
      <w:smallCaps/>
      <w:color w:val="595959"/>
      <w:sz w:val="21"/>
      <w:szCs w:val="21"/>
      <w:lang w:val="es-ES_tradnl"/>
    </w:rPr>
  </w:style>
  <w:style w:type="character" w:styleId="Refdenotaalpie">
    <w:name w:val="footnote reference"/>
    <w:uiPriority w:val="99"/>
    <w:semiHidden/>
    <w:rsid w:val="00F12C6E"/>
    <w:rPr>
      <w:vertAlign w:val="superscript"/>
    </w:rPr>
  </w:style>
  <w:style w:type="paragraph" w:styleId="Textonotapie">
    <w:name w:val="footnote text"/>
    <w:basedOn w:val="Normal"/>
    <w:link w:val="TextonotapieCar"/>
    <w:uiPriority w:val="99"/>
    <w:semiHidden/>
    <w:rsid w:val="00F12C6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F12C6E"/>
    <w:rPr>
      <w:rFonts w:ascii="Times New Roman" w:eastAsia="Times New Roman" w:hAnsi="Times New Roman" w:cs="Times New Roman"/>
      <w:sz w:val="20"/>
      <w:szCs w:val="20"/>
      <w:lang w:eastAsia="es-ES"/>
    </w:rPr>
  </w:style>
  <w:style w:type="table" w:styleId="Tablaconcuadrcula">
    <w:name w:val="Table Grid"/>
    <w:basedOn w:val="Tablanormal"/>
    <w:uiPriority w:val="39"/>
    <w:rsid w:val="00F12C6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espon@uclv.edu.cu"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hyperlink" Target="http://dx.doi.org/10.6036/3734" TargetMode="External"/><Relationship Id="rId7" Type="http://schemas.openxmlformats.org/officeDocument/2006/relationships/hyperlink" Target="mailto:andreyvz@uclv.edu.cu" TargetMode="Externa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diagramQuickStyle" Target="diagrams/quickStyle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diagramData" Target="diagrams/data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marrero@uclv.edu.cu"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charts/_rels/chart1.xml.rels><?xml version="1.0" encoding="UTF-8" standalone="yes"?>
<Relationships xmlns="http://schemas.openxmlformats.org/package/2006/relationships"><Relationship Id="rId3" Type="http://schemas.openxmlformats.org/officeDocument/2006/relationships/oleObject" Target="file:///D:\_Documents%20and%20workings\_PhD\_Papers\SC-performance\Estudios%20Gerenciales\grafic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Sheet1!$I$6</c:f>
              <c:strCache>
                <c:ptCount val="1"/>
                <c:pt idx="0">
                  <c:v>Peso ponderado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tx>
                <c:rich>
                  <a:bodyPr/>
                  <a:lstStyle/>
                  <a:p>
                    <a:r>
                      <a:rPr lang="en-US"/>
                      <a:t>0,2391</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651-42E3-BCAB-03BA432963E1}"/>
                </c:ext>
                <c:ext xmlns:c15="http://schemas.microsoft.com/office/drawing/2012/chart" uri="{CE6537A1-D6FC-4f65-9D91-7224C49458BB}"/>
              </c:extLst>
            </c:dLbl>
            <c:dLbl>
              <c:idx val="1"/>
              <c:tx>
                <c:rich>
                  <a:bodyPr/>
                  <a:lstStyle/>
                  <a:p>
                    <a:r>
                      <a:rPr lang="en-US"/>
                      <a:t>0,2552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651-42E3-BCAB-03BA432963E1}"/>
                </c:ext>
                <c:ext xmlns:c15="http://schemas.microsoft.com/office/drawing/2012/chart" uri="{CE6537A1-D6FC-4f65-9D91-7224C49458BB}"/>
              </c:extLst>
            </c:dLbl>
            <c:dLbl>
              <c:idx val="2"/>
              <c:tx>
                <c:rich>
                  <a:bodyPr/>
                  <a:lstStyle/>
                  <a:p>
                    <a:r>
                      <a:rPr lang="en-US"/>
                      <a:t>0,1015</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651-42E3-BCAB-03BA432963E1}"/>
                </c:ext>
                <c:ext xmlns:c15="http://schemas.microsoft.com/office/drawing/2012/chart" uri="{CE6537A1-D6FC-4f65-9D91-7224C49458BB}"/>
              </c:extLst>
            </c:dLbl>
            <c:dLbl>
              <c:idx val="3"/>
              <c:tx>
                <c:rich>
                  <a:bodyPr/>
                  <a:lstStyle/>
                  <a:p>
                    <a:r>
                      <a:rPr lang="en-US"/>
                      <a:t>0,1934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651-42E3-BCAB-03BA432963E1}"/>
                </c:ext>
                <c:ext xmlns:c15="http://schemas.microsoft.com/office/drawing/2012/chart" uri="{CE6537A1-D6FC-4f65-9D91-7224C49458BB}"/>
              </c:extLst>
            </c:dLbl>
            <c:dLbl>
              <c:idx val="4"/>
              <c:tx>
                <c:rich>
                  <a:bodyPr/>
                  <a:lstStyle/>
                  <a:p>
                    <a:r>
                      <a:rPr lang="en-US"/>
                      <a:t>0,2107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651-42E3-BCAB-03BA432963E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Sheet1!$H$7:$H$11</c:f>
              <c:strCache>
                <c:ptCount val="5"/>
                <c:pt idx="0">
                  <c:v>Productividad</c:v>
                </c:pt>
                <c:pt idx="1">
                  <c:v>Nivel de servicio al cliente</c:v>
                </c:pt>
                <c:pt idx="2">
                  <c:v>Tasa de valor agregado</c:v>
                </c:pt>
                <c:pt idx="3">
                  <c:v>Eco-eficiencia</c:v>
                </c:pt>
                <c:pt idx="4">
                  <c:v>Rentabilidad</c:v>
                </c:pt>
              </c:strCache>
            </c:strRef>
          </c:cat>
          <c:val>
            <c:numRef>
              <c:f>Sheet1!$I$7:$I$11</c:f>
              <c:numCache>
                <c:formatCode>General</c:formatCode>
                <c:ptCount val="5"/>
                <c:pt idx="0">
                  <c:v>0.23910000000000001</c:v>
                </c:pt>
                <c:pt idx="1">
                  <c:v>0.25519999999999998</c:v>
                </c:pt>
                <c:pt idx="2">
                  <c:v>0.10150000000000001</c:v>
                </c:pt>
                <c:pt idx="3">
                  <c:v>0.19339999999999999</c:v>
                </c:pt>
                <c:pt idx="4">
                  <c:v>0.2107</c:v>
                </c:pt>
              </c:numCache>
            </c:numRef>
          </c:val>
          <c:extLst xmlns:c16r2="http://schemas.microsoft.com/office/drawing/2015/06/chart">
            <c:ext xmlns:c16="http://schemas.microsoft.com/office/drawing/2014/chart" uri="{C3380CC4-5D6E-409C-BE32-E72D297353CC}">
              <c16:uniqueId val="{00000005-5651-42E3-BCAB-03BA432963E1}"/>
            </c:ext>
          </c:extLst>
        </c:ser>
        <c:ser>
          <c:idx val="1"/>
          <c:order val="1"/>
          <c:tx>
            <c:strRef>
              <c:f>Sheet1!$J$6</c:f>
              <c:strCache>
                <c:ptCount val="1"/>
                <c:pt idx="0">
                  <c:v>Valor del criterio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tx>
                <c:rich>
                  <a:bodyPr/>
                  <a:lstStyle/>
                  <a:p>
                    <a:r>
                      <a:rPr lang="en-US"/>
                      <a:t>0,77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651-42E3-BCAB-03BA432963E1}"/>
                </c:ext>
                <c:ext xmlns:c15="http://schemas.microsoft.com/office/drawing/2012/chart" uri="{CE6537A1-D6FC-4f65-9D91-7224C49458BB}"/>
              </c:extLst>
            </c:dLbl>
            <c:dLbl>
              <c:idx val="1"/>
              <c:tx>
                <c:rich>
                  <a:bodyPr/>
                  <a:lstStyle/>
                  <a:p>
                    <a:r>
                      <a:rPr lang="en-US"/>
                      <a:t>0,93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651-42E3-BCAB-03BA432963E1}"/>
                </c:ext>
                <c:ext xmlns:c15="http://schemas.microsoft.com/office/drawing/2012/chart" uri="{CE6537A1-D6FC-4f65-9D91-7224C49458BB}"/>
              </c:extLst>
            </c:dLbl>
            <c:dLbl>
              <c:idx val="2"/>
              <c:tx>
                <c:rich>
                  <a:bodyPr/>
                  <a:lstStyle/>
                  <a:p>
                    <a:r>
                      <a:rPr lang="en-US"/>
                      <a:t>1,00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651-42E3-BCAB-03BA432963E1}"/>
                </c:ext>
                <c:ext xmlns:c15="http://schemas.microsoft.com/office/drawing/2012/chart" uri="{CE6537A1-D6FC-4f65-9D91-7224C49458BB}"/>
              </c:extLst>
            </c:dLbl>
            <c:dLbl>
              <c:idx val="3"/>
              <c:tx>
                <c:rich>
                  <a:bodyPr/>
                  <a:lstStyle/>
                  <a:p>
                    <a:r>
                      <a:rPr lang="en-US"/>
                      <a:t>0,73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651-42E3-BCAB-03BA432963E1}"/>
                </c:ext>
                <c:ext xmlns:c15="http://schemas.microsoft.com/office/drawing/2012/chart" uri="{CE6537A1-D6FC-4f65-9D91-7224C49458BB}"/>
              </c:extLst>
            </c:dLbl>
            <c:dLbl>
              <c:idx val="4"/>
              <c:tx>
                <c:rich>
                  <a:bodyPr/>
                  <a:lstStyle/>
                  <a:p>
                    <a:r>
                      <a:rPr lang="en-US"/>
                      <a:t>0,03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651-42E3-BCAB-03BA432963E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Sheet1!$H$7:$H$11</c:f>
              <c:strCache>
                <c:ptCount val="5"/>
                <c:pt idx="0">
                  <c:v>Productividad</c:v>
                </c:pt>
                <c:pt idx="1">
                  <c:v>Nivel de servicio al cliente</c:v>
                </c:pt>
                <c:pt idx="2">
                  <c:v>Tasa de valor agregado</c:v>
                </c:pt>
                <c:pt idx="3">
                  <c:v>Eco-eficiencia</c:v>
                </c:pt>
                <c:pt idx="4">
                  <c:v>Rentabilidad</c:v>
                </c:pt>
              </c:strCache>
            </c:strRef>
          </c:cat>
          <c:val>
            <c:numRef>
              <c:f>Sheet1!$J$7:$J$11</c:f>
              <c:numCache>
                <c:formatCode>0\.00</c:formatCode>
                <c:ptCount val="5"/>
                <c:pt idx="0">
                  <c:v>0.76600000000000001</c:v>
                </c:pt>
                <c:pt idx="1">
                  <c:v>0.93</c:v>
                </c:pt>
                <c:pt idx="2">
                  <c:v>0.99870000000000003</c:v>
                </c:pt>
                <c:pt idx="3">
                  <c:v>0.72629999999999995</c:v>
                </c:pt>
                <c:pt idx="4">
                  <c:v>3.2800000000000003E-2</c:v>
                </c:pt>
              </c:numCache>
            </c:numRef>
          </c:val>
          <c:extLst xmlns:c16r2="http://schemas.microsoft.com/office/drawing/2015/06/chart">
            <c:ext xmlns:c16="http://schemas.microsoft.com/office/drawing/2014/chart" uri="{C3380CC4-5D6E-409C-BE32-E72D297353CC}">
              <c16:uniqueId val="{0000000B-5651-42E3-BCAB-03BA432963E1}"/>
            </c:ext>
          </c:extLst>
        </c:ser>
        <c:ser>
          <c:idx val="2"/>
          <c:order val="2"/>
          <c:tx>
            <c:strRef>
              <c:f>Sheet1!$K$6</c:f>
              <c:strCache>
                <c:ptCount val="1"/>
                <c:pt idx="0">
                  <c:v>Evaluación</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Sheet1!$H$7:$H$11</c:f>
              <c:strCache>
                <c:ptCount val="5"/>
                <c:pt idx="0">
                  <c:v>Productividad</c:v>
                </c:pt>
                <c:pt idx="1">
                  <c:v>Nivel de servicio al cliente</c:v>
                </c:pt>
                <c:pt idx="2">
                  <c:v>Tasa de valor agregado</c:v>
                </c:pt>
                <c:pt idx="3">
                  <c:v>Eco-eficiencia</c:v>
                </c:pt>
                <c:pt idx="4">
                  <c:v>Rentabilidad</c:v>
                </c:pt>
              </c:strCache>
            </c:strRef>
          </c:cat>
          <c:val>
            <c:numRef>
              <c:f>Sheet1!$K$7:$K$11</c:f>
              <c:numCache>
                <c:formatCode>General</c:formatCode>
                <c:ptCount val="5"/>
                <c:pt idx="0">
                  <c:v>3</c:v>
                </c:pt>
                <c:pt idx="1">
                  <c:v>4</c:v>
                </c:pt>
                <c:pt idx="2">
                  <c:v>5</c:v>
                </c:pt>
                <c:pt idx="3">
                  <c:v>1</c:v>
                </c:pt>
                <c:pt idx="4">
                  <c:v>2</c:v>
                </c:pt>
              </c:numCache>
            </c:numRef>
          </c:val>
          <c:extLst xmlns:c16r2="http://schemas.microsoft.com/office/drawing/2015/06/chart">
            <c:ext xmlns:c16="http://schemas.microsoft.com/office/drawing/2014/chart" uri="{C3380CC4-5D6E-409C-BE32-E72D297353CC}">
              <c16:uniqueId val="{0000000C-5651-42E3-BCAB-03BA432963E1}"/>
            </c:ext>
          </c:extLst>
        </c:ser>
        <c:dLbls>
          <c:dLblPos val="outEnd"/>
          <c:showLegendKey val="0"/>
          <c:showVal val="1"/>
          <c:showCatName val="0"/>
          <c:showSerName val="0"/>
          <c:showPercent val="0"/>
          <c:showBubbleSize val="0"/>
        </c:dLbls>
        <c:gapWidth val="100"/>
        <c:overlap val="-24"/>
        <c:axId val="341214080"/>
        <c:axId val="341218392"/>
      </c:barChart>
      <c:catAx>
        <c:axId val="3412140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341218392"/>
        <c:crosses val="autoZero"/>
        <c:auto val="1"/>
        <c:lblAlgn val="ctr"/>
        <c:lblOffset val="100"/>
        <c:noMultiLvlLbl val="0"/>
      </c:catAx>
      <c:valAx>
        <c:axId val="341218392"/>
        <c:scaling>
          <c:orientation val="minMax"/>
        </c:scaling>
        <c:delete val="0"/>
        <c:axPos val="l"/>
        <c:numFmt formatCode="General"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341214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598FC6-369C-4FE0-B16E-1A42196E9F29}"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lang="en-US"/>
        </a:p>
      </dgm:t>
    </dgm:pt>
    <dgm:pt modelId="{2B76724F-4599-4236-A0F5-46FB194FDCFC}">
      <dgm:prSet phldrT="[Text]" custT="1"/>
      <dgm:spPr/>
      <dgm:t>
        <a:bodyPr/>
        <a:lstStyle/>
        <a:p>
          <a:r>
            <a:rPr lang="en-US" sz="900" b="0">
              <a:latin typeface="Times New Roman" panose="02020603050405020304" pitchFamily="18" charset="0"/>
              <a:cs typeface="Times New Roman" panose="02020603050405020304" pitchFamily="18" charset="0"/>
            </a:rPr>
            <a:t>Eslabón de aprovisiona-miento</a:t>
          </a:r>
        </a:p>
      </dgm:t>
    </dgm:pt>
    <dgm:pt modelId="{BFE095A7-2DE7-4A96-8BC1-0167244169FC}" type="parTrans" cxnId="{A0049641-9FA8-493B-BFB3-1319F8376212}">
      <dgm:prSet/>
      <dgm:spPr/>
      <dgm:t>
        <a:bodyPr/>
        <a:lstStyle/>
        <a:p>
          <a:endParaRPr lang="en-US" sz="700" b="0">
            <a:latin typeface="Times New Roman" panose="02020603050405020304" pitchFamily="18" charset="0"/>
            <a:cs typeface="Times New Roman" panose="02020603050405020304" pitchFamily="18" charset="0"/>
          </a:endParaRPr>
        </a:p>
      </dgm:t>
    </dgm:pt>
    <dgm:pt modelId="{3D57E585-A62D-4BF1-A7A5-F729097E90D1}" type="sibTrans" cxnId="{A0049641-9FA8-493B-BFB3-1319F8376212}">
      <dgm:prSet/>
      <dgm:spPr/>
      <dgm:t>
        <a:bodyPr/>
        <a:lstStyle/>
        <a:p>
          <a:endParaRPr lang="en-US" sz="700" b="0">
            <a:latin typeface="Times New Roman" panose="02020603050405020304" pitchFamily="18" charset="0"/>
            <a:cs typeface="Times New Roman" panose="02020603050405020304" pitchFamily="18" charset="0"/>
          </a:endParaRPr>
        </a:p>
      </dgm:t>
    </dgm:pt>
    <dgm:pt modelId="{1DFC0AFC-4C3F-4DE9-9AE5-ED94F239A7E2}">
      <dgm:prSet phldrT="[Text]" custT="1"/>
      <dgm:spPr/>
      <dgm:t>
        <a:bodyPr/>
        <a:lstStyle/>
        <a:p>
          <a:r>
            <a:rPr lang="es-ES" sz="900" b="0">
              <a:latin typeface="Times New Roman" panose="02020603050405020304" pitchFamily="18" charset="0"/>
              <a:cs typeface="Times New Roman" panose="02020603050405020304" pitchFamily="18" charset="0"/>
            </a:rPr>
            <a:t>Compra de la materia prima (P-1)</a:t>
          </a:r>
          <a:endParaRPr lang="en-US" sz="900" b="0">
            <a:latin typeface="Times New Roman" panose="02020603050405020304" pitchFamily="18" charset="0"/>
            <a:cs typeface="Times New Roman" panose="02020603050405020304" pitchFamily="18" charset="0"/>
          </a:endParaRPr>
        </a:p>
      </dgm:t>
    </dgm:pt>
    <dgm:pt modelId="{0D52BEA9-F1C4-4D08-8668-E725E50AA382}" type="parTrans" cxnId="{FB519EFE-87C0-4242-AA5E-0B56C397E398}">
      <dgm:prSet/>
      <dgm:spPr/>
      <dgm:t>
        <a:bodyPr/>
        <a:lstStyle/>
        <a:p>
          <a:endParaRPr lang="en-US" sz="700" b="0">
            <a:latin typeface="Times New Roman" panose="02020603050405020304" pitchFamily="18" charset="0"/>
            <a:cs typeface="Times New Roman" panose="02020603050405020304" pitchFamily="18" charset="0"/>
          </a:endParaRPr>
        </a:p>
      </dgm:t>
    </dgm:pt>
    <dgm:pt modelId="{83570E6F-0A2F-4537-ABBC-8B2E110C3A17}" type="sibTrans" cxnId="{FB519EFE-87C0-4242-AA5E-0B56C397E398}">
      <dgm:prSet/>
      <dgm:spPr/>
      <dgm:t>
        <a:bodyPr/>
        <a:lstStyle/>
        <a:p>
          <a:endParaRPr lang="en-US" sz="700" b="0">
            <a:latin typeface="Times New Roman" panose="02020603050405020304" pitchFamily="18" charset="0"/>
            <a:cs typeface="Times New Roman" panose="02020603050405020304" pitchFamily="18" charset="0"/>
          </a:endParaRPr>
        </a:p>
      </dgm:t>
    </dgm:pt>
    <dgm:pt modelId="{248A8175-C93B-43D1-B05B-F61DA58FF0BF}">
      <dgm:prSet phldrT="[Text]" custT="1"/>
      <dgm:spPr/>
      <dgm:t>
        <a:bodyPr/>
        <a:lstStyle/>
        <a:p>
          <a:r>
            <a:rPr lang="en-US" sz="900" b="0">
              <a:latin typeface="Times New Roman" panose="02020603050405020304" pitchFamily="18" charset="0"/>
              <a:cs typeface="Times New Roman" panose="02020603050405020304" pitchFamily="18" charset="0"/>
            </a:rPr>
            <a:t>Eslabón de producc</a:t>
          </a:r>
          <a:r>
            <a:rPr lang="es-ES" sz="900" b="0">
              <a:latin typeface="Times New Roman" panose="02020603050405020304" pitchFamily="18" charset="0"/>
              <a:cs typeface="Times New Roman" panose="02020603050405020304" pitchFamily="18" charset="0"/>
            </a:rPr>
            <a:t>ión</a:t>
          </a:r>
          <a:endParaRPr lang="en-US" sz="900" b="0">
            <a:latin typeface="Times New Roman" panose="02020603050405020304" pitchFamily="18" charset="0"/>
            <a:cs typeface="Times New Roman" panose="02020603050405020304" pitchFamily="18" charset="0"/>
          </a:endParaRPr>
        </a:p>
      </dgm:t>
    </dgm:pt>
    <dgm:pt modelId="{65FBA841-4CBC-45F4-84DA-BBE0349BC81A}" type="parTrans" cxnId="{CD33ECA0-B213-4BAC-8E67-4E9D53D17E18}">
      <dgm:prSet/>
      <dgm:spPr/>
      <dgm:t>
        <a:bodyPr/>
        <a:lstStyle/>
        <a:p>
          <a:endParaRPr lang="en-US" sz="700" b="0">
            <a:latin typeface="Times New Roman" panose="02020603050405020304" pitchFamily="18" charset="0"/>
            <a:cs typeface="Times New Roman" panose="02020603050405020304" pitchFamily="18" charset="0"/>
          </a:endParaRPr>
        </a:p>
      </dgm:t>
    </dgm:pt>
    <dgm:pt modelId="{1063B4B1-05F7-49A0-B56D-694307F98134}" type="sibTrans" cxnId="{CD33ECA0-B213-4BAC-8E67-4E9D53D17E18}">
      <dgm:prSet/>
      <dgm:spPr/>
      <dgm:t>
        <a:bodyPr/>
        <a:lstStyle/>
        <a:p>
          <a:endParaRPr lang="en-US" sz="700" b="0">
            <a:latin typeface="Times New Roman" panose="02020603050405020304" pitchFamily="18" charset="0"/>
            <a:cs typeface="Times New Roman" panose="02020603050405020304" pitchFamily="18" charset="0"/>
          </a:endParaRPr>
        </a:p>
      </dgm:t>
    </dgm:pt>
    <dgm:pt modelId="{EF913F6B-0AD8-4EFC-BBB5-C12B0552E876}">
      <dgm:prSet phldrT="[Text]" custT="1"/>
      <dgm:spPr/>
      <dgm:t>
        <a:bodyPr/>
        <a:lstStyle/>
        <a:p>
          <a:r>
            <a:rPr lang="es-ES" sz="900" b="0">
              <a:latin typeface="Times New Roman" panose="02020603050405020304" pitchFamily="18" charset="0"/>
              <a:cs typeface="Times New Roman" panose="02020603050405020304" pitchFamily="18" charset="0"/>
            </a:rPr>
            <a:t>Aprovisionamiento del laboratorio (P-5)</a:t>
          </a:r>
          <a:endParaRPr lang="en-US" sz="900" b="0">
            <a:latin typeface="Times New Roman" panose="02020603050405020304" pitchFamily="18" charset="0"/>
            <a:cs typeface="Times New Roman" panose="02020603050405020304" pitchFamily="18" charset="0"/>
          </a:endParaRPr>
        </a:p>
      </dgm:t>
    </dgm:pt>
    <dgm:pt modelId="{E4B7B5B7-72B8-48A9-9770-6AE04D7E5081}" type="parTrans" cxnId="{AA2C6F4D-FF37-4ABD-8CFE-35DFC604FD15}">
      <dgm:prSet/>
      <dgm:spPr/>
      <dgm:t>
        <a:bodyPr/>
        <a:lstStyle/>
        <a:p>
          <a:endParaRPr lang="en-US" sz="700" b="0">
            <a:latin typeface="Times New Roman" panose="02020603050405020304" pitchFamily="18" charset="0"/>
            <a:cs typeface="Times New Roman" panose="02020603050405020304" pitchFamily="18" charset="0"/>
          </a:endParaRPr>
        </a:p>
      </dgm:t>
    </dgm:pt>
    <dgm:pt modelId="{88581F67-D13A-4B84-83C0-8485236BEC96}" type="sibTrans" cxnId="{AA2C6F4D-FF37-4ABD-8CFE-35DFC604FD15}">
      <dgm:prSet/>
      <dgm:spPr/>
      <dgm:t>
        <a:bodyPr/>
        <a:lstStyle/>
        <a:p>
          <a:endParaRPr lang="en-US" sz="700" b="0">
            <a:latin typeface="Times New Roman" panose="02020603050405020304" pitchFamily="18" charset="0"/>
            <a:cs typeface="Times New Roman" panose="02020603050405020304" pitchFamily="18" charset="0"/>
          </a:endParaRPr>
        </a:p>
      </dgm:t>
    </dgm:pt>
    <dgm:pt modelId="{DBE25742-636F-43BA-ACAD-6A3A23A57AEB}">
      <dgm:prSet phldrT="[Text]" custT="1"/>
      <dgm:spPr/>
      <dgm:t>
        <a:bodyPr/>
        <a:lstStyle/>
        <a:p>
          <a:r>
            <a:rPr lang="en-US" sz="900" b="0">
              <a:solidFill>
                <a:sysClr val="windowText" lastClr="000000"/>
              </a:solidFill>
              <a:latin typeface="Times New Roman" panose="02020603050405020304" pitchFamily="18" charset="0"/>
              <a:cs typeface="Times New Roman" panose="02020603050405020304" pitchFamily="18" charset="0"/>
            </a:rPr>
            <a:t>Eslabón de distribución</a:t>
          </a:r>
        </a:p>
      </dgm:t>
    </dgm:pt>
    <dgm:pt modelId="{D9FE6D92-A5A8-4193-A621-76C6CE5F85E5}" type="parTrans" cxnId="{8E4BC474-BBB9-417C-B704-C0DAE2B16028}">
      <dgm:prSet/>
      <dgm:spPr/>
      <dgm:t>
        <a:bodyPr/>
        <a:lstStyle/>
        <a:p>
          <a:endParaRPr lang="en-US" sz="700" b="0">
            <a:latin typeface="Times New Roman" panose="02020603050405020304" pitchFamily="18" charset="0"/>
            <a:cs typeface="Times New Roman" panose="02020603050405020304" pitchFamily="18" charset="0"/>
          </a:endParaRPr>
        </a:p>
      </dgm:t>
    </dgm:pt>
    <dgm:pt modelId="{CB7D75B1-D61C-4DB6-9429-19143C9D913C}" type="sibTrans" cxnId="{8E4BC474-BBB9-417C-B704-C0DAE2B16028}">
      <dgm:prSet/>
      <dgm:spPr/>
      <dgm:t>
        <a:bodyPr/>
        <a:lstStyle/>
        <a:p>
          <a:endParaRPr lang="en-US" sz="700" b="0">
            <a:latin typeface="Times New Roman" panose="02020603050405020304" pitchFamily="18" charset="0"/>
            <a:cs typeface="Times New Roman" panose="02020603050405020304" pitchFamily="18" charset="0"/>
          </a:endParaRPr>
        </a:p>
      </dgm:t>
    </dgm:pt>
    <dgm:pt modelId="{847E4802-B670-425A-8F60-0F6CF53C987B}">
      <dgm:prSet phldrT="[Text]" custT="1"/>
      <dgm:spPr/>
      <dgm:t>
        <a:bodyPr/>
        <a:lstStyle/>
        <a:p>
          <a:r>
            <a:rPr lang="es-ES" sz="900" b="0">
              <a:latin typeface="Times New Roman" panose="02020603050405020304" pitchFamily="18" charset="0"/>
              <a:cs typeface="Times New Roman" panose="02020603050405020304" pitchFamily="18" charset="0"/>
            </a:rPr>
            <a:t>Comunicación a los clientes sobre </a:t>
          </a:r>
          <a:endParaRPr lang="en-US" sz="900" b="0">
            <a:latin typeface="Times New Roman" panose="02020603050405020304" pitchFamily="18" charset="0"/>
            <a:cs typeface="Times New Roman" panose="02020603050405020304" pitchFamily="18" charset="0"/>
          </a:endParaRPr>
        </a:p>
      </dgm:t>
    </dgm:pt>
    <dgm:pt modelId="{0AA049ED-D45D-4DF7-BE15-AF310479CCD6}" type="parTrans" cxnId="{55C45696-B17E-44B1-BCA5-70B3B9318E55}">
      <dgm:prSet/>
      <dgm:spPr/>
      <dgm:t>
        <a:bodyPr/>
        <a:lstStyle/>
        <a:p>
          <a:endParaRPr lang="en-US" sz="700" b="0">
            <a:latin typeface="Times New Roman" panose="02020603050405020304" pitchFamily="18" charset="0"/>
            <a:cs typeface="Times New Roman" panose="02020603050405020304" pitchFamily="18" charset="0"/>
          </a:endParaRPr>
        </a:p>
      </dgm:t>
    </dgm:pt>
    <dgm:pt modelId="{7E2320E0-8F47-4133-9CE3-2661BF0EBDFA}" type="sibTrans" cxnId="{55C45696-B17E-44B1-BCA5-70B3B9318E55}">
      <dgm:prSet/>
      <dgm:spPr/>
      <dgm:t>
        <a:bodyPr/>
        <a:lstStyle/>
        <a:p>
          <a:endParaRPr lang="en-US" sz="700" b="0">
            <a:latin typeface="Times New Roman" panose="02020603050405020304" pitchFamily="18" charset="0"/>
            <a:cs typeface="Times New Roman" panose="02020603050405020304" pitchFamily="18" charset="0"/>
          </a:endParaRPr>
        </a:p>
      </dgm:t>
    </dgm:pt>
    <dgm:pt modelId="{D0733764-544D-4EC4-A175-1DAD6A43B59D}">
      <dgm:prSet custT="1"/>
      <dgm:spPr/>
      <dgm:t>
        <a:bodyPr/>
        <a:lstStyle/>
        <a:p>
          <a:r>
            <a:rPr lang="es-ES" sz="900" b="0">
              <a:latin typeface="Times New Roman" panose="02020603050405020304" pitchFamily="18" charset="0"/>
              <a:cs typeface="Times New Roman" panose="02020603050405020304" pitchFamily="18" charset="0"/>
            </a:rPr>
            <a:t>Contratación del transporte (P-2)</a:t>
          </a:r>
          <a:endParaRPr lang="en-US" sz="900" b="0">
            <a:latin typeface="Times New Roman" panose="02020603050405020304" pitchFamily="18" charset="0"/>
            <a:cs typeface="Times New Roman" panose="02020603050405020304" pitchFamily="18" charset="0"/>
          </a:endParaRPr>
        </a:p>
      </dgm:t>
    </dgm:pt>
    <dgm:pt modelId="{38ABDDC7-45D1-4A85-B651-07871C69B00D}" type="parTrans" cxnId="{794025F4-2F64-470F-AB5D-FE854FDC843B}">
      <dgm:prSet/>
      <dgm:spPr/>
      <dgm:t>
        <a:bodyPr/>
        <a:lstStyle/>
        <a:p>
          <a:endParaRPr lang="en-US" sz="700" b="0">
            <a:latin typeface="Times New Roman" panose="02020603050405020304" pitchFamily="18" charset="0"/>
            <a:cs typeface="Times New Roman" panose="02020603050405020304" pitchFamily="18" charset="0"/>
          </a:endParaRPr>
        </a:p>
      </dgm:t>
    </dgm:pt>
    <dgm:pt modelId="{5661270A-5432-49CF-B574-E69FD9449874}" type="sibTrans" cxnId="{794025F4-2F64-470F-AB5D-FE854FDC843B}">
      <dgm:prSet/>
      <dgm:spPr/>
      <dgm:t>
        <a:bodyPr/>
        <a:lstStyle/>
        <a:p>
          <a:endParaRPr lang="en-US" sz="700" b="0">
            <a:latin typeface="Times New Roman" panose="02020603050405020304" pitchFamily="18" charset="0"/>
            <a:cs typeface="Times New Roman" panose="02020603050405020304" pitchFamily="18" charset="0"/>
          </a:endParaRPr>
        </a:p>
      </dgm:t>
    </dgm:pt>
    <dgm:pt modelId="{CDC73EA7-F60F-48D5-AAAB-3F95D4F2A56B}">
      <dgm:prSet custT="1"/>
      <dgm:spPr/>
      <dgm:t>
        <a:bodyPr/>
        <a:lstStyle/>
        <a:p>
          <a:r>
            <a:rPr lang="es-ES" sz="900" b="0">
              <a:latin typeface="Times New Roman" panose="02020603050405020304" pitchFamily="18" charset="0"/>
              <a:cs typeface="Times New Roman" panose="02020603050405020304" pitchFamily="18" charset="0"/>
            </a:rPr>
            <a:t>Revisión de la materia prima (P-3)</a:t>
          </a:r>
          <a:endParaRPr lang="en-US" sz="900" b="0">
            <a:latin typeface="Times New Roman" panose="02020603050405020304" pitchFamily="18" charset="0"/>
            <a:cs typeface="Times New Roman" panose="02020603050405020304" pitchFamily="18" charset="0"/>
          </a:endParaRPr>
        </a:p>
      </dgm:t>
    </dgm:pt>
    <dgm:pt modelId="{9B73A05E-F3F1-4B68-A8D6-50104493873A}" type="parTrans" cxnId="{BE3B73B5-20A0-4273-990D-4E7CDE2B1463}">
      <dgm:prSet/>
      <dgm:spPr/>
      <dgm:t>
        <a:bodyPr/>
        <a:lstStyle/>
        <a:p>
          <a:endParaRPr lang="en-US" sz="700" b="0">
            <a:latin typeface="Times New Roman" panose="02020603050405020304" pitchFamily="18" charset="0"/>
            <a:cs typeface="Times New Roman" panose="02020603050405020304" pitchFamily="18" charset="0"/>
          </a:endParaRPr>
        </a:p>
      </dgm:t>
    </dgm:pt>
    <dgm:pt modelId="{78011348-2685-46DA-A595-628D3584A7AB}" type="sibTrans" cxnId="{BE3B73B5-20A0-4273-990D-4E7CDE2B1463}">
      <dgm:prSet/>
      <dgm:spPr/>
      <dgm:t>
        <a:bodyPr/>
        <a:lstStyle/>
        <a:p>
          <a:endParaRPr lang="en-US" sz="700" b="0">
            <a:latin typeface="Times New Roman" panose="02020603050405020304" pitchFamily="18" charset="0"/>
            <a:cs typeface="Times New Roman" panose="02020603050405020304" pitchFamily="18" charset="0"/>
          </a:endParaRPr>
        </a:p>
      </dgm:t>
    </dgm:pt>
    <dgm:pt modelId="{A3586AAA-F70A-44A4-91F9-9C809E4E5335}">
      <dgm:prSet custT="1"/>
      <dgm:spPr/>
      <dgm:t>
        <a:bodyPr/>
        <a:lstStyle/>
        <a:p>
          <a:r>
            <a:rPr lang="es-ES" sz="900" b="0">
              <a:latin typeface="Times New Roman" panose="02020603050405020304" pitchFamily="18" charset="0"/>
              <a:cs typeface="Times New Roman" panose="02020603050405020304" pitchFamily="18" charset="0"/>
            </a:rPr>
            <a:t>Transporte de la materia prima hasta el almacén de materia prima (OP-4)</a:t>
          </a:r>
          <a:endParaRPr lang="en-US" sz="900" b="0">
            <a:latin typeface="Times New Roman" panose="02020603050405020304" pitchFamily="18" charset="0"/>
            <a:cs typeface="Times New Roman" panose="02020603050405020304" pitchFamily="18" charset="0"/>
          </a:endParaRPr>
        </a:p>
      </dgm:t>
    </dgm:pt>
    <dgm:pt modelId="{642D081D-A54C-4730-87A2-4260606875AD}" type="parTrans" cxnId="{B4D30A1E-1482-45EC-8AFD-327B1F711E81}">
      <dgm:prSet/>
      <dgm:spPr/>
      <dgm:t>
        <a:bodyPr/>
        <a:lstStyle/>
        <a:p>
          <a:endParaRPr lang="en-US" sz="700" b="0">
            <a:latin typeface="Times New Roman" panose="02020603050405020304" pitchFamily="18" charset="0"/>
            <a:cs typeface="Times New Roman" panose="02020603050405020304" pitchFamily="18" charset="0"/>
          </a:endParaRPr>
        </a:p>
      </dgm:t>
    </dgm:pt>
    <dgm:pt modelId="{8E1EDBDC-14BB-4BA1-B0EE-AD9229DDF34F}" type="sibTrans" cxnId="{B4D30A1E-1482-45EC-8AFD-327B1F711E81}">
      <dgm:prSet/>
      <dgm:spPr/>
      <dgm:t>
        <a:bodyPr/>
        <a:lstStyle/>
        <a:p>
          <a:endParaRPr lang="en-US" sz="700" b="0">
            <a:latin typeface="Times New Roman" panose="02020603050405020304" pitchFamily="18" charset="0"/>
            <a:cs typeface="Times New Roman" panose="02020603050405020304" pitchFamily="18" charset="0"/>
          </a:endParaRPr>
        </a:p>
      </dgm:t>
    </dgm:pt>
    <dgm:pt modelId="{DDD581C5-BCA5-4629-A604-F68F29167181}">
      <dgm:prSet custT="1"/>
      <dgm:spPr/>
      <dgm:t>
        <a:bodyPr/>
        <a:lstStyle/>
        <a:p>
          <a:r>
            <a:rPr lang="es-ES" sz="900" b="0">
              <a:latin typeface="Times New Roman" panose="02020603050405020304" pitchFamily="18" charset="0"/>
              <a:cs typeface="Times New Roman" panose="02020603050405020304" pitchFamily="18" charset="0"/>
            </a:rPr>
            <a:t>Preparación de la materia prima (P-6)</a:t>
          </a:r>
          <a:endParaRPr lang="en-US" sz="900" b="0">
            <a:latin typeface="Times New Roman" panose="02020603050405020304" pitchFamily="18" charset="0"/>
            <a:cs typeface="Times New Roman" panose="02020603050405020304" pitchFamily="18" charset="0"/>
          </a:endParaRPr>
        </a:p>
      </dgm:t>
    </dgm:pt>
    <dgm:pt modelId="{E84F0C1A-3777-4169-ADF3-F809EDE6672D}" type="parTrans" cxnId="{C55B12DB-1B15-4F67-8948-C27B4746C2BE}">
      <dgm:prSet/>
      <dgm:spPr/>
      <dgm:t>
        <a:bodyPr/>
        <a:lstStyle/>
        <a:p>
          <a:endParaRPr lang="en-US" sz="700" b="0">
            <a:latin typeface="Times New Roman" panose="02020603050405020304" pitchFamily="18" charset="0"/>
            <a:cs typeface="Times New Roman" panose="02020603050405020304" pitchFamily="18" charset="0"/>
          </a:endParaRPr>
        </a:p>
      </dgm:t>
    </dgm:pt>
    <dgm:pt modelId="{AB01F570-82D5-4F88-B60B-9CFA3B896B7E}" type="sibTrans" cxnId="{C55B12DB-1B15-4F67-8948-C27B4746C2BE}">
      <dgm:prSet/>
      <dgm:spPr/>
      <dgm:t>
        <a:bodyPr/>
        <a:lstStyle/>
        <a:p>
          <a:endParaRPr lang="en-US" sz="700" b="0">
            <a:latin typeface="Times New Roman" panose="02020603050405020304" pitchFamily="18" charset="0"/>
            <a:cs typeface="Times New Roman" panose="02020603050405020304" pitchFamily="18" charset="0"/>
          </a:endParaRPr>
        </a:p>
      </dgm:t>
    </dgm:pt>
    <dgm:pt modelId="{1BEBCACD-5EE1-40F0-B18F-8B1E096F9AC2}">
      <dgm:prSet custT="1"/>
      <dgm:spPr/>
      <dgm:t>
        <a:bodyPr/>
        <a:lstStyle/>
        <a:p>
          <a:r>
            <a:rPr lang="es-ES" sz="900" b="0">
              <a:latin typeface="Times New Roman" panose="02020603050405020304" pitchFamily="18" charset="0"/>
              <a:cs typeface="Times New Roman" panose="02020603050405020304" pitchFamily="18" charset="0"/>
            </a:rPr>
            <a:t>Calibración de los CEE (P-7)</a:t>
          </a:r>
          <a:endParaRPr lang="en-US" sz="900" b="0">
            <a:latin typeface="Times New Roman" panose="02020603050405020304" pitchFamily="18" charset="0"/>
            <a:cs typeface="Times New Roman" panose="02020603050405020304" pitchFamily="18" charset="0"/>
          </a:endParaRPr>
        </a:p>
      </dgm:t>
    </dgm:pt>
    <dgm:pt modelId="{FE60ED2B-2FB9-423E-BD21-BA318974543C}" type="parTrans" cxnId="{3DBCEE30-9558-4AA5-AA9D-EB97F73AD4CD}">
      <dgm:prSet/>
      <dgm:spPr/>
      <dgm:t>
        <a:bodyPr/>
        <a:lstStyle/>
        <a:p>
          <a:endParaRPr lang="en-US" sz="700" b="0">
            <a:latin typeface="Times New Roman" panose="02020603050405020304" pitchFamily="18" charset="0"/>
            <a:cs typeface="Times New Roman" panose="02020603050405020304" pitchFamily="18" charset="0"/>
          </a:endParaRPr>
        </a:p>
      </dgm:t>
    </dgm:pt>
    <dgm:pt modelId="{940B72DB-EBDB-465F-BB73-7FC2173486B7}" type="sibTrans" cxnId="{3DBCEE30-9558-4AA5-AA9D-EB97F73AD4CD}">
      <dgm:prSet/>
      <dgm:spPr/>
      <dgm:t>
        <a:bodyPr/>
        <a:lstStyle/>
        <a:p>
          <a:endParaRPr lang="en-US" sz="700" b="0">
            <a:latin typeface="Times New Roman" panose="02020603050405020304" pitchFamily="18" charset="0"/>
            <a:cs typeface="Times New Roman" panose="02020603050405020304" pitchFamily="18" charset="0"/>
          </a:endParaRPr>
        </a:p>
      </dgm:t>
    </dgm:pt>
    <dgm:pt modelId="{6B79044E-9014-4BE2-94FF-10D9187F5F6D}">
      <dgm:prSet custT="1"/>
      <dgm:spPr/>
      <dgm:t>
        <a:bodyPr/>
        <a:lstStyle/>
        <a:p>
          <a:r>
            <a:rPr lang="es-ES" sz="900" b="0">
              <a:latin typeface="Times New Roman" panose="02020603050405020304" pitchFamily="18" charset="0"/>
              <a:cs typeface="Times New Roman" panose="02020603050405020304" pitchFamily="18" charset="0"/>
            </a:rPr>
            <a:t>Almacenaje de productos terminados (P-8)</a:t>
          </a:r>
          <a:endParaRPr lang="en-US" sz="900" b="0">
            <a:latin typeface="Times New Roman" panose="02020603050405020304" pitchFamily="18" charset="0"/>
            <a:cs typeface="Times New Roman" panose="02020603050405020304" pitchFamily="18" charset="0"/>
          </a:endParaRPr>
        </a:p>
      </dgm:t>
    </dgm:pt>
    <dgm:pt modelId="{AE9E8152-A1E8-49D6-AD50-775762B1FDB5}" type="parTrans" cxnId="{FA334724-E863-4266-84C7-F4ADA8046D7D}">
      <dgm:prSet/>
      <dgm:spPr/>
      <dgm:t>
        <a:bodyPr/>
        <a:lstStyle/>
        <a:p>
          <a:endParaRPr lang="en-US" sz="700" b="0">
            <a:latin typeface="Times New Roman" panose="02020603050405020304" pitchFamily="18" charset="0"/>
            <a:cs typeface="Times New Roman" panose="02020603050405020304" pitchFamily="18" charset="0"/>
          </a:endParaRPr>
        </a:p>
      </dgm:t>
    </dgm:pt>
    <dgm:pt modelId="{8DCE79B9-734E-42E9-B927-09C7124DFEC3}" type="sibTrans" cxnId="{FA334724-E863-4266-84C7-F4ADA8046D7D}">
      <dgm:prSet/>
      <dgm:spPr/>
      <dgm:t>
        <a:bodyPr/>
        <a:lstStyle/>
        <a:p>
          <a:endParaRPr lang="en-US" sz="700" b="0">
            <a:latin typeface="Times New Roman" panose="02020603050405020304" pitchFamily="18" charset="0"/>
            <a:cs typeface="Times New Roman" panose="02020603050405020304" pitchFamily="18" charset="0"/>
          </a:endParaRPr>
        </a:p>
      </dgm:t>
    </dgm:pt>
    <dgm:pt modelId="{33478FE3-607F-4155-A7C7-3B10AD6DA81D}">
      <dgm:prSet custT="1"/>
      <dgm:spPr/>
      <dgm:t>
        <a:bodyPr/>
        <a:lstStyle/>
        <a:p>
          <a:r>
            <a:rPr lang="es-ES" sz="900" b="0">
              <a:latin typeface="Times New Roman" panose="02020603050405020304" pitchFamily="18" charset="0"/>
              <a:cs typeface="Times New Roman" panose="02020603050405020304" pitchFamily="18" charset="0"/>
            </a:rPr>
            <a:t>productos terminados (P-9)</a:t>
          </a:r>
          <a:endParaRPr lang="en-US" sz="900" b="0">
            <a:latin typeface="Times New Roman" panose="02020603050405020304" pitchFamily="18" charset="0"/>
            <a:cs typeface="Times New Roman" panose="02020603050405020304" pitchFamily="18" charset="0"/>
          </a:endParaRPr>
        </a:p>
      </dgm:t>
    </dgm:pt>
    <dgm:pt modelId="{D6715627-2342-416E-8E61-AF44341F7D2C}" type="parTrans" cxnId="{CAFE31E2-5C91-40F1-AF4F-69DAA3C3E006}">
      <dgm:prSet/>
      <dgm:spPr/>
      <dgm:t>
        <a:bodyPr/>
        <a:lstStyle/>
        <a:p>
          <a:endParaRPr lang="en-US" sz="700" b="0">
            <a:latin typeface="Times New Roman" panose="02020603050405020304" pitchFamily="18" charset="0"/>
            <a:cs typeface="Times New Roman" panose="02020603050405020304" pitchFamily="18" charset="0"/>
          </a:endParaRPr>
        </a:p>
      </dgm:t>
    </dgm:pt>
    <dgm:pt modelId="{D590E820-D565-4040-A85F-F21BF5502197}" type="sibTrans" cxnId="{CAFE31E2-5C91-40F1-AF4F-69DAA3C3E006}">
      <dgm:prSet/>
      <dgm:spPr/>
      <dgm:t>
        <a:bodyPr/>
        <a:lstStyle/>
        <a:p>
          <a:endParaRPr lang="en-US" sz="700" b="0">
            <a:latin typeface="Times New Roman" panose="02020603050405020304" pitchFamily="18" charset="0"/>
            <a:cs typeface="Times New Roman" panose="02020603050405020304" pitchFamily="18" charset="0"/>
          </a:endParaRPr>
        </a:p>
      </dgm:t>
    </dgm:pt>
    <dgm:pt modelId="{257199B5-25C1-45BF-A2D0-9C95BD12BAE7}">
      <dgm:prSet custT="1"/>
      <dgm:spPr/>
      <dgm:t>
        <a:bodyPr/>
        <a:lstStyle/>
        <a:p>
          <a:r>
            <a:rPr lang="es-ES" sz="900" b="0">
              <a:latin typeface="Times New Roman" panose="02020603050405020304" pitchFamily="18" charset="0"/>
              <a:cs typeface="Times New Roman" panose="02020603050405020304" pitchFamily="18" charset="0"/>
            </a:rPr>
            <a:t>Servicio postventa (P-10)</a:t>
          </a:r>
          <a:endParaRPr lang="en-US" sz="900" b="0">
            <a:latin typeface="Times New Roman" panose="02020603050405020304" pitchFamily="18" charset="0"/>
            <a:cs typeface="Times New Roman" panose="02020603050405020304" pitchFamily="18" charset="0"/>
          </a:endParaRPr>
        </a:p>
      </dgm:t>
    </dgm:pt>
    <dgm:pt modelId="{A5A0491E-8141-4076-912A-6470BA09E612}" type="parTrans" cxnId="{A9DF1426-F64E-4614-8A42-37F3AE2ABF3E}">
      <dgm:prSet/>
      <dgm:spPr/>
      <dgm:t>
        <a:bodyPr/>
        <a:lstStyle/>
        <a:p>
          <a:endParaRPr lang="en-US" sz="700" b="0">
            <a:latin typeface="Times New Roman" panose="02020603050405020304" pitchFamily="18" charset="0"/>
            <a:cs typeface="Times New Roman" panose="02020603050405020304" pitchFamily="18" charset="0"/>
          </a:endParaRPr>
        </a:p>
      </dgm:t>
    </dgm:pt>
    <dgm:pt modelId="{9EFBF004-D933-471A-A8FA-BF801E7382C2}" type="sibTrans" cxnId="{A9DF1426-F64E-4614-8A42-37F3AE2ABF3E}">
      <dgm:prSet/>
      <dgm:spPr/>
      <dgm:t>
        <a:bodyPr/>
        <a:lstStyle/>
        <a:p>
          <a:endParaRPr lang="en-US" sz="700" b="0">
            <a:latin typeface="Times New Roman" panose="02020603050405020304" pitchFamily="18" charset="0"/>
            <a:cs typeface="Times New Roman" panose="02020603050405020304" pitchFamily="18" charset="0"/>
          </a:endParaRPr>
        </a:p>
      </dgm:t>
    </dgm:pt>
    <dgm:pt modelId="{A58C8C7F-CB56-43B1-A871-8563FE19F4AB}" type="pres">
      <dgm:prSet presAssocID="{32598FC6-369C-4FE0-B16E-1A42196E9F29}" presName="linearFlow" presStyleCnt="0">
        <dgm:presLayoutVars>
          <dgm:dir/>
          <dgm:animLvl val="lvl"/>
          <dgm:resizeHandles val="exact"/>
        </dgm:presLayoutVars>
      </dgm:prSet>
      <dgm:spPr/>
      <dgm:t>
        <a:bodyPr/>
        <a:lstStyle/>
        <a:p>
          <a:endParaRPr lang="en-US"/>
        </a:p>
      </dgm:t>
    </dgm:pt>
    <dgm:pt modelId="{ECED7D76-9521-47A6-A779-97DC9216550F}" type="pres">
      <dgm:prSet presAssocID="{2B76724F-4599-4236-A0F5-46FB194FDCFC}" presName="composite" presStyleCnt="0"/>
      <dgm:spPr/>
    </dgm:pt>
    <dgm:pt modelId="{D2A617A0-6EE2-4C13-B1B2-6CD6D33F5E14}" type="pres">
      <dgm:prSet presAssocID="{2B76724F-4599-4236-A0F5-46FB194FDCFC}" presName="parentText" presStyleLbl="alignNode1" presStyleIdx="0" presStyleCnt="3">
        <dgm:presLayoutVars>
          <dgm:chMax val="1"/>
          <dgm:bulletEnabled val="1"/>
        </dgm:presLayoutVars>
      </dgm:prSet>
      <dgm:spPr/>
      <dgm:t>
        <a:bodyPr/>
        <a:lstStyle/>
        <a:p>
          <a:endParaRPr lang="en-US"/>
        </a:p>
      </dgm:t>
    </dgm:pt>
    <dgm:pt modelId="{14FA06A0-2448-46EA-9D43-C18532F92885}" type="pres">
      <dgm:prSet presAssocID="{2B76724F-4599-4236-A0F5-46FB194FDCFC}" presName="descendantText" presStyleLbl="alignAcc1" presStyleIdx="0" presStyleCnt="3">
        <dgm:presLayoutVars>
          <dgm:bulletEnabled val="1"/>
        </dgm:presLayoutVars>
      </dgm:prSet>
      <dgm:spPr/>
      <dgm:t>
        <a:bodyPr/>
        <a:lstStyle/>
        <a:p>
          <a:endParaRPr lang="en-US"/>
        </a:p>
      </dgm:t>
    </dgm:pt>
    <dgm:pt modelId="{4229031C-5E92-4A44-8C5C-193AB5D45192}" type="pres">
      <dgm:prSet presAssocID="{3D57E585-A62D-4BF1-A7A5-F729097E90D1}" presName="sp" presStyleCnt="0"/>
      <dgm:spPr/>
    </dgm:pt>
    <dgm:pt modelId="{AB2C8539-D26E-429D-80B0-7FB637D797CB}" type="pres">
      <dgm:prSet presAssocID="{248A8175-C93B-43D1-B05B-F61DA58FF0BF}" presName="composite" presStyleCnt="0"/>
      <dgm:spPr/>
    </dgm:pt>
    <dgm:pt modelId="{FE84B34D-F847-46DD-82C0-50EB42514C3F}" type="pres">
      <dgm:prSet presAssocID="{248A8175-C93B-43D1-B05B-F61DA58FF0BF}" presName="parentText" presStyleLbl="alignNode1" presStyleIdx="1" presStyleCnt="3">
        <dgm:presLayoutVars>
          <dgm:chMax val="1"/>
          <dgm:bulletEnabled val="1"/>
        </dgm:presLayoutVars>
      </dgm:prSet>
      <dgm:spPr/>
      <dgm:t>
        <a:bodyPr/>
        <a:lstStyle/>
        <a:p>
          <a:endParaRPr lang="en-US"/>
        </a:p>
      </dgm:t>
    </dgm:pt>
    <dgm:pt modelId="{E4D3FFF4-8734-4FF1-917F-E731E4A5AF59}" type="pres">
      <dgm:prSet presAssocID="{248A8175-C93B-43D1-B05B-F61DA58FF0BF}" presName="descendantText" presStyleLbl="alignAcc1" presStyleIdx="1" presStyleCnt="3">
        <dgm:presLayoutVars>
          <dgm:bulletEnabled val="1"/>
        </dgm:presLayoutVars>
      </dgm:prSet>
      <dgm:spPr/>
      <dgm:t>
        <a:bodyPr/>
        <a:lstStyle/>
        <a:p>
          <a:endParaRPr lang="en-US"/>
        </a:p>
      </dgm:t>
    </dgm:pt>
    <dgm:pt modelId="{F47CC049-D5A7-40E7-A364-4768172E665E}" type="pres">
      <dgm:prSet presAssocID="{1063B4B1-05F7-49A0-B56D-694307F98134}" presName="sp" presStyleCnt="0"/>
      <dgm:spPr/>
    </dgm:pt>
    <dgm:pt modelId="{A06242DA-C10C-434D-A215-75EA10DEC772}" type="pres">
      <dgm:prSet presAssocID="{DBE25742-636F-43BA-ACAD-6A3A23A57AEB}" presName="composite" presStyleCnt="0"/>
      <dgm:spPr/>
    </dgm:pt>
    <dgm:pt modelId="{B70C0B0B-6430-41C4-8F62-9C8736F80947}" type="pres">
      <dgm:prSet presAssocID="{DBE25742-636F-43BA-ACAD-6A3A23A57AEB}" presName="parentText" presStyleLbl="alignNode1" presStyleIdx="2" presStyleCnt="3">
        <dgm:presLayoutVars>
          <dgm:chMax val="1"/>
          <dgm:bulletEnabled val="1"/>
        </dgm:presLayoutVars>
      </dgm:prSet>
      <dgm:spPr/>
      <dgm:t>
        <a:bodyPr/>
        <a:lstStyle/>
        <a:p>
          <a:endParaRPr lang="en-US"/>
        </a:p>
      </dgm:t>
    </dgm:pt>
    <dgm:pt modelId="{5F0630B6-F2E1-478A-8BC0-F19B11C3AABB}" type="pres">
      <dgm:prSet presAssocID="{DBE25742-636F-43BA-ACAD-6A3A23A57AEB}" presName="descendantText" presStyleLbl="alignAcc1" presStyleIdx="2" presStyleCnt="3">
        <dgm:presLayoutVars>
          <dgm:bulletEnabled val="1"/>
        </dgm:presLayoutVars>
      </dgm:prSet>
      <dgm:spPr/>
      <dgm:t>
        <a:bodyPr/>
        <a:lstStyle/>
        <a:p>
          <a:endParaRPr lang="en-US"/>
        </a:p>
      </dgm:t>
    </dgm:pt>
  </dgm:ptLst>
  <dgm:cxnLst>
    <dgm:cxn modelId="{BE3B73B5-20A0-4273-990D-4E7CDE2B1463}" srcId="{2B76724F-4599-4236-A0F5-46FB194FDCFC}" destId="{CDC73EA7-F60F-48D5-AAAB-3F95D4F2A56B}" srcOrd="2" destOrd="0" parTransId="{9B73A05E-F3F1-4B68-A8D6-50104493873A}" sibTransId="{78011348-2685-46DA-A595-628D3584A7AB}"/>
    <dgm:cxn modelId="{CAFE31E2-5C91-40F1-AF4F-69DAA3C3E006}" srcId="{DBE25742-636F-43BA-ACAD-6A3A23A57AEB}" destId="{33478FE3-607F-4155-A7C7-3B10AD6DA81D}" srcOrd="1" destOrd="0" parTransId="{D6715627-2342-416E-8E61-AF44341F7D2C}" sibTransId="{D590E820-D565-4040-A85F-F21BF5502197}"/>
    <dgm:cxn modelId="{4ED83757-F678-459C-B8AF-6D791FE2CFFB}" type="presOf" srcId="{DDD581C5-BCA5-4629-A604-F68F29167181}" destId="{E4D3FFF4-8734-4FF1-917F-E731E4A5AF59}" srcOrd="0" destOrd="1" presId="urn:microsoft.com/office/officeart/2005/8/layout/chevron2"/>
    <dgm:cxn modelId="{C55B12DB-1B15-4F67-8948-C27B4746C2BE}" srcId="{248A8175-C93B-43D1-B05B-F61DA58FF0BF}" destId="{DDD581C5-BCA5-4629-A604-F68F29167181}" srcOrd="1" destOrd="0" parTransId="{E84F0C1A-3777-4169-ADF3-F809EDE6672D}" sibTransId="{AB01F570-82D5-4F88-B60B-9CFA3B896B7E}"/>
    <dgm:cxn modelId="{7CFE06CE-87E0-457F-A8C6-7110E68278AC}" type="presOf" srcId="{D0733764-544D-4EC4-A175-1DAD6A43B59D}" destId="{14FA06A0-2448-46EA-9D43-C18532F92885}" srcOrd="0" destOrd="1" presId="urn:microsoft.com/office/officeart/2005/8/layout/chevron2"/>
    <dgm:cxn modelId="{AA2C6F4D-FF37-4ABD-8CFE-35DFC604FD15}" srcId="{248A8175-C93B-43D1-B05B-F61DA58FF0BF}" destId="{EF913F6B-0AD8-4EFC-BBB5-C12B0552E876}" srcOrd="0" destOrd="0" parTransId="{E4B7B5B7-72B8-48A9-9770-6AE04D7E5081}" sibTransId="{88581F67-D13A-4B84-83C0-8485236BEC96}"/>
    <dgm:cxn modelId="{A0049641-9FA8-493B-BFB3-1319F8376212}" srcId="{32598FC6-369C-4FE0-B16E-1A42196E9F29}" destId="{2B76724F-4599-4236-A0F5-46FB194FDCFC}" srcOrd="0" destOrd="0" parTransId="{BFE095A7-2DE7-4A96-8BC1-0167244169FC}" sibTransId="{3D57E585-A62D-4BF1-A7A5-F729097E90D1}"/>
    <dgm:cxn modelId="{8E4BC474-BBB9-417C-B704-C0DAE2B16028}" srcId="{32598FC6-369C-4FE0-B16E-1A42196E9F29}" destId="{DBE25742-636F-43BA-ACAD-6A3A23A57AEB}" srcOrd="2" destOrd="0" parTransId="{D9FE6D92-A5A8-4193-A621-76C6CE5F85E5}" sibTransId="{CB7D75B1-D61C-4DB6-9429-19143C9D913C}"/>
    <dgm:cxn modelId="{3DBCEE30-9558-4AA5-AA9D-EB97F73AD4CD}" srcId="{248A8175-C93B-43D1-B05B-F61DA58FF0BF}" destId="{1BEBCACD-5EE1-40F0-B18F-8B1E096F9AC2}" srcOrd="2" destOrd="0" parTransId="{FE60ED2B-2FB9-423E-BD21-BA318974543C}" sibTransId="{940B72DB-EBDB-465F-BB73-7FC2173486B7}"/>
    <dgm:cxn modelId="{C37CEBFD-CDEB-480D-8E6C-08D4A17834EB}" type="presOf" srcId="{EF913F6B-0AD8-4EFC-BBB5-C12B0552E876}" destId="{E4D3FFF4-8734-4FF1-917F-E731E4A5AF59}" srcOrd="0" destOrd="0" presId="urn:microsoft.com/office/officeart/2005/8/layout/chevron2"/>
    <dgm:cxn modelId="{C929C601-6A39-494B-A94D-1411FA08ECB3}" type="presOf" srcId="{DBE25742-636F-43BA-ACAD-6A3A23A57AEB}" destId="{B70C0B0B-6430-41C4-8F62-9C8736F80947}" srcOrd="0" destOrd="0" presId="urn:microsoft.com/office/officeart/2005/8/layout/chevron2"/>
    <dgm:cxn modelId="{A9DF1426-F64E-4614-8A42-37F3AE2ABF3E}" srcId="{DBE25742-636F-43BA-ACAD-6A3A23A57AEB}" destId="{257199B5-25C1-45BF-A2D0-9C95BD12BAE7}" srcOrd="2" destOrd="0" parTransId="{A5A0491E-8141-4076-912A-6470BA09E612}" sibTransId="{9EFBF004-D933-471A-A8FA-BF801E7382C2}"/>
    <dgm:cxn modelId="{E88A7C0F-8CD9-4C53-AC42-F30DFB6CF066}" type="presOf" srcId="{6B79044E-9014-4BE2-94FF-10D9187F5F6D}" destId="{E4D3FFF4-8734-4FF1-917F-E731E4A5AF59}" srcOrd="0" destOrd="3" presId="urn:microsoft.com/office/officeart/2005/8/layout/chevron2"/>
    <dgm:cxn modelId="{8830D1CF-F5C4-4430-BE00-001097784E49}" type="presOf" srcId="{1BEBCACD-5EE1-40F0-B18F-8B1E096F9AC2}" destId="{E4D3FFF4-8734-4FF1-917F-E731E4A5AF59}" srcOrd="0" destOrd="2" presId="urn:microsoft.com/office/officeart/2005/8/layout/chevron2"/>
    <dgm:cxn modelId="{F3C36A0D-DA70-4498-BC4F-6F5CA15FAE10}" type="presOf" srcId="{248A8175-C93B-43D1-B05B-F61DA58FF0BF}" destId="{FE84B34D-F847-46DD-82C0-50EB42514C3F}" srcOrd="0" destOrd="0" presId="urn:microsoft.com/office/officeart/2005/8/layout/chevron2"/>
    <dgm:cxn modelId="{CD33ECA0-B213-4BAC-8E67-4E9D53D17E18}" srcId="{32598FC6-369C-4FE0-B16E-1A42196E9F29}" destId="{248A8175-C93B-43D1-B05B-F61DA58FF0BF}" srcOrd="1" destOrd="0" parTransId="{65FBA841-4CBC-45F4-84DA-BBE0349BC81A}" sibTransId="{1063B4B1-05F7-49A0-B56D-694307F98134}"/>
    <dgm:cxn modelId="{B4D30A1E-1482-45EC-8AFD-327B1F711E81}" srcId="{2B76724F-4599-4236-A0F5-46FB194FDCFC}" destId="{A3586AAA-F70A-44A4-91F9-9C809E4E5335}" srcOrd="3" destOrd="0" parTransId="{642D081D-A54C-4730-87A2-4260606875AD}" sibTransId="{8E1EDBDC-14BB-4BA1-B0EE-AD9229DDF34F}"/>
    <dgm:cxn modelId="{FB519EFE-87C0-4242-AA5E-0B56C397E398}" srcId="{2B76724F-4599-4236-A0F5-46FB194FDCFC}" destId="{1DFC0AFC-4C3F-4DE9-9AE5-ED94F239A7E2}" srcOrd="0" destOrd="0" parTransId="{0D52BEA9-F1C4-4D08-8668-E725E50AA382}" sibTransId="{83570E6F-0A2F-4537-ABBC-8B2E110C3A17}"/>
    <dgm:cxn modelId="{794025F4-2F64-470F-AB5D-FE854FDC843B}" srcId="{2B76724F-4599-4236-A0F5-46FB194FDCFC}" destId="{D0733764-544D-4EC4-A175-1DAD6A43B59D}" srcOrd="1" destOrd="0" parTransId="{38ABDDC7-45D1-4A85-B651-07871C69B00D}" sibTransId="{5661270A-5432-49CF-B574-E69FD9449874}"/>
    <dgm:cxn modelId="{0F015708-1E43-479D-B990-19C8F7770165}" type="presOf" srcId="{847E4802-B670-425A-8F60-0F6CF53C987B}" destId="{5F0630B6-F2E1-478A-8BC0-F19B11C3AABB}" srcOrd="0" destOrd="0" presId="urn:microsoft.com/office/officeart/2005/8/layout/chevron2"/>
    <dgm:cxn modelId="{285BC41A-509F-4B57-A1F2-4A0CC39757A4}" type="presOf" srcId="{32598FC6-369C-4FE0-B16E-1A42196E9F29}" destId="{A58C8C7F-CB56-43B1-A871-8563FE19F4AB}" srcOrd="0" destOrd="0" presId="urn:microsoft.com/office/officeart/2005/8/layout/chevron2"/>
    <dgm:cxn modelId="{758E3920-442B-4487-A275-A71F907AC057}" type="presOf" srcId="{2B76724F-4599-4236-A0F5-46FB194FDCFC}" destId="{D2A617A0-6EE2-4C13-B1B2-6CD6D33F5E14}" srcOrd="0" destOrd="0" presId="urn:microsoft.com/office/officeart/2005/8/layout/chevron2"/>
    <dgm:cxn modelId="{FA334724-E863-4266-84C7-F4ADA8046D7D}" srcId="{248A8175-C93B-43D1-B05B-F61DA58FF0BF}" destId="{6B79044E-9014-4BE2-94FF-10D9187F5F6D}" srcOrd="3" destOrd="0" parTransId="{AE9E8152-A1E8-49D6-AD50-775762B1FDB5}" sibTransId="{8DCE79B9-734E-42E9-B927-09C7124DFEC3}"/>
    <dgm:cxn modelId="{9C165014-2F40-42C8-8935-1DC8D4175D38}" type="presOf" srcId="{257199B5-25C1-45BF-A2D0-9C95BD12BAE7}" destId="{5F0630B6-F2E1-478A-8BC0-F19B11C3AABB}" srcOrd="0" destOrd="2" presId="urn:microsoft.com/office/officeart/2005/8/layout/chevron2"/>
    <dgm:cxn modelId="{AC275862-1F6C-4F12-A13F-A53FE4C05DB7}" type="presOf" srcId="{1DFC0AFC-4C3F-4DE9-9AE5-ED94F239A7E2}" destId="{14FA06A0-2448-46EA-9D43-C18532F92885}" srcOrd="0" destOrd="0" presId="urn:microsoft.com/office/officeart/2005/8/layout/chevron2"/>
    <dgm:cxn modelId="{C1E3AD75-EE0A-4B7E-BF6D-A5BAC102A9F2}" type="presOf" srcId="{CDC73EA7-F60F-48D5-AAAB-3F95D4F2A56B}" destId="{14FA06A0-2448-46EA-9D43-C18532F92885}" srcOrd="0" destOrd="2" presId="urn:microsoft.com/office/officeart/2005/8/layout/chevron2"/>
    <dgm:cxn modelId="{55C45696-B17E-44B1-BCA5-70B3B9318E55}" srcId="{DBE25742-636F-43BA-ACAD-6A3A23A57AEB}" destId="{847E4802-B670-425A-8F60-0F6CF53C987B}" srcOrd="0" destOrd="0" parTransId="{0AA049ED-D45D-4DF7-BE15-AF310479CCD6}" sibTransId="{7E2320E0-8F47-4133-9CE3-2661BF0EBDFA}"/>
    <dgm:cxn modelId="{93F1D678-9308-4C1C-BF8C-DF486113DDE1}" type="presOf" srcId="{33478FE3-607F-4155-A7C7-3B10AD6DA81D}" destId="{5F0630B6-F2E1-478A-8BC0-F19B11C3AABB}" srcOrd="0" destOrd="1" presId="urn:microsoft.com/office/officeart/2005/8/layout/chevron2"/>
    <dgm:cxn modelId="{B5ED019D-F81A-4B2B-ACC0-D2302FD763A3}" type="presOf" srcId="{A3586AAA-F70A-44A4-91F9-9C809E4E5335}" destId="{14FA06A0-2448-46EA-9D43-C18532F92885}" srcOrd="0" destOrd="3" presId="urn:microsoft.com/office/officeart/2005/8/layout/chevron2"/>
    <dgm:cxn modelId="{0C1E0A22-CAEA-47CA-94DC-E942086CEF1C}" type="presParOf" srcId="{A58C8C7F-CB56-43B1-A871-8563FE19F4AB}" destId="{ECED7D76-9521-47A6-A779-97DC9216550F}" srcOrd="0" destOrd="0" presId="urn:microsoft.com/office/officeart/2005/8/layout/chevron2"/>
    <dgm:cxn modelId="{54D68E45-7E5E-4846-A809-14D1E02514A2}" type="presParOf" srcId="{ECED7D76-9521-47A6-A779-97DC9216550F}" destId="{D2A617A0-6EE2-4C13-B1B2-6CD6D33F5E14}" srcOrd="0" destOrd="0" presId="urn:microsoft.com/office/officeart/2005/8/layout/chevron2"/>
    <dgm:cxn modelId="{48BC540F-D942-4F20-8700-2C0A3AE54A57}" type="presParOf" srcId="{ECED7D76-9521-47A6-A779-97DC9216550F}" destId="{14FA06A0-2448-46EA-9D43-C18532F92885}" srcOrd="1" destOrd="0" presId="urn:microsoft.com/office/officeart/2005/8/layout/chevron2"/>
    <dgm:cxn modelId="{AC84C4BA-4A7C-4514-8A45-211DDBA34CB5}" type="presParOf" srcId="{A58C8C7F-CB56-43B1-A871-8563FE19F4AB}" destId="{4229031C-5E92-4A44-8C5C-193AB5D45192}" srcOrd="1" destOrd="0" presId="urn:microsoft.com/office/officeart/2005/8/layout/chevron2"/>
    <dgm:cxn modelId="{0740531F-22D8-4307-9858-4165AC53BD89}" type="presParOf" srcId="{A58C8C7F-CB56-43B1-A871-8563FE19F4AB}" destId="{AB2C8539-D26E-429D-80B0-7FB637D797CB}" srcOrd="2" destOrd="0" presId="urn:microsoft.com/office/officeart/2005/8/layout/chevron2"/>
    <dgm:cxn modelId="{8272E384-D8C8-4009-ABD3-DFE08E314271}" type="presParOf" srcId="{AB2C8539-D26E-429D-80B0-7FB637D797CB}" destId="{FE84B34D-F847-46DD-82C0-50EB42514C3F}" srcOrd="0" destOrd="0" presId="urn:microsoft.com/office/officeart/2005/8/layout/chevron2"/>
    <dgm:cxn modelId="{2AC9B531-5A4D-4D59-8CC4-123BFE7101DC}" type="presParOf" srcId="{AB2C8539-D26E-429D-80B0-7FB637D797CB}" destId="{E4D3FFF4-8734-4FF1-917F-E731E4A5AF59}" srcOrd="1" destOrd="0" presId="urn:microsoft.com/office/officeart/2005/8/layout/chevron2"/>
    <dgm:cxn modelId="{7274258E-52A2-4FB0-8FE7-DB3453E027B2}" type="presParOf" srcId="{A58C8C7F-CB56-43B1-A871-8563FE19F4AB}" destId="{F47CC049-D5A7-40E7-A364-4768172E665E}" srcOrd="3" destOrd="0" presId="urn:microsoft.com/office/officeart/2005/8/layout/chevron2"/>
    <dgm:cxn modelId="{63054BB8-A1E4-4B87-9A79-A1BED5E86676}" type="presParOf" srcId="{A58C8C7F-CB56-43B1-A871-8563FE19F4AB}" destId="{A06242DA-C10C-434D-A215-75EA10DEC772}" srcOrd="4" destOrd="0" presId="urn:microsoft.com/office/officeart/2005/8/layout/chevron2"/>
    <dgm:cxn modelId="{2A22F63C-5AC1-447B-A399-FE7EEB5F2BB3}" type="presParOf" srcId="{A06242DA-C10C-434D-A215-75EA10DEC772}" destId="{B70C0B0B-6430-41C4-8F62-9C8736F80947}" srcOrd="0" destOrd="0" presId="urn:microsoft.com/office/officeart/2005/8/layout/chevron2"/>
    <dgm:cxn modelId="{225B965A-B980-4E56-8FA4-85584DDF7239}" type="presParOf" srcId="{A06242DA-C10C-434D-A215-75EA10DEC772}" destId="{5F0630B6-F2E1-478A-8BC0-F19B11C3AABB}" srcOrd="1" destOrd="0" presId="urn:microsoft.com/office/officeart/2005/8/layout/chevron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A617A0-6EE2-4C13-B1B2-6CD6D33F5E14}">
      <dsp:nvSpPr>
        <dsp:cNvPr id="0" name=""/>
        <dsp:cNvSpPr/>
      </dsp:nvSpPr>
      <dsp:spPr>
        <a:xfrm rot="5400000">
          <a:off x="-155028" y="157920"/>
          <a:ext cx="1033521" cy="72346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a:latin typeface="Times New Roman" panose="02020603050405020304" pitchFamily="18" charset="0"/>
              <a:cs typeface="Times New Roman" panose="02020603050405020304" pitchFamily="18" charset="0"/>
            </a:rPr>
            <a:t>Eslabón de aprovisiona-miento</a:t>
          </a:r>
        </a:p>
      </dsp:txBody>
      <dsp:txXfrm rot="-5400000">
        <a:off x="1" y="364625"/>
        <a:ext cx="723465" cy="310056"/>
      </dsp:txXfrm>
    </dsp:sp>
    <dsp:sp modelId="{14FA06A0-2448-46EA-9D43-C18532F92885}">
      <dsp:nvSpPr>
        <dsp:cNvPr id="0" name=""/>
        <dsp:cNvSpPr/>
      </dsp:nvSpPr>
      <dsp:spPr>
        <a:xfrm rot="5400000">
          <a:off x="2152634" y="-1426277"/>
          <a:ext cx="672142" cy="3530481"/>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ES" sz="900" b="0" kern="1200">
              <a:latin typeface="Times New Roman" panose="02020603050405020304" pitchFamily="18" charset="0"/>
              <a:cs typeface="Times New Roman" panose="02020603050405020304" pitchFamily="18" charset="0"/>
            </a:rPr>
            <a:t>Compra de la materia prima (P-1)</a:t>
          </a:r>
          <a:endParaRPr lang="en-US" sz="900" b="0" kern="1200">
            <a:latin typeface="Times New Roman" panose="02020603050405020304" pitchFamily="18" charset="0"/>
            <a:cs typeface="Times New Roman" panose="02020603050405020304" pitchFamily="18" charset="0"/>
          </a:endParaRPr>
        </a:p>
        <a:p>
          <a:pPr marL="57150" lvl="1" indent="-57150" algn="l" defTabSz="400050">
            <a:lnSpc>
              <a:spcPct val="90000"/>
            </a:lnSpc>
            <a:spcBef>
              <a:spcPct val="0"/>
            </a:spcBef>
            <a:spcAft>
              <a:spcPct val="15000"/>
            </a:spcAft>
            <a:buChar char="••"/>
          </a:pPr>
          <a:r>
            <a:rPr lang="es-ES" sz="900" b="0" kern="1200">
              <a:latin typeface="Times New Roman" panose="02020603050405020304" pitchFamily="18" charset="0"/>
              <a:cs typeface="Times New Roman" panose="02020603050405020304" pitchFamily="18" charset="0"/>
            </a:rPr>
            <a:t>Contratación del transporte (P-2)</a:t>
          </a:r>
          <a:endParaRPr lang="en-US" sz="900" b="0" kern="1200">
            <a:latin typeface="Times New Roman" panose="02020603050405020304" pitchFamily="18" charset="0"/>
            <a:cs typeface="Times New Roman" panose="02020603050405020304" pitchFamily="18" charset="0"/>
          </a:endParaRPr>
        </a:p>
        <a:p>
          <a:pPr marL="57150" lvl="1" indent="-57150" algn="l" defTabSz="400050">
            <a:lnSpc>
              <a:spcPct val="90000"/>
            </a:lnSpc>
            <a:spcBef>
              <a:spcPct val="0"/>
            </a:spcBef>
            <a:spcAft>
              <a:spcPct val="15000"/>
            </a:spcAft>
            <a:buChar char="••"/>
          </a:pPr>
          <a:r>
            <a:rPr lang="es-ES" sz="900" b="0" kern="1200">
              <a:latin typeface="Times New Roman" panose="02020603050405020304" pitchFamily="18" charset="0"/>
              <a:cs typeface="Times New Roman" panose="02020603050405020304" pitchFamily="18" charset="0"/>
            </a:rPr>
            <a:t>Revisión de la materia prima (P-3)</a:t>
          </a:r>
          <a:endParaRPr lang="en-US" sz="900" b="0" kern="1200">
            <a:latin typeface="Times New Roman" panose="02020603050405020304" pitchFamily="18" charset="0"/>
            <a:cs typeface="Times New Roman" panose="02020603050405020304" pitchFamily="18" charset="0"/>
          </a:endParaRPr>
        </a:p>
        <a:p>
          <a:pPr marL="57150" lvl="1" indent="-57150" algn="l" defTabSz="400050">
            <a:lnSpc>
              <a:spcPct val="90000"/>
            </a:lnSpc>
            <a:spcBef>
              <a:spcPct val="0"/>
            </a:spcBef>
            <a:spcAft>
              <a:spcPct val="15000"/>
            </a:spcAft>
            <a:buChar char="••"/>
          </a:pPr>
          <a:r>
            <a:rPr lang="es-ES" sz="900" b="0" kern="1200">
              <a:latin typeface="Times New Roman" panose="02020603050405020304" pitchFamily="18" charset="0"/>
              <a:cs typeface="Times New Roman" panose="02020603050405020304" pitchFamily="18" charset="0"/>
            </a:rPr>
            <a:t>Transporte de la materia prima hasta el almacén de materia prima (OP-4)</a:t>
          </a:r>
          <a:endParaRPr lang="en-US" sz="900" b="0" kern="1200">
            <a:latin typeface="Times New Roman" panose="02020603050405020304" pitchFamily="18" charset="0"/>
            <a:cs typeface="Times New Roman" panose="02020603050405020304" pitchFamily="18" charset="0"/>
          </a:endParaRPr>
        </a:p>
      </dsp:txBody>
      <dsp:txXfrm rot="-5400000">
        <a:off x="723465" y="35703"/>
        <a:ext cx="3497670" cy="606520"/>
      </dsp:txXfrm>
    </dsp:sp>
    <dsp:sp modelId="{FE84B34D-F847-46DD-82C0-50EB42514C3F}">
      <dsp:nvSpPr>
        <dsp:cNvPr id="0" name=""/>
        <dsp:cNvSpPr/>
      </dsp:nvSpPr>
      <dsp:spPr>
        <a:xfrm rot="5400000">
          <a:off x="-155028" y="986054"/>
          <a:ext cx="1033521" cy="72346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a:latin typeface="Times New Roman" panose="02020603050405020304" pitchFamily="18" charset="0"/>
              <a:cs typeface="Times New Roman" panose="02020603050405020304" pitchFamily="18" charset="0"/>
            </a:rPr>
            <a:t>Eslabón de producc</a:t>
          </a:r>
          <a:r>
            <a:rPr lang="es-ES" sz="900" b="0" kern="1200">
              <a:latin typeface="Times New Roman" panose="02020603050405020304" pitchFamily="18" charset="0"/>
              <a:cs typeface="Times New Roman" panose="02020603050405020304" pitchFamily="18" charset="0"/>
            </a:rPr>
            <a:t>ión</a:t>
          </a:r>
          <a:endParaRPr lang="en-US" sz="900" b="0" kern="1200">
            <a:latin typeface="Times New Roman" panose="02020603050405020304" pitchFamily="18" charset="0"/>
            <a:cs typeface="Times New Roman" panose="02020603050405020304" pitchFamily="18" charset="0"/>
          </a:endParaRPr>
        </a:p>
      </dsp:txBody>
      <dsp:txXfrm rot="-5400000">
        <a:off x="1" y="1192759"/>
        <a:ext cx="723465" cy="310056"/>
      </dsp:txXfrm>
    </dsp:sp>
    <dsp:sp modelId="{E4D3FFF4-8734-4FF1-917F-E731E4A5AF59}">
      <dsp:nvSpPr>
        <dsp:cNvPr id="0" name=""/>
        <dsp:cNvSpPr/>
      </dsp:nvSpPr>
      <dsp:spPr>
        <a:xfrm rot="5400000">
          <a:off x="2152811" y="-598319"/>
          <a:ext cx="671789" cy="3530481"/>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ES" sz="900" b="0" kern="1200">
              <a:latin typeface="Times New Roman" panose="02020603050405020304" pitchFamily="18" charset="0"/>
              <a:cs typeface="Times New Roman" panose="02020603050405020304" pitchFamily="18" charset="0"/>
            </a:rPr>
            <a:t>Aprovisionamiento del laboratorio (P-5)</a:t>
          </a:r>
          <a:endParaRPr lang="en-US" sz="900" b="0" kern="1200">
            <a:latin typeface="Times New Roman" panose="02020603050405020304" pitchFamily="18" charset="0"/>
            <a:cs typeface="Times New Roman" panose="02020603050405020304" pitchFamily="18" charset="0"/>
          </a:endParaRPr>
        </a:p>
        <a:p>
          <a:pPr marL="57150" lvl="1" indent="-57150" algn="l" defTabSz="400050">
            <a:lnSpc>
              <a:spcPct val="90000"/>
            </a:lnSpc>
            <a:spcBef>
              <a:spcPct val="0"/>
            </a:spcBef>
            <a:spcAft>
              <a:spcPct val="15000"/>
            </a:spcAft>
            <a:buChar char="••"/>
          </a:pPr>
          <a:r>
            <a:rPr lang="es-ES" sz="900" b="0" kern="1200">
              <a:latin typeface="Times New Roman" panose="02020603050405020304" pitchFamily="18" charset="0"/>
              <a:cs typeface="Times New Roman" panose="02020603050405020304" pitchFamily="18" charset="0"/>
            </a:rPr>
            <a:t>Preparación de la materia prima (P-6)</a:t>
          </a:r>
          <a:endParaRPr lang="en-US" sz="900" b="0" kern="1200">
            <a:latin typeface="Times New Roman" panose="02020603050405020304" pitchFamily="18" charset="0"/>
            <a:cs typeface="Times New Roman" panose="02020603050405020304" pitchFamily="18" charset="0"/>
          </a:endParaRPr>
        </a:p>
        <a:p>
          <a:pPr marL="57150" lvl="1" indent="-57150" algn="l" defTabSz="400050">
            <a:lnSpc>
              <a:spcPct val="90000"/>
            </a:lnSpc>
            <a:spcBef>
              <a:spcPct val="0"/>
            </a:spcBef>
            <a:spcAft>
              <a:spcPct val="15000"/>
            </a:spcAft>
            <a:buChar char="••"/>
          </a:pPr>
          <a:r>
            <a:rPr lang="es-ES" sz="900" b="0" kern="1200">
              <a:latin typeface="Times New Roman" panose="02020603050405020304" pitchFamily="18" charset="0"/>
              <a:cs typeface="Times New Roman" panose="02020603050405020304" pitchFamily="18" charset="0"/>
            </a:rPr>
            <a:t>Calibración de los CEE (P-7)</a:t>
          </a:r>
          <a:endParaRPr lang="en-US" sz="900" b="0" kern="1200">
            <a:latin typeface="Times New Roman" panose="02020603050405020304" pitchFamily="18" charset="0"/>
            <a:cs typeface="Times New Roman" panose="02020603050405020304" pitchFamily="18" charset="0"/>
          </a:endParaRPr>
        </a:p>
        <a:p>
          <a:pPr marL="57150" lvl="1" indent="-57150" algn="l" defTabSz="400050">
            <a:lnSpc>
              <a:spcPct val="90000"/>
            </a:lnSpc>
            <a:spcBef>
              <a:spcPct val="0"/>
            </a:spcBef>
            <a:spcAft>
              <a:spcPct val="15000"/>
            </a:spcAft>
            <a:buChar char="••"/>
          </a:pPr>
          <a:r>
            <a:rPr lang="es-ES" sz="900" b="0" kern="1200">
              <a:latin typeface="Times New Roman" panose="02020603050405020304" pitchFamily="18" charset="0"/>
              <a:cs typeface="Times New Roman" panose="02020603050405020304" pitchFamily="18" charset="0"/>
            </a:rPr>
            <a:t>Almacenaje de productos terminados (P-8)</a:t>
          </a:r>
          <a:endParaRPr lang="en-US" sz="900" b="0" kern="1200">
            <a:latin typeface="Times New Roman" panose="02020603050405020304" pitchFamily="18" charset="0"/>
            <a:cs typeface="Times New Roman" panose="02020603050405020304" pitchFamily="18" charset="0"/>
          </a:endParaRPr>
        </a:p>
      </dsp:txBody>
      <dsp:txXfrm rot="-5400000">
        <a:off x="723465" y="863821"/>
        <a:ext cx="3497687" cy="606201"/>
      </dsp:txXfrm>
    </dsp:sp>
    <dsp:sp modelId="{B70C0B0B-6430-41C4-8F62-9C8736F80947}">
      <dsp:nvSpPr>
        <dsp:cNvPr id="0" name=""/>
        <dsp:cNvSpPr/>
      </dsp:nvSpPr>
      <dsp:spPr>
        <a:xfrm rot="5400000">
          <a:off x="-155028" y="1814189"/>
          <a:ext cx="1033521" cy="72346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latin typeface="Times New Roman" panose="02020603050405020304" pitchFamily="18" charset="0"/>
              <a:cs typeface="Times New Roman" panose="02020603050405020304" pitchFamily="18" charset="0"/>
            </a:rPr>
            <a:t>Eslabón de distribución</a:t>
          </a:r>
        </a:p>
      </dsp:txBody>
      <dsp:txXfrm rot="-5400000">
        <a:off x="1" y="2020894"/>
        <a:ext cx="723465" cy="310056"/>
      </dsp:txXfrm>
    </dsp:sp>
    <dsp:sp modelId="{5F0630B6-F2E1-478A-8BC0-F19B11C3AABB}">
      <dsp:nvSpPr>
        <dsp:cNvPr id="0" name=""/>
        <dsp:cNvSpPr/>
      </dsp:nvSpPr>
      <dsp:spPr>
        <a:xfrm rot="5400000">
          <a:off x="2152811" y="229814"/>
          <a:ext cx="671789" cy="3530481"/>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ES" sz="900" b="0" kern="1200">
              <a:latin typeface="Times New Roman" panose="02020603050405020304" pitchFamily="18" charset="0"/>
              <a:cs typeface="Times New Roman" panose="02020603050405020304" pitchFamily="18" charset="0"/>
            </a:rPr>
            <a:t>Comunicación a los clientes sobre </a:t>
          </a:r>
          <a:endParaRPr lang="en-US" sz="900" b="0" kern="1200">
            <a:latin typeface="Times New Roman" panose="02020603050405020304" pitchFamily="18" charset="0"/>
            <a:cs typeface="Times New Roman" panose="02020603050405020304" pitchFamily="18" charset="0"/>
          </a:endParaRPr>
        </a:p>
        <a:p>
          <a:pPr marL="57150" lvl="1" indent="-57150" algn="l" defTabSz="400050">
            <a:lnSpc>
              <a:spcPct val="90000"/>
            </a:lnSpc>
            <a:spcBef>
              <a:spcPct val="0"/>
            </a:spcBef>
            <a:spcAft>
              <a:spcPct val="15000"/>
            </a:spcAft>
            <a:buChar char="••"/>
          </a:pPr>
          <a:r>
            <a:rPr lang="es-ES" sz="900" b="0" kern="1200">
              <a:latin typeface="Times New Roman" panose="02020603050405020304" pitchFamily="18" charset="0"/>
              <a:cs typeface="Times New Roman" panose="02020603050405020304" pitchFamily="18" charset="0"/>
            </a:rPr>
            <a:t>productos terminados (P-9)</a:t>
          </a:r>
          <a:endParaRPr lang="en-US" sz="900" b="0" kern="1200">
            <a:latin typeface="Times New Roman" panose="02020603050405020304" pitchFamily="18" charset="0"/>
            <a:cs typeface="Times New Roman" panose="02020603050405020304" pitchFamily="18" charset="0"/>
          </a:endParaRPr>
        </a:p>
        <a:p>
          <a:pPr marL="57150" lvl="1" indent="-57150" algn="l" defTabSz="400050">
            <a:lnSpc>
              <a:spcPct val="90000"/>
            </a:lnSpc>
            <a:spcBef>
              <a:spcPct val="0"/>
            </a:spcBef>
            <a:spcAft>
              <a:spcPct val="15000"/>
            </a:spcAft>
            <a:buChar char="••"/>
          </a:pPr>
          <a:r>
            <a:rPr lang="es-ES" sz="900" b="0" kern="1200">
              <a:latin typeface="Times New Roman" panose="02020603050405020304" pitchFamily="18" charset="0"/>
              <a:cs typeface="Times New Roman" panose="02020603050405020304" pitchFamily="18" charset="0"/>
            </a:rPr>
            <a:t>Servicio postventa (P-10)</a:t>
          </a:r>
          <a:endParaRPr lang="en-US" sz="900" b="0" kern="1200">
            <a:latin typeface="Times New Roman" panose="02020603050405020304" pitchFamily="18" charset="0"/>
            <a:cs typeface="Times New Roman" panose="02020603050405020304" pitchFamily="18" charset="0"/>
          </a:endParaRPr>
        </a:p>
      </dsp:txBody>
      <dsp:txXfrm rot="-5400000">
        <a:off x="723465" y="1691954"/>
        <a:ext cx="3497687" cy="6062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22</Pages>
  <Words>18180</Words>
  <Characters>99993</Characters>
  <Application>Microsoft Office Word</Application>
  <DocSecurity>0</DocSecurity>
  <Lines>833</Lines>
  <Paragraphs>235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UCLV</Company>
  <LinksUpToDate>false</LinksUpToDate>
  <CharactersWithSpaces>117938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root</cp:lastModifiedBy>
  <cp:revision>8</cp:revision>
  <dcterms:created xsi:type="dcterms:W3CDTF">2021-08-10T14:03:00Z</dcterms:created>
  <dcterms:modified xsi:type="dcterms:W3CDTF">2021-08-12T13:33:00Z</dcterms:modified>
</cp:coreProperties>
</file>