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D85" w:rsidRDefault="00B50D85" w:rsidP="00B50D85">
      <w:pPr>
        <w:pStyle w:val="Ttulo3"/>
        <w:spacing w:before="0" w:beforeAutospacing="0" w:after="0" w:afterAutospacing="0"/>
        <w:jc w:val="center"/>
        <w:rPr>
          <w:sz w:val="28"/>
          <w:szCs w:val="28"/>
        </w:rPr>
      </w:pPr>
      <w:r w:rsidRPr="00B50D85">
        <w:rPr>
          <w:sz w:val="28"/>
          <w:szCs w:val="28"/>
        </w:rPr>
        <w:t xml:space="preserve">SIMPOSIO INTERNACIONAL </w:t>
      </w:r>
    </w:p>
    <w:p w:rsidR="00B50D85" w:rsidRPr="00B50D85" w:rsidRDefault="00B50D85" w:rsidP="00B50D85">
      <w:pPr>
        <w:pStyle w:val="Ttulo3"/>
        <w:spacing w:before="240" w:beforeAutospacing="0" w:after="0" w:afterAutospacing="0"/>
        <w:jc w:val="center"/>
        <w:rPr>
          <w:sz w:val="28"/>
          <w:szCs w:val="28"/>
        </w:rPr>
      </w:pPr>
      <w:r w:rsidRPr="00B50D85">
        <w:rPr>
          <w:sz w:val="28"/>
          <w:szCs w:val="28"/>
        </w:rPr>
        <w:t>"HÁBITAT Y DESARROLLO COMUNITARIO SOSTENIBLE"</w:t>
      </w:r>
    </w:p>
    <w:p w:rsidR="00B50D85" w:rsidRDefault="00B50D85" w:rsidP="00667F10">
      <w:pPr>
        <w:spacing w:after="0"/>
        <w:jc w:val="center"/>
        <w:rPr>
          <w:rFonts w:ascii="Times New Roman" w:hAnsi="Times New Roman" w:cs="Times New Roman"/>
          <w:b/>
          <w:sz w:val="28"/>
          <w:szCs w:val="28"/>
        </w:rPr>
      </w:pPr>
    </w:p>
    <w:p w:rsidR="00B50D85" w:rsidRDefault="00B50D85" w:rsidP="00667F10">
      <w:pPr>
        <w:spacing w:after="0"/>
        <w:jc w:val="center"/>
        <w:rPr>
          <w:rFonts w:ascii="Times New Roman" w:hAnsi="Times New Roman" w:cs="Times New Roman"/>
          <w:b/>
          <w:sz w:val="28"/>
          <w:szCs w:val="28"/>
        </w:rPr>
      </w:pPr>
    </w:p>
    <w:p w:rsidR="00B50D85" w:rsidRPr="00B50D85" w:rsidRDefault="00B50D85" w:rsidP="00B50D85">
      <w:pPr>
        <w:pStyle w:val="Ttulo3"/>
        <w:jc w:val="center"/>
        <w:rPr>
          <w:sz w:val="28"/>
          <w:szCs w:val="28"/>
        </w:rPr>
      </w:pPr>
      <w:r w:rsidRPr="00B50D85">
        <w:rPr>
          <w:sz w:val="28"/>
          <w:szCs w:val="28"/>
        </w:rPr>
        <w:t xml:space="preserve">Factores sociales que configuran </w:t>
      </w:r>
      <w:r w:rsidR="006248E0">
        <w:rPr>
          <w:sz w:val="28"/>
          <w:szCs w:val="28"/>
        </w:rPr>
        <w:t>v</w:t>
      </w:r>
      <w:r w:rsidRPr="00B50D85">
        <w:rPr>
          <w:sz w:val="28"/>
          <w:szCs w:val="28"/>
        </w:rPr>
        <w:t>ulnerabilidad socioambiental en las comunidades de crecimiento espontáneo Indayita</w:t>
      </w:r>
      <w:r w:rsidR="006248E0">
        <w:rPr>
          <w:sz w:val="28"/>
          <w:szCs w:val="28"/>
        </w:rPr>
        <w:t xml:space="preserve"> y Caimanes de Santiago de Cuba</w:t>
      </w:r>
    </w:p>
    <w:p w:rsidR="008A1C16" w:rsidRPr="009D5E02" w:rsidRDefault="008A1C16" w:rsidP="00667F10">
      <w:pPr>
        <w:spacing w:after="0"/>
        <w:jc w:val="center"/>
        <w:rPr>
          <w:rFonts w:ascii="Times New Roman" w:hAnsi="Times New Roman" w:cs="Times New Roman"/>
          <w:b/>
          <w:sz w:val="28"/>
          <w:szCs w:val="28"/>
        </w:rPr>
      </w:pPr>
    </w:p>
    <w:p w:rsidR="00A95ABE" w:rsidRPr="00A95ABE" w:rsidRDefault="00A95ABE" w:rsidP="00A95ABE">
      <w:pPr>
        <w:spacing w:after="0"/>
        <w:jc w:val="center"/>
        <w:rPr>
          <w:rFonts w:ascii="Times New Roman" w:hAnsi="Times New Roman" w:cs="Times New Roman"/>
          <w:b/>
          <w:i/>
          <w:sz w:val="28"/>
          <w:szCs w:val="28"/>
        </w:rPr>
      </w:pPr>
      <w:r w:rsidRPr="00A95ABE">
        <w:rPr>
          <w:rFonts w:ascii="Times New Roman" w:hAnsi="Times New Roman" w:cs="Times New Roman"/>
          <w:b/>
          <w:i/>
          <w:sz w:val="28"/>
          <w:szCs w:val="28"/>
        </w:rPr>
        <w:t xml:space="preserve">Social factors that configure socio-environmental vulnerability in the spontaneously growing Indayita and Caimanes </w:t>
      </w:r>
      <w:r>
        <w:rPr>
          <w:rFonts w:ascii="Times New Roman" w:hAnsi="Times New Roman" w:cs="Times New Roman"/>
          <w:b/>
          <w:i/>
          <w:sz w:val="28"/>
          <w:szCs w:val="28"/>
        </w:rPr>
        <w:t>communities of Santiago de Cuba</w:t>
      </w:r>
    </w:p>
    <w:p w:rsidR="008A1C16" w:rsidRPr="009D5E02" w:rsidRDefault="00A95ABE" w:rsidP="00A95ABE">
      <w:pPr>
        <w:spacing w:after="0"/>
        <w:jc w:val="center"/>
        <w:rPr>
          <w:rFonts w:ascii="Times New Roman" w:hAnsi="Times New Roman" w:cs="Times New Roman"/>
          <w:b/>
          <w:i/>
          <w:sz w:val="28"/>
          <w:szCs w:val="28"/>
        </w:rPr>
      </w:pPr>
      <w:r w:rsidRPr="009D5E02">
        <w:rPr>
          <w:rFonts w:ascii="Times New Roman" w:hAnsi="Times New Roman" w:cs="Times New Roman"/>
          <w:b/>
          <w:i/>
          <w:sz w:val="28"/>
          <w:szCs w:val="28"/>
        </w:rPr>
        <w:t xml:space="preserve"> </w:t>
      </w:r>
    </w:p>
    <w:p w:rsidR="008A1C16" w:rsidRPr="009D5E02" w:rsidRDefault="006248E0"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Leandri Zayas Lamezón</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Taimi Bessy Horruitiner</w:t>
      </w:r>
      <w:r w:rsidR="009D5E02">
        <w:rPr>
          <w:rFonts w:ascii="Times New Roman" w:hAnsi="Times New Roman" w:cs="Times New Roman"/>
          <w:b/>
          <w:sz w:val="24"/>
          <w:szCs w:val="24"/>
          <w:vertAlign w:val="superscript"/>
        </w:rPr>
        <w:t>2</w:t>
      </w:r>
    </w:p>
    <w:p w:rsidR="009D5E02" w:rsidRDefault="009D5E02" w:rsidP="00FF3346">
      <w:pPr>
        <w:spacing w:after="0" w:line="360" w:lineRule="auto"/>
        <w:rPr>
          <w:rFonts w:ascii="Times New Roman" w:hAnsi="Times New Roman" w:cs="Times New Roman"/>
          <w:sz w:val="24"/>
          <w:szCs w:val="24"/>
        </w:rPr>
      </w:pPr>
    </w:p>
    <w:p w:rsidR="000E3979" w:rsidRPr="000E3979" w:rsidRDefault="006248E0" w:rsidP="000E3979">
      <w:pPr>
        <w:pStyle w:val="Prrafodelista"/>
        <w:numPr>
          <w:ilvl w:val="0"/>
          <w:numId w:val="16"/>
        </w:numPr>
        <w:tabs>
          <w:tab w:val="left" w:pos="1276"/>
        </w:tabs>
        <w:spacing w:after="0" w:line="360" w:lineRule="auto"/>
        <w:ind w:left="426"/>
        <w:rPr>
          <w:rFonts w:ascii="Times New Roman" w:hAnsi="Times New Roman" w:cs="Times New Roman"/>
          <w:sz w:val="24"/>
          <w:szCs w:val="24"/>
        </w:rPr>
      </w:pPr>
      <w:r w:rsidRPr="000E3979">
        <w:rPr>
          <w:rFonts w:ascii="Times New Roman" w:hAnsi="Times New Roman" w:cs="Times New Roman"/>
          <w:sz w:val="24"/>
          <w:szCs w:val="24"/>
        </w:rPr>
        <w:t>Leandri Zayas Lamezón</w:t>
      </w:r>
      <w:r w:rsidR="00E912D0" w:rsidRPr="000E3979">
        <w:rPr>
          <w:rFonts w:ascii="Times New Roman" w:hAnsi="Times New Roman" w:cs="Times New Roman"/>
          <w:sz w:val="24"/>
          <w:szCs w:val="24"/>
        </w:rPr>
        <w:t xml:space="preserve">. </w:t>
      </w:r>
      <w:r w:rsidRPr="000E3979">
        <w:rPr>
          <w:rFonts w:ascii="Times New Roman" w:hAnsi="Times New Roman" w:cs="Times New Roman"/>
          <w:sz w:val="24"/>
          <w:szCs w:val="24"/>
        </w:rPr>
        <w:t>Universidad de Oriente</w:t>
      </w:r>
      <w:r w:rsidR="00E912D0" w:rsidRPr="000E3979">
        <w:rPr>
          <w:rFonts w:ascii="Times New Roman" w:hAnsi="Times New Roman" w:cs="Times New Roman"/>
          <w:sz w:val="24"/>
          <w:szCs w:val="24"/>
        </w:rPr>
        <w:t xml:space="preserve">, </w:t>
      </w:r>
      <w:r w:rsidRPr="000E3979">
        <w:rPr>
          <w:rFonts w:ascii="Times New Roman" w:hAnsi="Times New Roman" w:cs="Times New Roman"/>
          <w:sz w:val="24"/>
          <w:szCs w:val="24"/>
        </w:rPr>
        <w:t>Cuba</w:t>
      </w:r>
      <w:r w:rsidR="00E912D0" w:rsidRPr="000E3979">
        <w:rPr>
          <w:rFonts w:ascii="Times New Roman" w:hAnsi="Times New Roman" w:cs="Times New Roman"/>
          <w:sz w:val="24"/>
          <w:szCs w:val="24"/>
        </w:rPr>
        <w:t>.</w:t>
      </w:r>
    </w:p>
    <w:p w:rsidR="00E912D0" w:rsidRPr="00D44411" w:rsidRDefault="00E912D0" w:rsidP="000E3979">
      <w:pPr>
        <w:spacing w:after="0" w:line="360" w:lineRule="auto"/>
        <w:ind w:left="360"/>
        <w:rPr>
          <w:rFonts w:ascii="Times New Roman" w:hAnsi="Times New Roman" w:cs="Times New Roman"/>
          <w:color w:val="548DD4" w:themeColor="text2" w:themeTint="99"/>
          <w:sz w:val="24"/>
          <w:szCs w:val="24"/>
          <w:u w:val="single"/>
        </w:rPr>
      </w:pPr>
      <w:r w:rsidRPr="000E3979">
        <w:rPr>
          <w:rFonts w:ascii="Times New Roman" w:hAnsi="Times New Roman" w:cs="Times New Roman"/>
          <w:sz w:val="24"/>
          <w:szCs w:val="24"/>
        </w:rPr>
        <w:t xml:space="preserve"> E-mail:</w:t>
      </w:r>
      <w:r w:rsidR="00D44411">
        <w:rPr>
          <w:rFonts w:ascii="Times New Roman" w:hAnsi="Times New Roman" w:cs="Times New Roman"/>
          <w:sz w:val="24"/>
          <w:szCs w:val="24"/>
        </w:rPr>
        <w:t xml:space="preserve"> </w:t>
      </w:r>
      <w:hyperlink r:id="rId7" w:history="1">
        <w:r w:rsidR="00D44411" w:rsidRPr="00F20917">
          <w:rPr>
            <w:rStyle w:val="Hipervnculo"/>
            <w:rFonts w:ascii="Times New Roman" w:hAnsi="Times New Roman" w:cs="Times New Roman"/>
            <w:sz w:val="24"/>
            <w:szCs w:val="24"/>
          </w:rPr>
          <w:t>leandri.zayas@uo.edu.cu</w:t>
        </w:r>
      </w:hyperlink>
      <w:r w:rsidR="00D44411">
        <w:rPr>
          <w:rFonts w:ascii="Times New Roman" w:hAnsi="Times New Roman" w:cs="Times New Roman"/>
          <w:sz w:val="24"/>
          <w:szCs w:val="24"/>
          <w:u w:val="single"/>
        </w:rPr>
        <w:t xml:space="preserve"> </w:t>
      </w:r>
    </w:p>
    <w:p w:rsidR="000E3979" w:rsidRPr="000E3979" w:rsidRDefault="00A95ABE" w:rsidP="000E3979">
      <w:pPr>
        <w:pStyle w:val="Prrafodelista"/>
        <w:numPr>
          <w:ilvl w:val="0"/>
          <w:numId w:val="16"/>
        </w:numPr>
        <w:spacing w:after="0" w:line="360" w:lineRule="auto"/>
        <w:ind w:left="426"/>
        <w:rPr>
          <w:rFonts w:ascii="Times New Roman" w:hAnsi="Times New Roman" w:cs="Times New Roman"/>
          <w:sz w:val="24"/>
          <w:szCs w:val="24"/>
        </w:rPr>
      </w:pPr>
      <w:r w:rsidRPr="000E3979">
        <w:rPr>
          <w:rFonts w:ascii="Times New Roman" w:hAnsi="Times New Roman" w:cs="Times New Roman"/>
          <w:sz w:val="24"/>
          <w:szCs w:val="24"/>
        </w:rPr>
        <w:t>Taimi Bessy Horruitiner</w:t>
      </w:r>
      <w:r w:rsidR="00E912D0" w:rsidRPr="000E3979">
        <w:rPr>
          <w:rFonts w:ascii="Times New Roman" w:hAnsi="Times New Roman" w:cs="Times New Roman"/>
          <w:sz w:val="24"/>
          <w:szCs w:val="24"/>
        </w:rPr>
        <w:t xml:space="preserve">. </w:t>
      </w:r>
      <w:r w:rsidRPr="000E3979">
        <w:rPr>
          <w:rFonts w:ascii="Times New Roman" w:hAnsi="Times New Roman" w:cs="Times New Roman"/>
          <w:sz w:val="24"/>
          <w:szCs w:val="24"/>
        </w:rPr>
        <w:t>Universidad de Oriente, Cuba</w:t>
      </w:r>
      <w:r w:rsidR="00E912D0" w:rsidRPr="000E3979">
        <w:rPr>
          <w:rFonts w:ascii="Times New Roman" w:hAnsi="Times New Roman" w:cs="Times New Roman"/>
          <w:sz w:val="24"/>
          <w:szCs w:val="24"/>
        </w:rPr>
        <w:t>.</w:t>
      </w:r>
    </w:p>
    <w:p w:rsidR="00E912D0" w:rsidRPr="000E3979" w:rsidRDefault="00E912D0" w:rsidP="000E3979">
      <w:pPr>
        <w:spacing w:after="0" w:line="360" w:lineRule="auto"/>
        <w:ind w:left="360"/>
        <w:rPr>
          <w:rFonts w:ascii="Times New Roman" w:hAnsi="Times New Roman" w:cs="Times New Roman"/>
          <w:sz w:val="24"/>
          <w:szCs w:val="24"/>
        </w:rPr>
      </w:pPr>
      <w:r w:rsidRPr="000E3979">
        <w:rPr>
          <w:rFonts w:ascii="Times New Roman" w:hAnsi="Times New Roman" w:cs="Times New Roman"/>
          <w:sz w:val="24"/>
          <w:szCs w:val="24"/>
        </w:rPr>
        <w:t xml:space="preserve"> E-mail:</w:t>
      </w:r>
      <w:r w:rsidR="00A95ABE" w:rsidRPr="000E3979">
        <w:rPr>
          <w:rFonts w:ascii="Times New Roman" w:hAnsi="Times New Roman" w:cs="Times New Roman"/>
          <w:sz w:val="24"/>
          <w:szCs w:val="24"/>
        </w:rPr>
        <w:t xml:space="preserve"> </w:t>
      </w:r>
      <w:hyperlink r:id="rId8" w:history="1">
        <w:r w:rsidR="00A95ABE" w:rsidRPr="000E3979">
          <w:rPr>
            <w:rStyle w:val="Hipervnculo"/>
            <w:rFonts w:ascii="Times New Roman" w:hAnsi="Times New Roman" w:cs="Times New Roman"/>
            <w:sz w:val="24"/>
            <w:szCs w:val="24"/>
          </w:rPr>
          <w:t>taimib@uo.edu.cu</w:t>
        </w:r>
      </w:hyperlink>
      <w:r w:rsidR="00A95ABE" w:rsidRPr="000E3979">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b/>
          <w:sz w:val="24"/>
          <w:szCs w:val="24"/>
        </w:rPr>
      </w:pPr>
    </w:p>
    <w:p w:rsidR="00AE3CDD" w:rsidRDefault="008A1C16" w:rsidP="00A95AB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A1C16" w:rsidRPr="0084286A" w:rsidRDefault="008A1C16" w:rsidP="0084286A">
      <w:pPr>
        <w:pStyle w:val="Prrafodelista"/>
        <w:numPr>
          <w:ilvl w:val="0"/>
          <w:numId w:val="1"/>
        </w:numPr>
        <w:spacing w:after="0" w:line="360" w:lineRule="auto"/>
        <w:jc w:val="both"/>
        <w:rPr>
          <w:rFonts w:ascii="Times New Roman" w:hAnsi="Times New Roman" w:cs="Times New Roman"/>
          <w:sz w:val="24"/>
          <w:szCs w:val="24"/>
        </w:rPr>
      </w:pPr>
      <w:r w:rsidRPr="0084286A">
        <w:rPr>
          <w:rFonts w:ascii="Times New Roman" w:hAnsi="Times New Roman" w:cs="Times New Roman"/>
          <w:b/>
          <w:sz w:val="24"/>
          <w:szCs w:val="24"/>
        </w:rPr>
        <w:t>Problemática:</w:t>
      </w:r>
      <w:r w:rsidR="00A95ABE" w:rsidRPr="0084286A">
        <w:rPr>
          <w:rFonts w:ascii="Times New Roman" w:hAnsi="Times New Roman" w:cs="Times New Roman"/>
          <w:sz w:val="24"/>
          <w:szCs w:val="24"/>
        </w:rPr>
        <w:t xml:space="preserve"> </w:t>
      </w:r>
      <w:r w:rsidR="00A95ABE" w:rsidRPr="0084286A">
        <w:rPr>
          <w:rFonts w:ascii="Times New Roman" w:hAnsi="Times New Roman" w:cs="Times New Roman"/>
          <w:color w:val="000000"/>
          <w:sz w:val="24"/>
          <w:szCs w:val="24"/>
        </w:rPr>
        <w:t>Las grandes ciudades constituyen centros de atracción social para aquellas personas que habitan fuera de ellas, específicamente los residentes en zonas rurales. La migración hacia las grandes urbes en busca de empleo, alojamiento y mejores condiciones de vida, incide palpablemente en el incremento poblacional no planificado constituyendo, en la actualidad, uno de los principales problemas urbanos, que a partir de la proliferación de comunidades de crecimiento espontáneo en la periferia de las grandes ciudades generan complejas problemáticas sociales.</w:t>
      </w:r>
    </w:p>
    <w:p w:rsidR="008A1C16" w:rsidRPr="00CD508A" w:rsidRDefault="008A1C16" w:rsidP="00CD508A">
      <w:pPr>
        <w:pStyle w:val="Prrafodelista"/>
        <w:numPr>
          <w:ilvl w:val="0"/>
          <w:numId w:val="1"/>
        </w:numPr>
        <w:spacing w:after="0" w:line="360" w:lineRule="auto"/>
        <w:jc w:val="both"/>
        <w:rPr>
          <w:rFonts w:ascii="Times New Roman" w:hAnsi="Times New Roman" w:cs="Times New Roman"/>
          <w:color w:val="000000"/>
          <w:sz w:val="24"/>
          <w:szCs w:val="24"/>
        </w:rPr>
      </w:pPr>
      <w:r w:rsidRPr="00CD508A">
        <w:rPr>
          <w:rFonts w:ascii="Times New Roman" w:hAnsi="Times New Roman" w:cs="Times New Roman"/>
          <w:b/>
          <w:sz w:val="24"/>
          <w:szCs w:val="24"/>
        </w:rPr>
        <w:t>Objetivo</w:t>
      </w:r>
      <w:r w:rsidR="009061A5" w:rsidRPr="00CD508A">
        <w:rPr>
          <w:rFonts w:ascii="Times New Roman" w:hAnsi="Times New Roman" w:cs="Times New Roman"/>
          <w:b/>
          <w:sz w:val="24"/>
          <w:szCs w:val="24"/>
        </w:rPr>
        <w:t>(</w:t>
      </w:r>
      <w:r w:rsidRPr="00CD508A">
        <w:rPr>
          <w:rFonts w:ascii="Times New Roman" w:hAnsi="Times New Roman" w:cs="Times New Roman"/>
          <w:b/>
          <w:sz w:val="24"/>
          <w:szCs w:val="24"/>
        </w:rPr>
        <w:t>s</w:t>
      </w:r>
      <w:r w:rsidR="009061A5" w:rsidRPr="00CD508A">
        <w:rPr>
          <w:rFonts w:ascii="Times New Roman" w:hAnsi="Times New Roman" w:cs="Times New Roman"/>
          <w:b/>
          <w:sz w:val="24"/>
          <w:szCs w:val="24"/>
        </w:rPr>
        <w:t>)</w:t>
      </w:r>
      <w:r w:rsidRPr="00CD508A">
        <w:rPr>
          <w:rFonts w:ascii="Times New Roman" w:hAnsi="Times New Roman" w:cs="Times New Roman"/>
          <w:b/>
          <w:sz w:val="24"/>
          <w:szCs w:val="24"/>
        </w:rPr>
        <w:t>:</w:t>
      </w:r>
      <w:r w:rsidR="00A95ABE" w:rsidRPr="00CD508A">
        <w:rPr>
          <w:rFonts w:ascii="Times New Roman" w:hAnsi="Times New Roman" w:cs="Times New Roman"/>
          <w:b/>
          <w:sz w:val="24"/>
          <w:szCs w:val="24"/>
        </w:rPr>
        <w:t xml:space="preserve"> </w:t>
      </w:r>
      <w:r w:rsidR="00A70865" w:rsidRPr="00FF44D5">
        <w:rPr>
          <w:rFonts w:ascii="Times New Roman" w:hAnsi="Times New Roman" w:cs="Times New Roman"/>
          <w:sz w:val="24"/>
          <w:szCs w:val="24"/>
        </w:rPr>
        <w:t xml:space="preserve">El objetivo de esta investigación es </w:t>
      </w:r>
      <w:r w:rsidR="00A70865">
        <w:rPr>
          <w:rFonts w:ascii="Times New Roman" w:hAnsi="Times New Roman" w:cs="Times New Roman"/>
          <w:sz w:val="24"/>
          <w:szCs w:val="24"/>
        </w:rPr>
        <w:t>a</w:t>
      </w:r>
      <w:r w:rsidR="00A95ABE" w:rsidRPr="00CD508A">
        <w:rPr>
          <w:rFonts w:ascii="Times New Roman" w:hAnsi="Times New Roman" w:cs="Times New Roman"/>
          <w:color w:val="000000"/>
          <w:sz w:val="24"/>
          <w:szCs w:val="24"/>
        </w:rPr>
        <w:t>nalizar los factores sociales que configuran la vulnerabilidad socioambiental de las comunidades de crecimiento espontáneo Indayita y Caimanes del consejo popular Agüero Mar Verde de la provincia de Santiago de Cuba.</w:t>
      </w:r>
    </w:p>
    <w:p w:rsidR="00A95ABE" w:rsidRPr="00CD508A" w:rsidRDefault="008A1C16" w:rsidP="00CD508A">
      <w:pPr>
        <w:pStyle w:val="Prrafodelista"/>
        <w:numPr>
          <w:ilvl w:val="0"/>
          <w:numId w:val="1"/>
        </w:numPr>
        <w:spacing w:after="0" w:line="360" w:lineRule="auto"/>
        <w:jc w:val="both"/>
        <w:rPr>
          <w:rFonts w:ascii="Times New Roman" w:hAnsi="Times New Roman" w:cs="Times New Roman"/>
          <w:b/>
          <w:sz w:val="24"/>
          <w:szCs w:val="24"/>
        </w:rPr>
      </w:pPr>
      <w:r w:rsidRPr="00CD508A">
        <w:rPr>
          <w:rFonts w:ascii="Times New Roman" w:hAnsi="Times New Roman" w:cs="Times New Roman"/>
          <w:b/>
          <w:sz w:val="24"/>
          <w:szCs w:val="24"/>
        </w:rPr>
        <w:lastRenderedPageBreak/>
        <w:t>Metodología:</w:t>
      </w:r>
      <w:r w:rsidR="00A95ABE" w:rsidRPr="00CD508A">
        <w:rPr>
          <w:rFonts w:ascii="Times New Roman" w:hAnsi="Times New Roman" w:cs="Times New Roman"/>
          <w:color w:val="000000"/>
          <w:sz w:val="24"/>
          <w:szCs w:val="24"/>
        </w:rPr>
        <w:t xml:space="preserve"> La determinación del índice de vulnerabilidad socioambiental de estas comunidades se realizó mediante el método de puntaje de costo para índice de vulnerabilidad.</w:t>
      </w:r>
    </w:p>
    <w:p w:rsidR="008A1C16" w:rsidRPr="0084286A" w:rsidRDefault="008A1C16" w:rsidP="0084286A">
      <w:pPr>
        <w:pStyle w:val="Prrafodelista"/>
        <w:numPr>
          <w:ilvl w:val="0"/>
          <w:numId w:val="1"/>
        </w:numPr>
        <w:spacing w:after="0" w:line="360" w:lineRule="auto"/>
        <w:jc w:val="both"/>
        <w:rPr>
          <w:rFonts w:ascii="Times New Roman" w:hAnsi="Times New Roman" w:cs="Times New Roman"/>
          <w:b/>
          <w:color w:val="000000"/>
          <w:sz w:val="24"/>
          <w:szCs w:val="24"/>
        </w:rPr>
      </w:pPr>
      <w:r w:rsidRPr="0084286A">
        <w:rPr>
          <w:rFonts w:ascii="Times New Roman" w:hAnsi="Times New Roman" w:cs="Times New Roman"/>
          <w:b/>
          <w:sz w:val="24"/>
          <w:szCs w:val="24"/>
        </w:rPr>
        <w:t>Resultados y discusión:</w:t>
      </w:r>
      <w:r w:rsidR="00AE3CDD" w:rsidRPr="0084286A">
        <w:rPr>
          <w:rFonts w:ascii="Times New Roman" w:hAnsi="Times New Roman" w:cs="Times New Roman"/>
          <w:b/>
          <w:sz w:val="24"/>
          <w:szCs w:val="24"/>
        </w:rPr>
        <w:t xml:space="preserve"> </w:t>
      </w:r>
      <w:r w:rsidR="00AE3CDD" w:rsidRPr="00CD508A">
        <w:rPr>
          <w:rFonts w:ascii="Times New Roman" w:hAnsi="Times New Roman" w:cs="Times New Roman"/>
          <w:color w:val="000000"/>
          <w:sz w:val="24"/>
          <w:szCs w:val="24"/>
        </w:rPr>
        <w:t xml:space="preserve">Entre los factores sociales que configuran la vulnerabilidad socioambiental de las comunidades analizadas se encuentran con mayor preponderancia: las condiciones naturales, el deterioro de la infraestructura física, las condiciones de pobreza e insalubridad así como la contaminación ambiental interna y externa y las prácticas sociales anti ecológicas. Teniendo en cuenta los datos obtenidos a través de las diferentes técnicas de investigación aplicadas, se comprobó que el índice de vulnerabilidad socioambiental para ambas comunidades supera el 60%, corroborándose la hipótesis planteada. </w:t>
      </w:r>
    </w:p>
    <w:p w:rsidR="0084286A" w:rsidRPr="00CD508A" w:rsidRDefault="008A1C16" w:rsidP="0084286A">
      <w:pPr>
        <w:pStyle w:val="Prrafodelista"/>
        <w:numPr>
          <w:ilvl w:val="0"/>
          <w:numId w:val="1"/>
        </w:numPr>
        <w:spacing w:after="0" w:line="360" w:lineRule="auto"/>
        <w:jc w:val="both"/>
        <w:rPr>
          <w:rFonts w:ascii="Times New Roman" w:hAnsi="Times New Roman" w:cs="Times New Roman"/>
          <w:color w:val="000000"/>
          <w:sz w:val="24"/>
          <w:szCs w:val="24"/>
        </w:rPr>
      </w:pPr>
      <w:r w:rsidRPr="00B058D4">
        <w:rPr>
          <w:rFonts w:ascii="Times New Roman" w:hAnsi="Times New Roman" w:cs="Times New Roman"/>
          <w:b/>
          <w:sz w:val="24"/>
          <w:szCs w:val="24"/>
        </w:rPr>
        <w:t>Conclusiones:</w:t>
      </w:r>
      <w:r w:rsidR="00CD508A">
        <w:rPr>
          <w:b/>
        </w:rPr>
        <w:t xml:space="preserve"> </w:t>
      </w:r>
      <w:r w:rsidR="0084286A" w:rsidRPr="00CD508A">
        <w:rPr>
          <w:rFonts w:ascii="Times New Roman" w:hAnsi="Times New Roman" w:cs="Times New Roman"/>
          <w:color w:val="000000"/>
          <w:sz w:val="24"/>
          <w:szCs w:val="24"/>
        </w:rPr>
        <w:t>En correspondencia con el plan de ordenamiento territorial y urbano de la ciudad, se proponen acciones coordinadas para mitigar la vulnerabilidad socioambiental de la población residente en estas comunidades.</w:t>
      </w:r>
    </w:p>
    <w:p w:rsidR="009061A5" w:rsidRDefault="009061A5" w:rsidP="0084286A">
      <w:pPr>
        <w:pStyle w:val="Default"/>
        <w:ind w:left="360"/>
      </w:pPr>
    </w:p>
    <w:p w:rsidR="0084286A" w:rsidRDefault="009061A5" w:rsidP="0084286A">
      <w:pPr>
        <w:spacing w:after="0" w:line="360" w:lineRule="auto"/>
        <w:jc w:val="both"/>
        <w:rPr>
          <w:rFonts w:ascii="Times New Roman" w:hAnsi="Times New Roman" w:cs="Times New Roman"/>
          <w:sz w:val="24"/>
          <w:szCs w:val="24"/>
        </w:rPr>
      </w:pPr>
      <w:r w:rsidRPr="009061A5">
        <w:rPr>
          <w:rFonts w:ascii="Times New Roman" w:hAnsi="Times New Roman" w:cs="Times New Roman"/>
          <w:b/>
          <w:i/>
          <w:sz w:val="24"/>
          <w:szCs w:val="24"/>
        </w:rPr>
        <w:t>Abstract:</w:t>
      </w:r>
      <w:r>
        <w:rPr>
          <w:rFonts w:ascii="Times New Roman" w:hAnsi="Times New Roman" w:cs="Times New Roman"/>
          <w:sz w:val="24"/>
          <w:szCs w:val="24"/>
        </w:rPr>
        <w:t xml:space="preserve"> </w:t>
      </w:r>
    </w:p>
    <w:p w:rsidR="0084286A" w:rsidRPr="000D0E63" w:rsidRDefault="000D0E63" w:rsidP="0084286A">
      <w:pPr>
        <w:pStyle w:val="Prrafodelist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i/>
          <w:sz w:val="24"/>
          <w:szCs w:val="24"/>
        </w:rPr>
      </w:pPr>
      <w:r w:rsidRPr="000D0E63">
        <w:rPr>
          <w:rFonts w:ascii="Times New Roman" w:hAnsi="Times New Roman" w:cs="Times New Roman"/>
          <w:b/>
          <w:i/>
          <w:sz w:val="24"/>
          <w:szCs w:val="24"/>
        </w:rPr>
        <w:t>Problematic:</w:t>
      </w:r>
      <w:r w:rsidR="0084286A" w:rsidRPr="000D0E63">
        <w:rPr>
          <w:rFonts w:ascii="Times New Roman" w:hAnsi="Times New Roman" w:cs="Times New Roman"/>
          <w:i/>
          <w:sz w:val="24"/>
          <w:szCs w:val="24"/>
        </w:rPr>
        <w:t xml:space="preserve"> Large cities are centers of social attraction for those who live outside of them, specifically residents in rural areas. Migration to large cities in search of employment, accommodation and better living conditions, has a palpable impact on the unplanned population increase, constituting, at present, one of the main urban problems, which from the proliferation of spontaneously growing communities in the periphery of large cities they generate complex social problems</w:t>
      </w:r>
    </w:p>
    <w:p w:rsidR="0084286A" w:rsidRPr="000D0E63" w:rsidRDefault="000D0E63" w:rsidP="0084286A">
      <w:pPr>
        <w:pStyle w:val="HTMLconformatoprevio"/>
        <w:numPr>
          <w:ilvl w:val="0"/>
          <w:numId w:val="1"/>
        </w:numPr>
        <w:spacing w:line="360" w:lineRule="auto"/>
        <w:jc w:val="both"/>
        <w:rPr>
          <w:rFonts w:ascii="Times New Roman" w:hAnsi="Times New Roman" w:cs="Times New Roman"/>
          <w:i/>
          <w:sz w:val="24"/>
          <w:szCs w:val="24"/>
        </w:rPr>
      </w:pPr>
      <w:r w:rsidRPr="000D0E63">
        <w:rPr>
          <w:rFonts w:ascii="Times New Roman" w:hAnsi="Times New Roman" w:cs="Times New Roman"/>
          <w:b/>
          <w:i/>
          <w:sz w:val="24"/>
          <w:szCs w:val="24"/>
        </w:rPr>
        <w:t>Objectives</w:t>
      </w:r>
      <w:r w:rsidR="0084286A" w:rsidRPr="000D0E63">
        <w:rPr>
          <w:rFonts w:ascii="Times New Roman" w:hAnsi="Times New Roman" w:cs="Times New Roman"/>
          <w:b/>
          <w:i/>
          <w:sz w:val="24"/>
          <w:szCs w:val="24"/>
        </w:rPr>
        <w:t>:</w:t>
      </w:r>
      <w:r w:rsidR="0084286A" w:rsidRPr="000D0E63">
        <w:rPr>
          <w:rFonts w:ascii="Times New Roman" w:hAnsi="Times New Roman" w:cs="Times New Roman"/>
          <w:i/>
          <w:sz w:val="24"/>
          <w:szCs w:val="24"/>
        </w:rPr>
        <w:t xml:space="preserve"> The objective of this research is to analyze the social factors that configure the socio-environmental vulnerability of the spontaneously growing Indayita and Caimanes communities of the Agüero Mar Verde popular council in the province of Santiago de Cuba. </w:t>
      </w:r>
    </w:p>
    <w:p w:rsidR="0084286A" w:rsidRPr="000D0E63" w:rsidRDefault="000D0E63" w:rsidP="0084286A">
      <w:pPr>
        <w:pStyle w:val="HTMLconformatoprevio"/>
        <w:numPr>
          <w:ilvl w:val="0"/>
          <w:numId w:val="1"/>
        </w:numPr>
        <w:spacing w:line="360" w:lineRule="auto"/>
        <w:jc w:val="both"/>
        <w:rPr>
          <w:rFonts w:ascii="Times New Roman" w:hAnsi="Times New Roman" w:cs="Times New Roman"/>
          <w:i/>
          <w:sz w:val="24"/>
          <w:szCs w:val="24"/>
        </w:rPr>
      </w:pPr>
      <w:r w:rsidRPr="000D0E63">
        <w:rPr>
          <w:rFonts w:ascii="Times New Roman" w:eastAsiaTheme="minorHAnsi" w:hAnsi="Times New Roman" w:cs="Times New Roman"/>
          <w:b/>
          <w:i/>
          <w:sz w:val="24"/>
          <w:szCs w:val="24"/>
          <w:lang w:eastAsia="en-US"/>
        </w:rPr>
        <w:t>Methodology:</w:t>
      </w:r>
      <w:r w:rsidRPr="000D0E63">
        <w:rPr>
          <w:rStyle w:val="y2iqfc"/>
          <w:lang/>
        </w:rPr>
        <w:t xml:space="preserve"> </w:t>
      </w:r>
      <w:r w:rsidR="0084286A" w:rsidRPr="000D0E63">
        <w:rPr>
          <w:rFonts w:ascii="Times New Roman" w:hAnsi="Times New Roman" w:cs="Times New Roman"/>
          <w:i/>
          <w:sz w:val="24"/>
          <w:szCs w:val="24"/>
        </w:rPr>
        <w:t xml:space="preserve">The determination of the socio-environmental vulnerability index of these communities was carried out using the cost scoring method for the vulnerability index. </w:t>
      </w:r>
    </w:p>
    <w:p w:rsidR="0084286A" w:rsidRPr="000D0E63" w:rsidRDefault="000D0E63" w:rsidP="0084286A">
      <w:pPr>
        <w:pStyle w:val="HTMLconformatoprevio"/>
        <w:numPr>
          <w:ilvl w:val="0"/>
          <w:numId w:val="1"/>
        </w:numPr>
        <w:spacing w:line="360" w:lineRule="auto"/>
        <w:jc w:val="both"/>
        <w:rPr>
          <w:rFonts w:ascii="Times New Roman" w:hAnsi="Times New Roman" w:cs="Times New Roman"/>
          <w:i/>
          <w:sz w:val="24"/>
          <w:szCs w:val="24"/>
        </w:rPr>
      </w:pPr>
      <w:r w:rsidRPr="000D0E63">
        <w:rPr>
          <w:rFonts w:ascii="Times New Roman" w:eastAsiaTheme="minorHAnsi" w:hAnsi="Times New Roman" w:cs="Times New Roman"/>
          <w:b/>
          <w:i/>
          <w:sz w:val="24"/>
          <w:szCs w:val="24"/>
          <w:lang w:eastAsia="en-US"/>
        </w:rPr>
        <w:lastRenderedPageBreak/>
        <w:t>Results and Discussion:</w:t>
      </w:r>
      <w:r>
        <w:rPr>
          <w:rStyle w:val="y2iqfc"/>
          <w:lang/>
        </w:rPr>
        <w:t xml:space="preserve"> </w:t>
      </w:r>
      <w:r w:rsidR="0084286A" w:rsidRPr="000D0E63">
        <w:rPr>
          <w:rFonts w:ascii="Times New Roman" w:hAnsi="Times New Roman" w:cs="Times New Roman"/>
          <w:i/>
          <w:sz w:val="24"/>
          <w:szCs w:val="24"/>
        </w:rPr>
        <w:t>Among the social factors that make up the socio-environmental vulnerability of the analyzed communities are the most prevalent: natural conditions, deterioration of physical infrastructure, poverty and unhealthy conditions, as well as internal and external environmental pollution and anti-ecological social practices. Taking into account the data obtained through the different applied research techniques, it was found that the socio-environmental vulnerability index for both communities exceeds 60%, corroborating the hypothesis raised.</w:t>
      </w:r>
    </w:p>
    <w:p w:rsidR="0084286A" w:rsidRPr="00F97BA5" w:rsidRDefault="00F97BA5" w:rsidP="0084286A">
      <w:pPr>
        <w:pStyle w:val="HTMLconformatoprevio"/>
        <w:numPr>
          <w:ilvl w:val="0"/>
          <w:numId w:val="1"/>
        </w:numPr>
        <w:spacing w:line="360" w:lineRule="auto"/>
        <w:jc w:val="both"/>
        <w:rPr>
          <w:rFonts w:ascii="Times New Roman" w:hAnsi="Times New Roman" w:cs="Times New Roman"/>
          <w:i/>
          <w:sz w:val="24"/>
          <w:szCs w:val="24"/>
        </w:rPr>
      </w:pPr>
      <w:r w:rsidRPr="00F97BA5">
        <w:rPr>
          <w:rFonts w:ascii="Times New Roman" w:eastAsiaTheme="minorHAnsi" w:hAnsi="Times New Roman" w:cs="Times New Roman"/>
          <w:b/>
          <w:i/>
          <w:sz w:val="24"/>
          <w:szCs w:val="24"/>
          <w:lang w:eastAsia="en-US"/>
        </w:rPr>
        <w:t xml:space="preserve">Conclusions: </w:t>
      </w:r>
      <w:r w:rsidR="0084286A" w:rsidRPr="00F97BA5">
        <w:rPr>
          <w:rFonts w:ascii="Times New Roman" w:hAnsi="Times New Roman" w:cs="Times New Roman"/>
          <w:i/>
          <w:sz w:val="24"/>
          <w:szCs w:val="24"/>
        </w:rPr>
        <w:t>In correspondence with the city's territorial and urban planning plan, coordinated actions are proposed to mitigate the socio-environmental vulnerability of the resident population in these communities.</w:t>
      </w:r>
    </w:p>
    <w:p w:rsidR="009061A5" w:rsidRDefault="009061A5" w:rsidP="00FF3346">
      <w:pPr>
        <w:spacing w:after="0" w:line="360" w:lineRule="auto"/>
        <w:jc w:val="both"/>
        <w:rPr>
          <w:rFonts w:ascii="Times New Roman" w:hAnsi="Times New Roman" w:cs="Times New Roman"/>
          <w:sz w:val="24"/>
          <w:szCs w:val="24"/>
        </w:rPr>
      </w:pPr>
      <w:bookmarkStart w:id="0" w:name="_GoBack"/>
      <w:bookmarkEnd w:id="0"/>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CD508A">
        <w:rPr>
          <w:rFonts w:ascii="Times New Roman" w:hAnsi="Times New Roman" w:cs="Times New Roman"/>
          <w:sz w:val="24"/>
          <w:szCs w:val="24"/>
        </w:rPr>
        <w:t>F</w:t>
      </w:r>
      <w:r w:rsidR="00CD508A" w:rsidRPr="00CD508A">
        <w:rPr>
          <w:rFonts w:ascii="Times New Roman" w:hAnsi="Times New Roman" w:cs="Times New Roman"/>
          <w:sz w:val="24"/>
          <w:szCs w:val="24"/>
        </w:rPr>
        <w:t xml:space="preserve">actores </w:t>
      </w:r>
      <w:r w:rsidR="00CD508A">
        <w:rPr>
          <w:rFonts w:ascii="Times New Roman" w:hAnsi="Times New Roman" w:cs="Times New Roman"/>
          <w:sz w:val="24"/>
          <w:szCs w:val="24"/>
        </w:rPr>
        <w:t>S</w:t>
      </w:r>
      <w:r w:rsidR="00CD508A" w:rsidRPr="00CD508A">
        <w:rPr>
          <w:rFonts w:ascii="Times New Roman" w:hAnsi="Times New Roman" w:cs="Times New Roman"/>
          <w:sz w:val="24"/>
          <w:szCs w:val="24"/>
        </w:rPr>
        <w:t>ociales</w:t>
      </w:r>
      <w:r w:rsidR="002238EC">
        <w:rPr>
          <w:rFonts w:ascii="Times New Roman" w:hAnsi="Times New Roman" w:cs="Times New Roman"/>
          <w:sz w:val="24"/>
          <w:szCs w:val="24"/>
        </w:rPr>
        <w:t>;</w:t>
      </w:r>
      <w:r w:rsidR="00CD508A" w:rsidRPr="00CD508A">
        <w:rPr>
          <w:rFonts w:ascii="Times New Roman" w:hAnsi="Times New Roman" w:cs="Times New Roman"/>
          <w:sz w:val="24"/>
          <w:szCs w:val="24"/>
        </w:rPr>
        <w:t xml:space="preserve"> </w:t>
      </w:r>
      <w:r w:rsidR="002238EC">
        <w:rPr>
          <w:rFonts w:ascii="Times New Roman" w:hAnsi="Times New Roman" w:cs="Times New Roman"/>
          <w:sz w:val="24"/>
          <w:szCs w:val="24"/>
        </w:rPr>
        <w:t>V</w:t>
      </w:r>
      <w:r w:rsidR="00CD508A" w:rsidRPr="00CD508A">
        <w:rPr>
          <w:rFonts w:ascii="Times New Roman" w:hAnsi="Times New Roman" w:cs="Times New Roman"/>
          <w:sz w:val="24"/>
          <w:szCs w:val="24"/>
        </w:rPr>
        <w:t xml:space="preserve">ulnerabilidad </w:t>
      </w:r>
      <w:r w:rsidR="002238EC">
        <w:rPr>
          <w:rFonts w:ascii="Times New Roman" w:hAnsi="Times New Roman" w:cs="Times New Roman"/>
          <w:sz w:val="24"/>
          <w:szCs w:val="24"/>
        </w:rPr>
        <w:t>S</w:t>
      </w:r>
      <w:r w:rsidR="00CD508A" w:rsidRPr="00CD508A">
        <w:rPr>
          <w:rFonts w:ascii="Times New Roman" w:hAnsi="Times New Roman" w:cs="Times New Roman"/>
          <w:sz w:val="24"/>
          <w:szCs w:val="24"/>
        </w:rPr>
        <w:t>ocioambiental</w:t>
      </w:r>
      <w:r w:rsidR="002238EC">
        <w:rPr>
          <w:rFonts w:ascii="Times New Roman" w:hAnsi="Times New Roman" w:cs="Times New Roman"/>
          <w:sz w:val="24"/>
          <w:szCs w:val="24"/>
        </w:rPr>
        <w:t>.</w:t>
      </w:r>
    </w:p>
    <w:p w:rsidR="00A21A1F" w:rsidRDefault="009061A5" w:rsidP="00FF3346">
      <w:pPr>
        <w:spacing w:after="0" w:line="360" w:lineRule="auto"/>
        <w:jc w:val="both"/>
        <w:rPr>
          <w:rStyle w:val="label"/>
        </w:rPr>
      </w:pPr>
      <w:r w:rsidRPr="00E912D0">
        <w:rPr>
          <w:rFonts w:ascii="Times New Roman" w:hAnsi="Times New Roman" w:cs="Times New Roman"/>
          <w:b/>
          <w:i/>
          <w:sz w:val="24"/>
          <w:szCs w:val="24"/>
        </w:rPr>
        <w:t>Keywords:</w:t>
      </w:r>
      <w:r w:rsidR="002238EC">
        <w:rPr>
          <w:rFonts w:ascii="Times New Roman" w:hAnsi="Times New Roman" w:cs="Times New Roman"/>
          <w:b/>
          <w:i/>
          <w:sz w:val="24"/>
          <w:szCs w:val="24"/>
        </w:rPr>
        <w:t xml:space="preserve"> </w:t>
      </w:r>
      <w:r w:rsidR="002238EC" w:rsidRPr="002238EC">
        <w:rPr>
          <w:rStyle w:val="label"/>
          <w:i/>
        </w:rPr>
        <w:t>Social Factors;</w:t>
      </w:r>
      <w:r w:rsidR="00CD508A" w:rsidRPr="002238EC">
        <w:rPr>
          <w:rStyle w:val="label"/>
          <w:i/>
        </w:rPr>
        <w:t xml:space="preserve"> </w:t>
      </w:r>
      <w:r w:rsidR="002238EC" w:rsidRPr="002238EC">
        <w:rPr>
          <w:rStyle w:val="label"/>
          <w:i/>
        </w:rPr>
        <w:t>Socio-environmental V</w:t>
      </w:r>
      <w:r w:rsidR="00CD508A" w:rsidRPr="002238EC">
        <w:rPr>
          <w:rStyle w:val="label"/>
          <w:i/>
        </w:rPr>
        <w:t>ulnerability</w:t>
      </w:r>
      <w:r w:rsidR="00CD508A">
        <w:rPr>
          <w:rStyle w:val="label"/>
        </w:rPr>
        <w:t>.</w:t>
      </w:r>
    </w:p>
    <w:p w:rsidR="002238EC" w:rsidRDefault="002238EC"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062430" w:rsidRPr="00062430" w:rsidRDefault="00062430" w:rsidP="00062430">
      <w:pPr>
        <w:pStyle w:val="portada"/>
        <w:spacing w:after="0"/>
        <w:jc w:val="both"/>
        <w:rPr>
          <w:rFonts w:eastAsiaTheme="minorHAnsi"/>
          <w:b w:val="0"/>
          <w:sz w:val="24"/>
          <w:szCs w:val="24"/>
          <w:lang w:val="es-ES" w:eastAsia="en-US"/>
        </w:rPr>
      </w:pPr>
      <w:r w:rsidRPr="00062430">
        <w:rPr>
          <w:rFonts w:eastAsiaTheme="minorHAnsi"/>
          <w:b w:val="0"/>
          <w:sz w:val="24"/>
          <w:szCs w:val="24"/>
          <w:lang w:val="es-ES" w:eastAsia="en-US"/>
        </w:rPr>
        <w:t xml:space="preserve">En la Agenda 2030 y en los Objetivos de Desarrollo Sostenible: una oportunidad para América Latina y el Caribe (Naciones Unidas, 2018), se plantea que el estudio de los índices de vulnerabilidad clasifican como uno de los objetivos más importantes del milenio. </w:t>
      </w:r>
    </w:p>
    <w:p w:rsidR="00062430" w:rsidRPr="00062430" w:rsidRDefault="00062430" w:rsidP="00062430">
      <w:pPr>
        <w:pStyle w:val="portada"/>
        <w:spacing w:after="0"/>
        <w:jc w:val="both"/>
        <w:rPr>
          <w:rFonts w:eastAsiaTheme="minorHAnsi"/>
          <w:b w:val="0"/>
          <w:sz w:val="24"/>
          <w:szCs w:val="24"/>
          <w:lang w:val="es-ES" w:eastAsia="en-US"/>
        </w:rPr>
      </w:pPr>
      <w:r w:rsidRPr="00062430">
        <w:rPr>
          <w:rFonts w:eastAsiaTheme="minorHAnsi"/>
          <w:b w:val="0"/>
          <w:sz w:val="24"/>
          <w:szCs w:val="24"/>
          <w:lang w:val="es-ES" w:eastAsia="en-US"/>
        </w:rPr>
        <w:t xml:space="preserve">El término vulnerabilidad hace referencia a los fenómenos extremos relacionados con el clima y otras perturbaciones, desastres económicos, sociales y ambientales. La evaluación de la vulnerabilidad se ha utilizado para </w:t>
      </w:r>
      <w:r w:rsidRPr="008F55C9">
        <w:rPr>
          <w:rFonts w:eastAsiaTheme="minorHAnsi"/>
          <w:b w:val="0"/>
          <w:sz w:val="24"/>
          <w:szCs w:val="24"/>
          <w:lang w:val="es-ES" w:eastAsia="en-US"/>
        </w:rPr>
        <w:t>identificar puntos críticos del impacto del cambio climático</w:t>
      </w:r>
      <w:r w:rsidRPr="00062430">
        <w:rPr>
          <w:rFonts w:eastAsiaTheme="minorHAnsi"/>
          <w:b w:val="0"/>
          <w:sz w:val="24"/>
          <w:szCs w:val="24"/>
          <w:lang w:val="es-ES" w:eastAsia="en-US"/>
        </w:rPr>
        <w:t xml:space="preserve"> y generar aportes a la adaptación y la planificación del desarrollo a nivel local, nacional y regional. Este proceso se estableció en 2010 como parte del Marco de Adaptación de Cancún y así complementar los programas nacionales de acción con la intención de reducir la vulnerabilidad de los países en vía de desarrollo, especialmente los países menos adelantados y los grupos más vulnerables. </w:t>
      </w:r>
    </w:p>
    <w:p w:rsidR="00062430" w:rsidRPr="00062430" w:rsidRDefault="00062430" w:rsidP="00062430">
      <w:pPr>
        <w:pStyle w:val="portada"/>
        <w:spacing w:after="0"/>
        <w:jc w:val="both"/>
        <w:rPr>
          <w:rFonts w:eastAsiaTheme="minorHAnsi"/>
          <w:b w:val="0"/>
          <w:sz w:val="24"/>
          <w:szCs w:val="24"/>
          <w:lang w:val="es-ES" w:eastAsia="en-US"/>
        </w:rPr>
      </w:pPr>
      <w:r w:rsidRPr="00062430">
        <w:rPr>
          <w:rFonts w:eastAsiaTheme="minorHAnsi"/>
          <w:b w:val="0"/>
          <w:sz w:val="24"/>
          <w:szCs w:val="24"/>
          <w:lang w:val="es-ES" w:eastAsia="en-US"/>
        </w:rPr>
        <w:t xml:space="preserve">La disfuncionalidad entre sociedad-medio ambiente se debe fundamentalmente a las desigualdades económicas y culturales de las clases sociales, a la creciente urgencia de consumo de bienes y servicios que implica la utilización de nuevas tecnologías en </w:t>
      </w:r>
      <w:r w:rsidRPr="00062430">
        <w:rPr>
          <w:rFonts w:eastAsiaTheme="minorHAnsi"/>
          <w:b w:val="0"/>
          <w:sz w:val="24"/>
          <w:szCs w:val="24"/>
          <w:lang w:val="es-ES" w:eastAsia="en-US"/>
        </w:rPr>
        <w:lastRenderedPageBreak/>
        <w:t>producciones fabriles que conducen a una sobreexplotación de las materias primas, a la emanación desmedida de gases contaminantes a la atmósfera y al vertimiento de residuos líquidos y sólidos tanto industriales como domésticos.</w:t>
      </w:r>
    </w:p>
    <w:p w:rsidR="00062430" w:rsidRPr="00062430" w:rsidRDefault="00062430" w:rsidP="00062430">
      <w:pPr>
        <w:pStyle w:val="Default"/>
        <w:spacing w:before="120" w:line="360" w:lineRule="auto"/>
        <w:jc w:val="both"/>
        <w:rPr>
          <w:color w:val="auto"/>
        </w:rPr>
      </w:pPr>
      <w:r w:rsidRPr="00062430">
        <w:rPr>
          <w:color w:val="auto"/>
        </w:rPr>
        <w:t xml:space="preserve">La contaminación ambiental, los procesos migratorios unidos al deterioro de la infraestructura urbana se encuentran entre los problemas más comunes que afectan a la población e influyen en el desequilibrio ecológico del planeta.  No todos los segmentos poblacionales quedan expuestos de la misma forma. Es preciso dirigir la mirada hacia aquella población migrante que ha formado comunidades en zonas limítrofes de las ciudades de peculiares características que exhiben índices de vulnerabilidad extremos. </w:t>
      </w:r>
    </w:p>
    <w:p w:rsidR="00062430" w:rsidRPr="00062430" w:rsidRDefault="00062430" w:rsidP="00062430">
      <w:pPr>
        <w:spacing w:before="120" w:after="0" w:line="360" w:lineRule="auto"/>
        <w:jc w:val="both"/>
        <w:rPr>
          <w:rFonts w:ascii="Times New Roman" w:hAnsi="Times New Roman" w:cs="Times New Roman"/>
          <w:sz w:val="24"/>
          <w:szCs w:val="24"/>
        </w:rPr>
      </w:pPr>
      <w:r w:rsidRPr="00062430">
        <w:rPr>
          <w:rFonts w:ascii="Times New Roman" w:hAnsi="Times New Roman" w:cs="Times New Roman"/>
          <w:sz w:val="24"/>
          <w:szCs w:val="24"/>
        </w:rPr>
        <w:t xml:space="preserve">Los estudios de vulnerabilidad socioambiental revisten gran importancia y actualidad para el municipio Santiago de Cuba, si se tiene en cuenta la existencia de 72 barrios precarios con una población 29 504 habitantes (Dirección Provincial de Planificación Física, 2013) cuyas características específicas las convierten en comunidades vulnerables a posibles eventos climatológicos y a la contaminación ambiental. </w:t>
      </w:r>
    </w:p>
    <w:p w:rsidR="00062430" w:rsidRPr="00062430" w:rsidRDefault="00062430" w:rsidP="0060404C">
      <w:pPr>
        <w:tabs>
          <w:tab w:val="left" w:pos="6949"/>
        </w:tabs>
        <w:spacing w:before="120" w:after="0" w:line="360" w:lineRule="auto"/>
        <w:jc w:val="both"/>
        <w:rPr>
          <w:rFonts w:ascii="Times New Roman" w:hAnsi="Times New Roman" w:cs="Times New Roman"/>
          <w:sz w:val="24"/>
          <w:szCs w:val="24"/>
        </w:rPr>
      </w:pPr>
      <w:r w:rsidRPr="00062430">
        <w:rPr>
          <w:rFonts w:ascii="Times New Roman" w:hAnsi="Times New Roman" w:cs="Times New Roman"/>
          <w:sz w:val="24"/>
          <w:szCs w:val="24"/>
        </w:rPr>
        <w:t xml:space="preserve">La creación de estas comunidades como organización social constituidas por grupos familiares, alteran las estructuras legales y administrativas del gobierno territorial  recogidas en el Plan General de Ordenamiento Urbano y Territorial (PGOUT) de la ciudad de Santiago de Cuba. Para la toma de decisiones gubernamentales en cuanto al mejoramiento de la calidad de vida de la población es imprescindible el conocimiento exhaustivo de la comunidad. </w:t>
      </w:r>
      <w:r w:rsidRPr="00E918F1">
        <w:rPr>
          <w:rFonts w:ascii="Times New Roman" w:hAnsi="Times New Roman" w:cs="Times New Roman"/>
          <w:sz w:val="24"/>
          <w:szCs w:val="24"/>
        </w:rPr>
        <w:t>Es por ello que el objetivo de este artículo se centra en determinar los principales factores sociales que configuran la vulnerabilidad socioambiental en las comunidades de crecimiento espontáneo Indayita y Caimanes del Consejo Popular Agüero Mar Verde del municipio Santiago de Cuba</w:t>
      </w:r>
      <w:r w:rsidR="00E918F1" w:rsidRPr="00E918F1">
        <w:rPr>
          <w:rFonts w:ascii="Times New Roman" w:hAnsi="Times New Roman" w:cs="Times New Roman"/>
          <w:sz w:val="24"/>
          <w:szCs w:val="24"/>
        </w:rPr>
        <w:t xml:space="preserve"> </w:t>
      </w:r>
      <w:r w:rsidRPr="00E918F1">
        <w:rPr>
          <w:rFonts w:ascii="Times New Roman" w:hAnsi="Times New Roman" w:cs="Times New Roman"/>
          <w:sz w:val="24"/>
          <w:szCs w:val="24"/>
        </w:rPr>
        <w:t xml:space="preserve"> </w:t>
      </w:r>
      <w:r w:rsidR="00E918F1" w:rsidRPr="00E918F1">
        <w:rPr>
          <w:rFonts w:ascii="Times New Roman" w:hAnsi="Times New Roman" w:cs="Times New Roman"/>
          <w:sz w:val="24"/>
          <w:szCs w:val="24"/>
        </w:rPr>
        <w:t>en aras de proponer acciones coordinadas encaminadas a minimizar la vulnerabilidad socioambiental.</w:t>
      </w:r>
    </w:p>
    <w:p w:rsidR="0060404C" w:rsidRPr="0084286A" w:rsidRDefault="0060404C" w:rsidP="0060404C">
      <w:pPr>
        <w:pStyle w:val="Ttulo2"/>
        <w:spacing w:line="360" w:lineRule="auto"/>
        <w:jc w:val="both"/>
        <w:rPr>
          <w:rFonts w:ascii="Times New Roman" w:eastAsiaTheme="minorHAnsi" w:hAnsi="Times New Roman" w:cs="Times New Roman"/>
          <w:bCs w:val="0"/>
          <w:color w:val="auto"/>
          <w:sz w:val="24"/>
          <w:szCs w:val="24"/>
        </w:rPr>
      </w:pPr>
      <w:r w:rsidRPr="0084286A">
        <w:rPr>
          <w:rFonts w:ascii="Times New Roman" w:eastAsiaTheme="minorHAnsi" w:hAnsi="Times New Roman" w:cs="Times New Roman"/>
          <w:bCs w:val="0"/>
          <w:color w:val="auto"/>
          <w:sz w:val="24"/>
          <w:szCs w:val="24"/>
        </w:rPr>
        <w:t>1.1 Nociones conceptuales para el estudio de los factores sociales que determinan la vulnerabilidad socioambiental en comunidades de crecimiento espontáneo.</w:t>
      </w:r>
    </w:p>
    <w:p w:rsidR="00A21A1F" w:rsidRDefault="00A21A1F" w:rsidP="0060404C">
      <w:pPr>
        <w:spacing w:after="0" w:line="360" w:lineRule="auto"/>
        <w:jc w:val="both"/>
        <w:rPr>
          <w:rFonts w:ascii="Times New Roman" w:hAnsi="Times New Roman" w:cs="Times New Roman"/>
          <w:sz w:val="24"/>
          <w:szCs w:val="24"/>
        </w:rPr>
      </w:pPr>
    </w:p>
    <w:p w:rsidR="0060404C" w:rsidRPr="0060404C" w:rsidRDefault="0060404C" w:rsidP="0060404C">
      <w:pPr>
        <w:spacing w:after="0" w:line="360" w:lineRule="auto"/>
        <w:jc w:val="both"/>
        <w:rPr>
          <w:rFonts w:ascii="Times New Roman" w:hAnsi="Times New Roman" w:cs="Times New Roman"/>
          <w:sz w:val="24"/>
          <w:szCs w:val="24"/>
        </w:rPr>
      </w:pPr>
      <w:r w:rsidRPr="0060404C">
        <w:rPr>
          <w:rFonts w:ascii="Times New Roman" w:hAnsi="Times New Roman" w:cs="Times New Roman"/>
          <w:sz w:val="24"/>
          <w:szCs w:val="24"/>
        </w:rPr>
        <w:t xml:space="preserve">La conceptualización de factores sociales, prácticas sociales reproducidas, vulnerabilidad socioambiental y comunidades de crecimiento espontáneo es necesaria </w:t>
      </w:r>
      <w:r w:rsidRPr="0060404C">
        <w:rPr>
          <w:rFonts w:ascii="Times New Roman" w:hAnsi="Times New Roman" w:cs="Times New Roman"/>
          <w:sz w:val="24"/>
          <w:szCs w:val="24"/>
        </w:rPr>
        <w:lastRenderedPageBreak/>
        <w:t xml:space="preserve">para el estudio de la vulnerabilidad socioambiental en comunidades de crecimiento espontáneo puesto que permite una mejor compresión del fenómeno que se investiga. </w:t>
      </w:r>
    </w:p>
    <w:p w:rsidR="0060404C" w:rsidRPr="0060404C" w:rsidRDefault="00BD5FC2" w:rsidP="006040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w:t>
      </w:r>
      <w:r w:rsidR="0060404C" w:rsidRPr="0060404C">
        <w:rPr>
          <w:rFonts w:ascii="Times New Roman" w:hAnsi="Times New Roman" w:cs="Times New Roman"/>
          <w:sz w:val="24"/>
          <w:szCs w:val="24"/>
        </w:rPr>
        <w:t xml:space="preserve">n factor social es una vía de explicación multilateral de la complejidad de una realidad concreta o sistema social, gracias al análisis de las múltiples conexiones que como parte de ese sistema y de otros se establecen a través suyo, permitiendo obtener una visión parcial de la totalidad de la misma. La importancia desde el punto de vista nodal de un factor social, es que, debido a todas las conexiones con otros aspectos múltiples de la realidad de que forma parte y de otras realidades, se logra explicar esa realidad aunque sea de manera parcial. Se supone que la explicación de esa realidad con ayuda de otros factores dará como resultado una explicación más compleja de la misma en la medida que esos factores se integran a la explicación única de esa realidad (Guzmán, 2012). </w:t>
      </w:r>
    </w:p>
    <w:p w:rsidR="0060404C" w:rsidRPr="0060404C" w:rsidRDefault="0060404C" w:rsidP="0060404C">
      <w:pPr>
        <w:spacing w:after="0" w:line="360" w:lineRule="auto"/>
        <w:jc w:val="both"/>
        <w:rPr>
          <w:rFonts w:ascii="Times New Roman" w:hAnsi="Times New Roman" w:cs="Times New Roman"/>
          <w:sz w:val="24"/>
          <w:szCs w:val="24"/>
        </w:rPr>
      </w:pPr>
      <w:r w:rsidRPr="0060404C">
        <w:rPr>
          <w:rFonts w:ascii="Times New Roman" w:hAnsi="Times New Roman" w:cs="Times New Roman"/>
          <w:sz w:val="24"/>
          <w:szCs w:val="24"/>
        </w:rPr>
        <w:t>La función del factor social más que causal (no deja de serlo) es cognoscitiva por cuanto permite conocer la realidad en que está incluido, y metodológica porque permite analizar disgregando lo que solamente puede existir unido. La misma naturaleza metodológica del factor social, lo conduce hacia la búsqueda de nuevos conocimientos sobre la realidad investigada. Cuando analizamos la sociedad a través de factores no hacemos otra cosa que disgregarla para llegar a una síntesis de conocimientos nuevos sobre ella (Guzmán, 2012).</w:t>
      </w:r>
    </w:p>
    <w:p w:rsidR="0060404C" w:rsidRPr="0060404C" w:rsidRDefault="0060404C" w:rsidP="0060404C">
      <w:pPr>
        <w:tabs>
          <w:tab w:val="left" w:pos="5025"/>
        </w:tabs>
        <w:spacing w:after="0" w:line="360" w:lineRule="auto"/>
        <w:jc w:val="both"/>
        <w:rPr>
          <w:rFonts w:ascii="Times New Roman" w:hAnsi="Times New Roman" w:cs="Times New Roman"/>
          <w:sz w:val="24"/>
          <w:szCs w:val="24"/>
        </w:rPr>
      </w:pPr>
      <w:r w:rsidRPr="0060404C">
        <w:rPr>
          <w:rFonts w:ascii="Times New Roman" w:hAnsi="Times New Roman" w:cs="Times New Roman"/>
          <w:sz w:val="24"/>
          <w:szCs w:val="24"/>
        </w:rPr>
        <w:t>En esta investigación se tienen como factores sociales  la exposición a fenómenos naturales extremos, la contaminación ambiental industrial, los factores socioeconómicos así como las prácticas sociales reproducidas. Estos se conectan directamente a aspectos intrínsecos de la realidad de las comunidades de Indayita y Caimanes como las condiciones económicas, habitacionales, educacionales, ambientales, de salud  y culturales de sus residentes.  La caracterización de cada uno de los factores sociales antes mencionados por separado y su posterior integración, conllevará al conocimiento de su incidencia en la configuración de la vulnerabilidad socioambiental de ambas comunidades.</w:t>
      </w:r>
    </w:p>
    <w:p w:rsidR="0060404C" w:rsidRPr="0060404C" w:rsidRDefault="0060404C" w:rsidP="0060404C">
      <w:pPr>
        <w:spacing w:after="0" w:line="360" w:lineRule="auto"/>
        <w:jc w:val="both"/>
        <w:rPr>
          <w:rFonts w:ascii="Times New Roman" w:hAnsi="Times New Roman" w:cs="Times New Roman"/>
          <w:sz w:val="24"/>
          <w:szCs w:val="24"/>
        </w:rPr>
      </w:pPr>
      <w:r w:rsidRPr="0060404C">
        <w:rPr>
          <w:rFonts w:ascii="Times New Roman" w:hAnsi="Times New Roman" w:cs="Times New Roman"/>
          <w:sz w:val="24"/>
          <w:szCs w:val="24"/>
        </w:rPr>
        <w:t>La vulnerabili</w:t>
      </w:r>
      <w:r w:rsidR="000E3979">
        <w:rPr>
          <w:rFonts w:ascii="Times New Roman" w:hAnsi="Times New Roman" w:cs="Times New Roman"/>
          <w:sz w:val="24"/>
          <w:szCs w:val="24"/>
        </w:rPr>
        <w:t>dad socioambiental se enmarca</w:t>
      </w:r>
      <w:r w:rsidRPr="0060404C">
        <w:rPr>
          <w:rFonts w:ascii="Times New Roman" w:hAnsi="Times New Roman" w:cs="Times New Roman"/>
          <w:sz w:val="24"/>
          <w:szCs w:val="24"/>
        </w:rPr>
        <w:t xml:space="preserve"> como un sistema, subsistema o componente del sistema </w:t>
      </w:r>
      <w:r w:rsidR="00AB249F">
        <w:rPr>
          <w:rFonts w:ascii="Times New Roman" w:hAnsi="Times New Roman" w:cs="Times New Roman"/>
          <w:sz w:val="24"/>
          <w:szCs w:val="24"/>
        </w:rPr>
        <w:t xml:space="preserve">que </w:t>
      </w:r>
      <w:r w:rsidRPr="0060404C">
        <w:rPr>
          <w:rFonts w:ascii="Times New Roman" w:hAnsi="Times New Roman" w:cs="Times New Roman"/>
          <w:sz w:val="24"/>
          <w:szCs w:val="24"/>
        </w:rPr>
        <w:t xml:space="preserve">pueden modificar sus características funcionales y estructurales mediante la exposición a impactos ambientales o a la ocurrencia de eventos climatológicos externos (Pérez, 2010). La vulnerabilidad socioambiental es causante de la pérdida, disminución o menoscabo significativo de uno o más de los </w:t>
      </w:r>
      <w:r w:rsidRPr="0060404C">
        <w:rPr>
          <w:rFonts w:ascii="Times New Roman" w:hAnsi="Times New Roman" w:cs="Times New Roman"/>
          <w:sz w:val="24"/>
          <w:szCs w:val="24"/>
        </w:rPr>
        <w:lastRenderedPageBreak/>
        <w:t xml:space="preserve">elementos componentes seleccionados del medio ambiente social (Gómez, 2014). Las formas urbanas están relacionadas con las consecuencias sociales y medioambientales, especialmente en asentamientos informales y barrios precarios, donde se originan los mayores riesgos para la salud y altos niveles de vulnerabilidad al cambio climático y a eventos extremos (Naciones Unidas, 2011). </w:t>
      </w:r>
    </w:p>
    <w:p w:rsidR="0060404C" w:rsidRPr="0060404C" w:rsidRDefault="0060404C" w:rsidP="0060404C">
      <w:pPr>
        <w:spacing w:after="0" w:line="360" w:lineRule="auto"/>
        <w:jc w:val="both"/>
        <w:rPr>
          <w:rFonts w:ascii="Times New Roman" w:hAnsi="Times New Roman" w:cs="Times New Roman"/>
          <w:sz w:val="24"/>
          <w:szCs w:val="24"/>
        </w:rPr>
      </w:pPr>
      <w:r w:rsidRPr="0060404C">
        <w:rPr>
          <w:rFonts w:ascii="Times New Roman" w:hAnsi="Times New Roman" w:cs="Times New Roman"/>
          <w:sz w:val="24"/>
          <w:szCs w:val="24"/>
        </w:rPr>
        <w:t>La vulnerabilidad socioambiental tiene como característica que surge de la interacción entre factores internos y externos que convergen en un individuo, hogar o comunidad particular en un tiempo y un espacio determinado. Las condiciones de fragilidad y desamparo al combinarse con la falta de respuestas y las debilidades internas pueden conducir a que el individuo, hogar o comunidad sufran un deterioro en el bienestar como consecuencia de estar expuesto a determinados tipos de riesgos (Pérez, 2010).</w:t>
      </w:r>
    </w:p>
    <w:p w:rsidR="0060404C" w:rsidRPr="0060404C" w:rsidRDefault="0060404C" w:rsidP="0060404C">
      <w:pPr>
        <w:spacing w:after="0" w:line="360" w:lineRule="auto"/>
        <w:jc w:val="both"/>
        <w:rPr>
          <w:rFonts w:ascii="Times New Roman" w:hAnsi="Times New Roman" w:cs="Times New Roman"/>
          <w:sz w:val="24"/>
          <w:szCs w:val="24"/>
        </w:rPr>
      </w:pPr>
      <w:r w:rsidRPr="0060404C">
        <w:rPr>
          <w:rFonts w:ascii="Times New Roman" w:hAnsi="Times New Roman" w:cs="Times New Roman"/>
          <w:sz w:val="24"/>
          <w:szCs w:val="24"/>
        </w:rPr>
        <w:t>Barrio vulnerable es aquel en los que se hace especialmente urgente la puesta en marcha de actuaciones encaminadas a combatir los procesos de degradación urbana y exclusión social. Por un lado, se refiere a la necesidad de analizar descriptores e indicadores de degradación territorial y desigualdad socio-física y por otro lado, remite a la necesidad de actuaciones urbanísticas y sociales que compensen los dos factores que producen desigualdad: la difícil integración en el mercado laboral y la pérdida de la diversidad funcional y social de los barrios (Corraliza, 2000).</w:t>
      </w:r>
    </w:p>
    <w:p w:rsidR="0060404C" w:rsidRPr="0060404C" w:rsidRDefault="0060404C" w:rsidP="0060404C">
      <w:pPr>
        <w:spacing w:after="0" w:line="360" w:lineRule="auto"/>
        <w:jc w:val="both"/>
        <w:rPr>
          <w:rFonts w:ascii="Times New Roman" w:hAnsi="Times New Roman" w:cs="Times New Roman"/>
          <w:sz w:val="24"/>
          <w:szCs w:val="24"/>
        </w:rPr>
      </w:pPr>
      <w:r w:rsidRPr="0060404C">
        <w:rPr>
          <w:rFonts w:ascii="Times New Roman" w:hAnsi="Times New Roman" w:cs="Times New Roman"/>
          <w:sz w:val="24"/>
          <w:szCs w:val="24"/>
        </w:rPr>
        <w:t>La Dirección de Planificación Física, órgano regulador del ordenamiento territorial y desarrollo urbanístico en Cuba, ha definido a los barrios precarios como un conjunto habitacional que agrupa más de 50 viviendas, surgido generalmente de manera informal, sin tener en cuenta las regulaciones urbanas y arquitectónicas. Se caracterizan por poseer una calidad ambiental marcadamente inferior a la del contexto urbano al que pertenecen o se vinculan; por no presentar definiciones previas de trazado vial y ordenamiento de las edificaciones y por carecer total o parcialmente de urbanizaciones (Dirección Provincial de Planificación Física, 2013).</w:t>
      </w:r>
    </w:p>
    <w:p w:rsidR="0060404C" w:rsidRPr="0060404C" w:rsidRDefault="0060404C" w:rsidP="0060404C">
      <w:pPr>
        <w:spacing w:after="0" w:line="360" w:lineRule="auto"/>
        <w:jc w:val="both"/>
        <w:rPr>
          <w:rFonts w:ascii="Times New Roman" w:hAnsi="Times New Roman" w:cs="Times New Roman"/>
          <w:sz w:val="24"/>
          <w:szCs w:val="24"/>
        </w:rPr>
      </w:pPr>
      <w:r w:rsidRPr="0060404C">
        <w:rPr>
          <w:rFonts w:ascii="Times New Roman" w:hAnsi="Times New Roman" w:cs="Times New Roman"/>
          <w:sz w:val="24"/>
          <w:szCs w:val="24"/>
        </w:rPr>
        <w:t xml:space="preserve">Estos y otros  conceptos de asentamiento informal coinciden en que son asentamientos humanos colectivos, concentrados espacialmente en el interior de los ámbitos urbanos, que presentan características de ilegalidad e irregularidad en el acceso y ocupación de los terrenos, y con una población de bajos recursos económicos y en condiciones de pobreza. </w:t>
      </w:r>
    </w:p>
    <w:p w:rsidR="0060404C" w:rsidRPr="0098333F" w:rsidRDefault="0060404C" w:rsidP="0060404C">
      <w:pPr>
        <w:pStyle w:val="Default"/>
        <w:spacing w:before="120" w:line="360" w:lineRule="auto"/>
        <w:jc w:val="both"/>
        <w:rPr>
          <w:color w:val="auto"/>
        </w:rPr>
      </w:pPr>
      <w:r w:rsidRPr="0098333F">
        <w:rPr>
          <w:color w:val="auto"/>
        </w:rPr>
        <w:lastRenderedPageBreak/>
        <w:t>Por tanto la vulnerabilidad socioambiental se concatena a los problemas ambientales de los asentamientos humanos. Tiene que ver con la adecuación de las necesidades básicas en relación a los servicios tradicionales como agua, saneamiento, desagüe, recolección y disposición de residuos para elevar la calidad de la vida de la población y por ende la disminución de la vulnerabilidad (Mac Donald, 1999).</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60404C" w:rsidRDefault="0060404C" w:rsidP="00FF3346">
      <w:pPr>
        <w:spacing w:after="0" w:line="360" w:lineRule="auto"/>
        <w:jc w:val="both"/>
        <w:rPr>
          <w:rFonts w:ascii="Times New Roman" w:hAnsi="Times New Roman" w:cs="Times New Roman"/>
          <w:sz w:val="24"/>
          <w:szCs w:val="24"/>
        </w:rPr>
      </w:pPr>
      <w:r w:rsidRPr="00CE0326">
        <w:rPr>
          <w:rFonts w:ascii="Times New Roman" w:hAnsi="Times New Roman"/>
          <w:sz w:val="24"/>
          <w:szCs w:val="24"/>
        </w:rPr>
        <w:t>Se realizó un estudio exploratorio con el fin de recopilar información suficiente para la selección de los indicadores. Fueron empleadas la</w:t>
      </w:r>
      <w:r w:rsidR="00A46726">
        <w:rPr>
          <w:rFonts w:ascii="Times New Roman" w:hAnsi="Times New Roman"/>
          <w:sz w:val="24"/>
          <w:szCs w:val="24"/>
        </w:rPr>
        <w:t>s</w:t>
      </w:r>
      <w:r w:rsidRPr="00CE0326">
        <w:rPr>
          <w:rFonts w:ascii="Times New Roman" w:hAnsi="Times New Roman"/>
          <w:sz w:val="24"/>
          <w:szCs w:val="24"/>
        </w:rPr>
        <w:t xml:space="preserve"> entrevista</w:t>
      </w:r>
      <w:r w:rsidR="00A46726">
        <w:rPr>
          <w:rFonts w:ascii="Times New Roman" w:hAnsi="Times New Roman"/>
          <w:sz w:val="24"/>
          <w:szCs w:val="24"/>
        </w:rPr>
        <w:t>s</w:t>
      </w:r>
      <w:r w:rsidRPr="00CE0326">
        <w:rPr>
          <w:rFonts w:ascii="Times New Roman" w:hAnsi="Times New Roman"/>
          <w:sz w:val="24"/>
          <w:szCs w:val="24"/>
        </w:rPr>
        <w:t xml:space="preserve"> </w:t>
      </w:r>
      <w:r w:rsidR="00A46726">
        <w:rPr>
          <w:rFonts w:ascii="Times New Roman" w:hAnsi="Times New Roman"/>
          <w:sz w:val="24"/>
          <w:szCs w:val="24"/>
        </w:rPr>
        <w:t>grupales, entrevistas expertos,</w:t>
      </w:r>
      <w:r w:rsidRPr="00CE0326">
        <w:rPr>
          <w:rFonts w:ascii="Times New Roman" w:hAnsi="Times New Roman"/>
          <w:sz w:val="24"/>
          <w:szCs w:val="24"/>
        </w:rPr>
        <w:t xml:space="preserve"> observación</w:t>
      </w:r>
      <w:r w:rsidR="00A46726">
        <w:rPr>
          <w:rFonts w:ascii="Times New Roman" w:hAnsi="Times New Roman"/>
          <w:sz w:val="24"/>
          <w:szCs w:val="24"/>
        </w:rPr>
        <w:t xml:space="preserve"> científica participante</w:t>
      </w:r>
      <w:r w:rsidRPr="00CE0326">
        <w:rPr>
          <w:rFonts w:ascii="Times New Roman" w:hAnsi="Times New Roman"/>
          <w:sz w:val="24"/>
          <w:szCs w:val="24"/>
        </w:rPr>
        <w:t>, en aras de lograr los objetivos planteados</w:t>
      </w:r>
      <w:r w:rsidR="00BD5FC2">
        <w:rPr>
          <w:rFonts w:ascii="Times New Roman" w:hAnsi="Times New Roman"/>
          <w:sz w:val="24"/>
          <w:szCs w:val="24"/>
        </w:rPr>
        <w:t>.</w:t>
      </w:r>
    </w:p>
    <w:p w:rsidR="0060404C" w:rsidRPr="0060404C" w:rsidRDefault="0060404C" w:rsidP="0060404C">
      <w:pPr>
        <w:spacing w:after="0" w:line="360" w:lineRule="auto"/>
        <w:jc w:val="both"/>
        <w:rPr>
          <w:rFonts w:ascii="Times New Roman" w:hAnsi="Times New Roman" w:cs="Times New Roman"/>
          <w:sz w:val="24"/>
          <w:szCs w:val="24"/>
        </w:rPr>
      </w:pPr>
      <w:r w:rsidRPr="0060404C">
        <w:rPr>
          <w:rFonts w:ascii="Times New Roman" w:hAnsi="Times New Roman" w:cs="Times New Roman"/>
          <w:sz w:val="24"/>
          <w:szCs w:val="24"/>
        </w:rPr>
        <w:t>En esta investigación sociológica se utiliza el método de la triangulación metodológica, ya que permite concatenar la información obtenida mediante la aplicación de técnicas de la metodología cualitativa y cuantitativa</w:t>
      </w:r>
      <w:r w:rsidR="00AB249F">
        <w:rPr>
          <w:rFonts w:ascii="Times New Roman" w:hAnsi="Times New Roman" w:cs="Times New Roman"/>
          <w:sz w:val="24"/>
          <w:szCs w:val="24"/>
        </w:rPr>
        <w:t>.</w:t>
      </w:r>
      <w:r w:rsidRPr="0060404C">
        <w:rPr>
          <w:rFonts w:ascii="Times New Roman" w:hAnsi="Times New Roman" w:cs="Times New Roman"/>
          <w:sz w:val="24"/>
          <w:szCs w:val="24"/>
        </w:rPr>
        <w:t xml:space="preserve"> Del nivel teórico se utilizaron los métodos: Histórico - lógico, Análisis- síntesis y Ascensión de lo abstracto a lo concreto. Se utilizaron los procesadores SPSS y Excel para el procesamiento de los datos obtenidos y el método del cálculo del puntaje omega como análisis estadístico. </w:t>
      </w:r>
    </w:p>
    <w:p w:rsidR="0060404C" w:rsidRPr="0060404C" w:rsidRDefault="0060404C" w:rsidP="0060404C">
      <w:pPr>
        <w:spacing w:after="0" w:line="360" w:lineRule="auto"/>
        <w:jc w:val="both"/>
        <w:rPr>
          <w:rFonts w:ascii="Times New Roman" w:hAnsi="Times New Roman" w:cs="Times New Roman"/>
          <w:sz w:val="24"/>
          <w:szCs w:val="24"/>
        </w:rPr>
      </w:pPr>
      <w:r w:rsidRPr="0060404C">
        <w:rPr>
          <w:rFonts w:ascii="Times New Roman" w:hAnsi="Times New Roman" w:cs="Times New Roman"/>
          <w:sz w:val="24"/>
          <w:szCs w:val="24"/>
        </w:rPr>
        <w:t>La determinación del índice de vulnerabilidad socioambiental pretende ser integrador por cuanto incluye dimensiones educativas, demográficas,  de condiciones de vivienda, de  infraestructura, servicios,  etc. que constituyen rasgos de la propia persona y de la comunidad en  particular. La síntesis y sistematización de la información permite orientar el producto a la toma de decisiones (Cardoso 2017).</w:t>
      </w:r>
    </w:p>
    <w:p w:rsidR="0060404C" w:rsidRPr="0060404C" w:rsidRDefault="0060404C" w:rsidP="0060404C">
      <w:pPr>
        <w:spacing w:after="0" w:line="360" w:lineRule="auto"/>
        <w:jc w:val="both"/>
        <w:rPr>
          <w:rFonts w:ascii="Times New Roman" w:hAnsi="Times New Roman" w:cs="Times New Roman"/>
          <w:sz w:val="24"/>
          <w:szCs w:val="24"/>
        </w:rPr>
      </w:pPr>
      <w:r w:rsidRPr="0060404C">
        <w:rPr>
          <w:rFonts w:ascii="Times New Roman" w:hAnsi="Times New Roman" w:cs="Times New Roman"/>
          <w:sz w:val="24"/>
          <w:szCs w:val="24"/>
        </w:rPr>
        <w:t xml:space="preserve">La tarea de construir un índice de vulnerabilidad socioambiental (IVSA) consta de una serie de etapas: selección de variables, recopilación de datos de fuentes confiables, creación de la matriz de datos, normalización – estandarización de las variables, cálculo del puntaje de clasificación espacial de costo y beneficio, generación del índice. El IVSA permite detectar  diferentes niveles que son categorizados en quintiles y representados cartográficamente para su análisis. </w:t>
      </w:r>
    </w:p>
    <w:p w:rsidR="0060404C" w:rsidRPr="0060404C" w:rsidRDefault="0060404C" w:rsidP="0060404C">
      <w:pPr>
        <w:pStyle w:val="Default"/>
        <w:spacing w:line="360" w:lineRule="auto"/>
        <w:jc w:val="both"/>
        <w:rPr>
          <w:color w:val="auto"/>
        </w:rPr>
      </w:pPr>
      <w:r>
        <w:rPr>
          <w:color w:val="auto"/>
        </w:rPr>
        <w:t>N</w:t>
      </w:r>
      <w:r w:rsidRPr="0060404C">
        <w:rPr>
          <w:color w:val="auto"/>
        </w:rPr>
        <w:t xml:space="preserve">ormalización y estandarización de los datos de cada variable. </w:t>
      </w:r>
    </w:p>
    <w:p w:rsidR="0060404C" w:rsidRPr="0060404C" w:rsidRDefault="0060404C" w:rsidP="0060404C">
      <w:pPr>
        <w:pStyle w:val="Default"/>
        <w:spacing w:line="360" w:lineRule="auto"/>
        <w:jc w:val="both"/>
        <w:rPr>
          <w:color w:val="auto"/>
        </w:rPr>
      </w:pPr>
      <w:r w:rsidRPr="0060404C">
        <w:rPr>
          <w:color w:val="auto"/>
        </w:rPr>
        <w:t xml:space="preserve">El término normalización se refiere a la transformación de los valores de los indicadores medidos en diferentes escalas y en diferentes unidades en valores sin unidades en una escala común. Es conseguir de los números un significado mediante la evaluación de la criticidad del valor de un indicador, donde podemos definir </w:t>
      </w:r>
      <w:r w:rsidR="00BD5FC2">
        <w:rPr>
          <w:color w:val="auto"/>
        </w:rPr>
        <w:t>0</w:t>
      </w:r>
      <w:r w:rsidRPr="0060404C">
        <w:rPr>
          <w:color w:val="auto"/>
        </w:rPr>
        <w:t xml:space="preserve"> como óptimo o sin </w:t>
      </w:r>
      <w:r w:rsidRPr="0060404C">
        <w:rPr>
          <w:color w:val="auto"/>
        </w:rPr>
        <w:lastRenderedPageBreak/>
        <w:t xml:space="preserve">mejoría necesaria o posible y 1 como crítico donde el sistema ya no funciona. El procedimiento de estandarización de los datos de cada variable incluye el cálculo del puntaje omega </w:t>
      </w:r>
      <w:r w:rsidR="00024BB2">
        <w:rPr>
          <w:color w:val="auto"/>
        </w:rPr>
        <w:t xml:space="preserve">o de costo (ecuación 1) </w:t>
      </w:r>
      <w:r w:rsidRPr="0060404C">
        <w:rPr>
          <w:color w:val="auto"/>
        </w:rPr>
        <w:t xml:space="preserve">volviéndolos perfectamente comparables (Cardoso, 2017). </w:t>
      </w:r>
    </w:p>
    <w:p w:rsidR="0060404C" w:rsidRPr="00BD5FC2" w:rsidRDefault="00BD5FC2" w:rsidP="0060404C">
      <w:pPr>
        <w:pStyle w:val="Default"/>
        <w:spacing w:line="360" w:lineRule="auto"/>
        <w:jc w:val="both"/>
        <w:rPr>
          <w:i/>
          <w:color w:val="auto"/>
        </w:rPr>
      </w:pPr>
      <m:oMathPara>
        <m:oMath>
          <m:r>
            <w:rPr>
              <w:rFonts w:ascii="Cambria Math" w:hAnsi="Cambria Math"/>
              <w:color w:val="auto"/>
            </w:rPr>
            <m:t>Puntaje de costo para índice de vulnerabilidad=</m:t>
          </m:r>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x</m:t>
                  </m:r>
                </m:e>
                <m:sub>
                  <m:r>
                    <w:rPr>
                      <w:rFonts w:ascii="Cambria Math" w:hAnsi="Cambria Math"/>
                      <w:color w:val="auto"/>
                    </w:rPr>
                    <m:t>i-m</m:t>
                  </m:r>
                </m:sub>
              </m:sSub>
            </m:num>
            <m:den>
              <m:r>
                <w:rPr>
                  <w:rFonts w:ascii="Cambria Math" w:hAnsi="Cambria Math"/>
                  <w:color w:val="auto"/>
                </w:rPr>
                <m:t>M-m</m:t>
              </m:r>
            </m:den>
          </m:f>
          <m:r>
            <w:rPr>
              <w:rFonts w:ascii="Cambria Math" w:hAnsi="Cambria Math"/>
              <w:color w:val="auto"/>
            </w:rPr>
            <m:t xml:space="preserve"> ×100…….(1)</m:t>
          </m:r>
        </m:oMath>
      </m:oMathPara>
    </w:p>
    <w:p w:rsidR="0060404C" w:rsidRPr="0060404C" w:rsidRDefault="0060404C" w:rsidP="0060404C">
      <w:pPr>
        <w:pStyle w:val="Default"/>
        <w:spacing w:line="360" w:lineRule="auto"/>
        <w:jc w:val="both"/>
        <w:rPr>
          <w:color w:val="auto"/>
        </w:rPr>
      </w:pPr>
      <w:r w:rsidRPr="0060404C">
        <w:rPr>
          <w:color w:val="auto"/>
        </w:rPr>
        <w:t xml:space="preserve">Dónde: Xi: es el valor normalizado </w:t>
      </w:r>
    </w:p>
    <w:p w:rsidR="0060404C" w:rsidRPr="0060404C" w:rsidRDefault="0060404C" w:rsidP="0060404C">
      <w:pPr>
        <w:pStyle w:val="Default"/>
        <w:spacing w:line="360" w:lineRule="auto"/>
        <w:ind w:left="709"/>
        <w:jc w:val="both"/>
        <w:rPr>
          <w:color w:val="auto"/>
        </w:rPr>
      </w:pPr>
      <w:r w:rsidRPr="0060404C">
        <w:rPr>
          <w:color w:val="auto"/>
        </w:rPr>
        <w:t xml:space="preserve">m: el valor mínimo </w:t>
      </w:r>
    </w:p>
    <w:p w:rsidR="0060404C" w:rsidRPr="0060404C" w:rsidRDefault="0060404C" w:rsidP="0060404C">
      <w:pPr>
        <w:pStyle w:val="Default"/>
        <w:spacing w:line="360" w:lineRule="auto"/>
        <w:ind w:left="709"/>
        <w:jc w:val="both"/>
        <w:rPr>
          <w:color w:val="auto"/>
        </w:rPr>
      </w:pPr>
      <w:r w:rsidRPr="0060404C">
        <w:rPr>
          <w:color w:val="auto"/>
        </w:rPr>
        <w:t xml:space="preserve">M: el valor máximo </w:t>
      </w:r>
    </w:p>
    <w:p w:rsidR="0060404C" w:rsidRDefault="0060404C" w:rsidP="0060404C">
      <w:pPr>
        <w:pStyle w:val="Default"/>
        <w:spacing w:before="120" w:line="360" w:lineRule="auto"/>
        <w:jc w:val="both"/>
        <w:rPr>
          <w:color w:val="auto"/>
        </w:rPr>
      </w:pPr>
      <w:r w:rsidRPr="0060404C">
        <w:rPr>
          <w:color w:val="auto"/>
        </w:rPr>
        <w:t>La ponderación de las dimensiones consiste en el cálculo del puntaje de costo para cada indicador como un simple promedio. Según el valor obtenido será la clasificación de las dimensiones que constituyen la vulnerabilidad ambiental. Dichos valores, que oscilan entre el 0 y 100, expresan los valores de vulnerabilidad, los que se acerquen a 100 serán poseedores de mayores niveles de vulnerabilidad, indicativos de peores condiciones de vida y de una situación de indefensión más acuciante ante la ocurrencia de eventos peligrosos.</w:t>
      </w:r>
    </w:p>
    <w:p w:rsidR="0060404C" w:rsidRPr="0060404C" w:rsidRDefault="0060404C" w:rsidP="0060404C">
      <w:pPr>
        <w:spacing w:line="360" w:lineRule="auto"/>
        <w:jc w:val="both"/>
        <w:rPr>
          <w:rFonts w:ascii="Times New Roman" w:hAnsi="Times New Roman" w:cs="Times New Roman"/>
          <w:sz w:val="24"/>
          <w:szCs w:val="24"/>
        </w:rPr>
      </w:pPr>
      <w:r w:rsidRPr="0060404C">
        <w:rPr>
          <w:rFonts w:ascii="Times New Roman" w:hAnsi="Times New Roman" w:cs="Times New Roman"/>
          <w:sz w:val="24"/>
          <w:szCs w:val="24"/>
        </w:rPr>
        <w:t xml:space="preserve">Finalmente, el cálculo del promedio de las variables representa el puntaje de clasificación espacial. Éste constituye el IVSA </w:t>
      </w:r>
      <w:r w:rsidR="00024BB2" w:rsidRPr="0060404C">
        <w:rPr>
          <w:rFonts w:ascii="Times New Roman" w:hAnsi="Times New Roman" w:cs="Times New Roman"/>
          <w:sz w:val="24"/>
          <w:szCs w:val="24"/>
        </w:rPr>
        <w:t xml:space="preserve">(ecuación </w:t>
      </w:r>
      <w:r w:rsidR="00024BB2">
        <w:rPr>
          <w:rFonts w:ascii="Times New Roman" w:hAnsi="Times New Roman" w:cs="Times New Roman"/>
          <w:sz w:val="24"/>
          <w:szCs w:val="24"/>
        </w:rPr>
        <w:t>2</w:t>
      </w:r>
      <w:r w:rsidR="00024BB2" w:rsidRPr="0060404C">
        <w:rPr>
          <w:rFonts w:ascii="Times New Roman" w:hAnsi="Times New Roman" w:cs="Times New Roman"/>
          <w:sz w:val="24"/>
          <w:szCs w:val="24"/>
        </w:rPr>
        <w:t xml:space="preserve">) </w:t>
      </w:r>
      <w:r w:rsidRPr="0060404C">
        <w:rPr>
          <w:rFonts w:ascii="Times New Roman" w:hAnsi="Times New Roman" w:cs="Times New Roman"/>
          <w:sz w:val="24"/>
          <w:szCs w:val="24"/>
        </w:rPr>
        <w:t>que al clasificarse (por quintiles) da cuenta de la distribución espacial en los siguientes niveles: Muy alto (80-100), Alto (60-79), Medio (50-59), Bajo (30-49), Muy bajo (0-29) (Cardoso, 2017).</w:t>
      </w:r>
    </w:p>
    <w:p w:rsidR="0060404C" w:rsidRPr="00BD5FC2" w:rsidRDefault="00AB249F" w:rsidP="0060404C">
      <w:pPr>
        <w:spacing w:line="360" w:lineRule="auto"/>
        <w:jc w:val="both"/>
        <w:rPr>
          <w:rFonts w:ascii="Times New Roman" w:hAnsi="Times New Roman" w:cs="Times New Roman"/>
          <w:i/>
          <w:sz w:val="24"/>
          <w:szCs w:val="24"/>
        </w:rPr>
      </w:pPr>
      <m:oMathPara>
        <m:oMath>
          <m:r>
            <w:rPr>
              <w:rFonts w:ascii="Cambria Math" w:hAnsi="Cambria Math" w:cs="Times New Roman"/>
              <w:sz w:val="24"/>
              <w:szCs w:val="24"/>
            </w:rPr>
            <m:t>IVSA=</m:t>
          </m:r>
          <m:f>
            <m:fPr>
              <m:ctrlPr>
                <w:rPr>
                  <w:rFonts w:ascii="Cambria Math" w:hAnsi="Cambria Math" w:cs="Times New Roman"/>
                  <w:i/>
                  <w:sz w:val="24"/>
                  <w:szCs w:val="24"/>
                </w:rPr>
              </m:ctrlPr>
            </m:fPr>
            <m:num>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 xml:space="preserve">puntaje de costo de cada variable  </m:t>
                  </m:r>
                </m:e>
              </m:nary>
            </m:num>
            <m:den>
              <m:r>
                <w:rPr>
                  <w:rFonts w:ascii="Cambria Math" w:hAnsi="Cambria Math" w:cs="Times New Roman"/>
                  <w:sz w:val="24"/>
                  <w:szCs w:val="24"/>
                </w:rPr>
                <m:t>número de variables</m:t>
              </m:r>
            </m:den>
          </m:f>
          <m:r>
            <m:rPr>
              <m:sty m:val="p"/>
            </m:rPr>
            <w:rPr>
              <w:rFonts w:ascii="Cambria Math" w:hAnsi="Cambria Math" w:cs="Times New Roman"/>
              <w:sz w:val="24"/>
              <w:szCs w:val="24"/>
            </w:rPr>
            <m:t>……</m:t>
          </m:r>
          <m:r>
            <w:rPr>
              <w:rFonts w:ascii="Cambria Math" w:hAnsi="Cambria Math" w:cs="Times New Roman"/>
              <w:sz w:val="24"/>
              <w:szCs w:val="24"/>
            </w:rPr>
            <m:t>(2)</m:t>
          </m:r>
        </m:oMath>
      </m:oMathPara>
    </w:p>
    <w:p w:rsidR="00062430" w:rsidRDefault="00062430" w:rsidP="0060404C">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2219FE" w:rsidRPr="00024BB2" w:rsidRDefault="002219FE" w:rsidP="002219FE">
      <w:pPr>
        <w:spacing w:line="360" w:lineRule="auto"/>
        <w:jc w:val="both"/>
        <w:rPr>
          <w:rFonts w:ascii="Times New Roman" w:hAnsi="Times New Roman" w:cs="Times New Roman"/>
          <w:b/>
          <w:sz w:val="24"/>
          <w:szCs w:val="24"/>
        </w:rPr>
      </w:pPr>
      <w:r w:rsidRPr="00024BB2">
        <w:rPr>
          <w:rFonts w:ascii="Times New Roman" w:hAnsi="Times New Roman" w:cs="Times New Roman"/>
          <w:b/>
          <w:sz w:val="24"/>
          <w:szCs w:val="24"/>
        </w:rPr>
        <w:t>3.1 Caracterización de las comunidades Indayita y Caimanes.</w:t>
      </w:r>
    </w:p>
    <w:p w:rsidR="002219FE" w:rsidRPr="0012037D" w:rsidRDefault="002219FE" w:rsidP="002219FE">
      <w:pPr>
        <w:spacing w:line="360" w:lineRule="auto"/>
        <w:jc w:val="both"/>
        <w:rPr>
          <w:rFonts w:ascii="Times New Roman" w:hAnsi="Times New Roman" w:cs="Times New Roman"/>
          <w:sz w:val="24"/>
          <w:szCs w:val="24"/>
        </w:rPr>
      </w:pPr>
      <w:r w:rsidRPr="0012037D">
        <w:rPr>
          <w:rFonts w:ascii="Times New Roman" w:hAnsi="Times New Roman" w:cs="Times New Roman"/>
          <w:sz w:val="24"/>
          <w:szCs w:val="24"/>
        </w:rPr>
        <w:t>Las comunidades de crecimiento espontáneo Indayita y Caimanes, también conocidas como finca Arquímedes Colina, comparten un área geográfica de 122 585 m</w:t>
      </w:r>
      <w:r w:rsidRPr="00024BB2">
        <w:rPr>
          <w:rFonts w:ascii="Times New Roman" w:hAnsi="Times New Roman" w:cs="Times New Roman"/>
          <w:sz w:val="24"/>
          <w:szCs w:val="24"/>
          <w:vertAlign w:val="superscript"/>
        </w:rPr>
        <w:t>2</w:t>
      </w:r>
      <w:r w:rsidRPr="0012037D">
        <w:rPr>
          <w:rFonts w:ascii="Times New Roman" w:hAnsi="Times New Roman" w:cs="Times New Roman"/>
          <w:sz w:val="24"/>
          <w:szCs w:val="24"/>
        </w:rPr>
        <w:t>, con una densidad poblacional de 4.4 habitantes/km</w:t>
      </w:r>
      <w:r w:rsidRPr="00024BB2">
        <w:rPr>
          <w:rFonts w:ascii="Times New Roman" w:hAnsi="Times New Roman" w:cs="Times New Roman"/>
          <w:sz w:val="24"/>
          <w:szCs w:val="24"/>
          <w:vertAlign w:val="superscript"/>
        </w:rPr>
        <w:t>2</w:t>
      </w:r>
      <w:r w:rsidRPr="0012037D">
        <w:rPr>
          <w:rFonts w:ascii="Times New Roman" w:hAnsi="Times New Roman" w:cs="Times New Roman"/>
          <w:sz w:val="24"/>
          <w:szCs w:val="24"/>
        </w:rPr>
        <w:t xml:space="preserve">, calculada mediante la ecuación </w:t>
      </w:r>
      <w:r>
        <w:rPr>
          <w:rFonts w:ascii="Times New Roman" w:hAnsi="Times New Roman" w:cs="Times New Roman"/>
          <w:sz w:val="24"/>
          <w:szCs w:val="24"/>
        </w:rPr>
        <w:t>3</w:t>
      </w:r>
      <w:r w:rsidRPr="0012037D">
        <w:rPr>
          <w:rFonts w:ascii="Times New Roman" w:hAnsi="Times New Roman" w:cs="Times New Roman"/>
          <w:sz w:val="24"/>
          <w:szCs w:val="24"/>
        </w:rPr>
        <w:t>. Se encuentran ubicadas entre la carretera de la Refinería y los límites del Reparto  Nuevo Vista Alegre del Consejo Popular Agüero Mar Verde del  Distrito 1 José Martí, en el municipio de Santiago de Cuba.</w:t>
      </w:r>
    </w:p>
    <w:p w:rsidR="002219FE" w:rsidRPr="0012037D" w:rsidRDefault="002219FE" w:rsidP="002219FE">
      <w:pPr>
        <w:tabs>
          <w:tab w:val="left" w:pos="6575"/>
        </w:tabs>
        <w:spacing w:line="360" w:lineRule="auto"/>
        <w:jc w:val="center"/>
        <w:rPr>
          <w:rFonts w:ascii="Times New Roman" w:hAnsi="Times New Roman" w:cs="Times New Roman"/>
          <w:sz w:val="24"/>
          <w:szCs w:val="24"/>
        </w:rPr>
      </w:pPr>
      <m:oMathPara>
        <m:oMath>
          <m:r>
            <w:rPr>
              <w:rFonts w:ascii="Cambria Math" w:hAnsi="Cambria Math" w:cs="Times New Roman"/>
              <w:sz w:val="24"/>
              <w:szCs w:val="24"/>
            </w:rPr>
            <w:lastRenderedPageBreak/>
            <m:t>Densidad poblacional =</m:t>
          </m:r>
          <m:f>
            <m:fPr>
              <m:ctrlPr>
                <w:rPr>
                  <w:rFonts w:ascii="Cambria Math" w:hAnsi="Cambria Math" w:cs="Times New Roman"/>
                  <w:i/>
                  <w:sz w:val="24"/>
                  <w:szCs w:val="24"/>
                </w:rPr>
              </m:ctrlPr>
            </m:fPr>
            <m:num>
              <m:r>
                <w:rPr>
                  <w:rFonts w:ascii="Cambria Math" w:hAnsi="Cambria Math" w:cs="Times New Roman"/>
                  <w:sz w:val="24"/>
                  <w:szCs w:val="24"/>
                </w:rPr>
                <m:t>Población</m:t>
              </m:r>
            </m:num>
            <m:den>
              <m:r>
                <w:rPr>
                  <w:rFonts w:ascii="Cambria Math" w:hAnsi="Cambria Math" w:cs="Times New Roman"/>
                  <w:sz w:val="24"/>
                  <w:szCs w:val="24"/>
                </w:rPr>
                <m:t>Hectáreas</m:t>
              </m:r>
            </m:den>
          </m:f>
          <m:r>
            <m:rPr>
              <m:sty m:val="p"/>
            </m:rPr>
            <w:rPr>
              <w:rFonts w:ascii="Cambria Math" w:hAnsi="Cambria Math" w:cs="Times New Roman"/>
              <w:sz w:val="24"/>
              <w:szCs w:val="24"/>
            </w:rPr>
            <m:t>…….(3)</m:t>
          </m:r>
        </m:oMath>
      </m:oMathPara>
    </w:p>
    <w:p w:rsidR="002219FE" w:rsidRPr="0012037D" w:rsidRDefault="002219FE" w:rsidP="002219FE">
      <w:pPr>
        <w:spacing w:line="360" w:lineRule="auto"/>
        <w:jc w:val="both"/>
        <w:rPr>
          <w:rFonts w:ascii="Times New Roman" w:hAnsi="Times New Roman" w:cs="Times New Roman"/>
          <w:sz w:val="24"/>
          <w:szCs w:val="24"/>
        </w:rPr>
      </w:pPr>
      <w:r w:rsidRPr="0012037D">
        <w:rPr>
          <w:rFonts w:ascii="Times New Roman" w:hAnsi="Times New Roman" w:cs="Times New Roman"/>
          <w:sz w:val="24"/>
          <w:szCs w:val="24"/>
        </w:rPr>
        <w:t>Colindan al Norte con la textilera Celia Sánchez Manduley y el Reparto Marimón, al Este con el Reparto Nuevo Vista Alegre, al Sur con el sistema urbano paseo Martí y al Oeste con la bahía y las instituciones económicas y sociales de la zona industrial de provincia Santiago de Cuba.</w:t>
      </w:r>
    </w:p>
    <w:p w:rsidR="002219FE" w:rsidRPr="00024BB2" w:rsidRDefault="002219FE" w:rsidP="002219FE">
      <w:pPr>
        <w:spacing w:after="0" w:line="360" w:lineRule="auto"/>
        <w:jc w:val="both"/>
        <w:rPr>
          <w:rFonts w:ascii="Times New Roman" w:hAnsi="Times New Roman" w:cs="Times New Roman"/>
          <w:b/>
          <w:sz w:val="24"/>
          <w:szCs w:val="24"/>
        </w:rPr>
      </w:pPr>
      <w:r w:rsidRPr="0012037D">
        <w:rPr>
          <w:rFonts w:ascii="Times New Roman" w:hAnsi="Times New Roman" w:cs="Times New Roman"/>
          <w:sz w:val="24"/>
          <w:szCs w:val="24"/>
        </w:rPr>
        <w:t xml:space="preserve">El estudio geofísico demuestra que los suelos de las comunidades de Indayita y Caimanes son arcillosos en su gran mayoría con solo algunas zonas arenosas. Al norte es atravesada por el cauce del río Los Guao por lo que posee condiciones favorables para el cultivo agrícola. Estas comunidades se encuentran aproximadamente a 340 m  de la falla tectónica No. 10 Aguadores-El Zaíno localizada entre los puntos cardinales NW-SE de la provincia Santiago de Cuba, con una extensión de 12.5 Km (Medina, 1999) </w:t>
      </w:r>
      <w:r w:rsidR="006956AD">
        <w:rPr>
          <w:rFonts w:ascii="Times New Roman" w:hAnsi="Times New Roman" w:cs="Times New Roman"/>
          <w:sz w:val="24"/>
          <w:szCs w:val="24"/>
        </w:rPr>
        <w:t xml:space="preserve">La La composición y caracterización de la población y del fondo habitacional de las comunidades de Indayita y Caimanes se muestran en las tablas 1 y 2. </w:t>
      </w:r>
    </w:p>
    <w:p w:rsidR="002219FE" w:rsidRPr="0012037D" w:rsidRDefault="002219FE" w:rsidP="002219FE">
      <w:pPr>
        <w:spacing w:line="360" w:lineRule="auto"/>
        <w:jc w:val="center"/>
        <w:rPr>
          <w:rFonts w:ascii="Times New Roman" w:hAnsi="Times New Roman" w:cs="Times New Roman"/>
          <w:sz w:val="24"/>
          <w:szCs w:val="24"/>
        </w:rPr>
      </w:pPr>
      <w:r w:rsidRPr="0012037D">
        <w:rPr>
          <w:rFonts w:ascii="Times New Roman" w:hAnsi="Times New Roman" w:cs="Times New Roman"/>
          <w:sz w:val="24"/>
          <w:szCs w:val="24"/>
        </w:rPr>
        <w:t>Tabla 1 Población de las comunidades de Indayita y Caimanes</w:t>
      </w:r>
    </w:p>
    <w:tbl>
      <w:tblPr>
        <w:tblW w:w="9227" w:type="dxa"/>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1275"/>
        <w:gridCol w:w="1134"/>
        <w:gridCol w:w="1134"/>
        <w:gridCol w:w="1210"/>
        <w:gridCol w:w="993"/>
        <w:gridCol w:w="1134"/>
        <w:gridCol w:w="992"/>
      </w:tblGrid>
      <w:tr w:rsidR="002219FE" w:rsidRPr="00024BB2" w:rsidTr="00E85B17">
        <w:trPr>
          <w:trHeight w:val="290"/>
          <w:jc w:val="center"/>
        </w:trPr>
        <w:tc>
          <w:tcPr>
            <w:tcW w:w="1355" w:type="dxa"/>
            <w:vMerge w:val="restart"/>
            <w:shd w:val="clear" w:color="auto" w:fill="auto"/>
            <w:vAlign w:val="center"/>
          </w:tcPr>
          <w:p w:rsidR="002219FE" w:rsidRPr="00024BB2" w:rsidRDefault="002219FE" w:rsidP="00B223D9">
            <w:pPr>
              <w:pStyle w:val="Sinespaciado"/>
              <w:spacing w:before="0" w:after="0" w:line="240" w:lineRule="auto"/>
              <w:jc w:val="center"/>
              <w:rPr>
                <w:rFonts w:ascii="Times New Roman" w:eastAsiaTheme="minorHAnsi" w:hAnsi="Times New Roman"/>
                <w:i w:val="0"/>
                <w:iCs w:val="0"/>
                <w:sz w:val="22"/>
                <w:szCs w:val="22"/>
                <w:lang w:val="es-ES" w:eastAsia="en-US"/>
              </w:rPr>
            </w:pPr>
          </w:p>
          <w:p w:rsidR="002219FE" w:rsidRPr="00024BB2" w:rsidRDefault="002219FE" w:rsidP="00B223D9">
            <w:pPr>
              <w:pStyle w:val="Sinespaciado"/>
              <w:spacing w:before="0" w:after="0" w:line="240" w:lineRule="auto"/>
              <w:jc w:val="center"/>
              <w:rPr>
                <w:rFonts w:ascii="Times New Roman" w:eastAsiaTheme="minorHAnsi" w:hAnsi="Times New Roman"/>
                <w:i w:val="0"/>
                <w:iCs w:val="0"/>
                <w:sz w:val="22"/>
                <w:szCs w:val="22"/>
                <w:lang w:val="es-ES" w:eastAsia="en-US"/>
              </w:rPr>
            </w:pPr>
            <w:r w:rsidRPr="00024BB2">
              <w:rPr>
                <w:rFonts w:ascii="Times New Roman" w:eastAsiaTheme="minorHAnsi" w:hAnsi="Times New Roman"/>
                <w:i w:val="0"/>
                <w:iCs w:val="0"/>
                <w:sz w:val="22"/>
                <w:szCs w:val="22"/>
                <w:lang w:val="es-ES" w:eastAsia="en-US"/>
              </w:rPr>
              <w:t>Comunidad</w:t>
            </w:r>
          </w:p>
          <w:p w:rsidR="002219FE" w:rsidRPr="00024BB2" w:rsidRDefault="002219FE" w:rsidP="00B223D9">
            <w:pPr>
              <w:pStyle w:val="Sinespaciado"/>
              <w:spacing w:before="0" w:after="0" w:line="240" w:lineRule="auto"/>
              <w:jc w:val="center"/>
              <w:rPr>
                <w:rFonts w:ascii="Times New Roman" w:eastAsiaTheme="minorHAnsi" w:hAnsi="Times New Roman"/>
                <w:i w:val="0"/>
                <w:iCs w:val="0"/>
                <w:sz w:val="22"/>
                <w:szCs w:val="22"/>
                <w:lang w:val="es-ES" w:eastAsia="en-US"/>
              </w:rPr>
            </w:pPr>
          </w:p>
        </w:tc>
        <w:tc>
          <w:tcPr>
            <w:tcW w:w="1275" w:type="dxa"/>
            <w:vMerge w:val="restart"/>
            <w:shd w:val="clear" w:color="auto" w:fill="auto"/>
            <w:vAlign w:val="center"/>
          </w:tcPr>
          <w:p w:rsidR="002219FE" w:rsidRPr="00024BB2" w:rsidRDefault="002219FE" w:rsidP="00B223D9">
            <w:pPr>
              <w:pStyle w:val="Sinespaciado"/>
              <w:spacing w:before="0" w:after="0" w:line="240" w:lineRule="auto"/>
              <w:jc w:val="center"/>
              <w:rPr>
                <w:rFonts w:ascii="Times New Roman" w:eastAsiaTheme="minorHAnsi" w:hAnsi="Times New Roman"/>
                <w:i w:val="0"/>
                <w:iCs w:val="0"/>
                <w:sz w:val="22"/>
                <w:szCs w:val="22"/>
                <w:lang w:val="es-ES" w:eastAsia="en-US"/>
              </w:rPr>
            </w:pPr>
            <w:r w:rsidRPr="00024BB2">
              <w:rPr>
                <w:rFonts w:ascii="Times New Roman" w:eastAsiaTheme="minorHAnsi" w:hAnsi="Times New Roman"/>
                <w:i w:val="0"/>
                <w:iCs w:val="0"/>
                <w:sz w:val="22"/>
                <w:szCs w:val="22"/>
                <w:lang w:val="es-ES" w:eastAsia="en-US"/>
              </w:rPr>
              <w:t>Población</w:t>
            </w:r>
          </w:p>
        </w:tc>
        <w:tc>
          <w:tcPr>
            <w:tcW w:w="1134" w:type="dxa"/>
            <w:vMerge w:val="restart"/>
            <w:vAlign w:val="center"/>
          </w:tcPr>
          <w:p w:rsidR="002219FE" w:rsidRPr="00024BB2" w:rsidRDefault="002219FE" w:rsidP="00B223D9">
            <w:pPr>
              <w:pStyle w:val="Sinespaciado"/>
              <w:spacing w:before="0" w:after="0" w:line="240" w:lineRule="auto"/>
              <w:jc w:val="center"/>
              <w:rPr>
                <w:rFonts w:ascii="Times New Roman" w:eastAsiaTheme="minorHAnsi" w:hAnsi="Times New Roman"/>
                <w:i w:val="0"/>
                <w:iCs w:val="0"/>
                <w:sz w:val="22"/>
                <w:szCs w:val="22"/>
                <w:lang w:val="es-ES" w:eastAsia="en-US"/>
              </w:rPr>
            </w:pPr>
            <w:r w:rsidRPr="00024BB2">
              <w:rPr>
                <w:rFonts w:ascii="Times New Roman" w:eastAsiaTheme="minorHAnsi" w:hAnsi="Times New Roman"/>
                <w:i w:val="0"/>
                <w:iCs w:val="0"/>
                <w:sz w:val="22"/>
                <w:szCs w:val="22"/>
                <w:lang w:val="es-ES" w:eastAsia="en-US"/>
              </w:rPr>
              <w:t>Hombres</w:t>
            </w:r>
          </w:p>
        </w:tc>
        <w:tc>
          <w:tcPr>
            <w:tcW w:w="1134" w:type="dxa"/>
            <w:vMerge w:val="restart"/>
            <w:shd w:val="clear" w:color="auto" w:fill="auto"/>
            <w:vAlign w:val="center"/>
          </w:tcPr>
          <w:p w:rsidR="002219FE" w:rsidRPr="00024BB2" w:rsidRDefault="002219FE" w:rsidP="00B223D9">
            <w:pPr>
              <w:pStyle w:val="Sinespaciado"/>
              <w:spacing w:before="0" w:after="0" w:line="240" w:lineRule="auto"/>
              <w:jc w:val="center"/>
              <w:rPr>
                <w:rFonts w:ascii="Times New Roman" w:eastAsiaTheme="minorHAnsi" w:hAnsi="Times New Roman"/>
                <w:i w:val="0"/>
                <w:iCs w:val="0"/>
                <w:sz w:val="22"/>
                <w:szCs w:val="22"/>
                <w:lang w:val="es-ES" w:eastAsia="en-US"/>
              </w:rPr>
            </w:pPr>
            <w:r w:rsidRPr="00024BB2">
              <w:rPr>
                <w:rFonts w:ascii="Times New Roman" w:eastAsiaTheme="minorHAnsi" w:hAnsi="Times New Roman"/>
                <w:i w:val="0"/>
                <w:iCs w:val="0"/>
                <w:sz w:val="22"/>
                <w:szCs w:val="22"/>
                <w:lang w:val="es-ES" w:eastAsia="en-US"/>
              </w:rPr>
              <w:t>Mujeres</w:t>
            </w:r>
          </w:p>
        </w:tc>
        <w:tc>
          <w:tcPr>
            <w:tcW w:w="4329" w:type="dxa"/>
            <w:gridSpan w:val="4"/>
          </w:tcPr>
          <w:p w:rsidR="002219FE" w:rsidRPr="00024BB2" w:rsidRDefault="002219FE" w:rsidP="00B223D9">
            <w:pPr>
              <w:pStyle w:val="Sinespaciado"/>
              <w:spacing w:before="0" w:after="0" w:line="240" w:lineRule="auto"/>
              <w:jc w:val="center"/>
              <w:rPr>
                <w:rFonts w:ascii="Times New Roman" w:eastAsiaTheme="minorHAnsi" w:hAnsi="Times New Roman"/>
                <w:i w:val="0"/>
                <w:iCs w:val="0"/>
                <w:sz w:val="22"/>
                <w:szCs w:val="22"/>
                <w:lang w:val="es-ES" w:eastAsia="en-US"/>
              </w:rPr>
            </w:pPr>
            <w:r w:rsidRPr="00024BB2">
              <w:rPr>
                <w:rFonts w:ascii="Times New Roman" w:eastAsiaTheme="minorHAnsi" w:hAnsi="Times New Roman"/>
                <w:i w:val="0"/>
                <w:iCs w:val="0"/>
                <w:sz w:val="22"/>
                <w:szCs w:val="22"/>
                <w:lang w:val="es-ES" w:eastAsia="en-US"/>
              </w:rPr>
              <w:t>Población socialmente vulnerable</w:t>
            </w:r>
          </w:p>
        </w:tc>
      </w:tr>
      <w:tr w:rsidR="002219FE" w:rsidRPr="00024BB2" w:rsidTr="00E85B17">
        <w:trPr>
          <w:trHeight w:val="599"/>
          <w:jc w:val="center"/>
        </w:trPr>
        <w:tc>
          <w:tcPr>
            <w:tcW w:w="1355" w:type="dxa"/>
            <w:vMerge/>
            <w:shd w:val="clear" w:color="auto" w:fill="auto"/>
          </w:tcPr>
          <w:p w:rsidR="002219FE" w:rsidRPr="00024BB2" w:rsidRDefault="002219FE" w:rsidP="00B223D9">
            <w:pPr>
              <w:pStyle w:val="Sinespaciado"/>
              <w:spacing w:before="0" w:after="0" w:line="240" w:lineRule="auto"/>
              <w:jc w:val="center"/>
              <w:rPr>
                <w:rFonts w:ascii="Times New Roman" w:eastAsiaTheme="minorHAnsi" w:hAnsi="Times New Roman"/>
                <w:i w:val="0"/>
                <w:iCs w:val="0"/>
                <w:sz w:val="22"/>
                <w:szCs w:val="22"/>
                <w:lang w:val="es-ES" w:eastAsia="en-US"/>
              </w:rPr>
            </w:pPr>
          </w:p>
        </w:tc>
        <w:tc>
          <w:tcPr>
            <w:tcW w:w="1275" w:type="dxa"/>
            <w:vMerge/>
            <w:shd w:val="clear" w:color="auto" w:fill="auto"/>
          </w:tcPr>
          <w:p w:rsidR="002219FE" w:rsidRPr="00024BB2" w:rsidRDefault="002219FE" w:rsidP="00B223D9">
            <w:pPr>
              <w:pStyle w:val="Sinespaciado"/>
              <w:spacing w:before="0" w:after="0" w:line="240" w:lineRule="auto"/>
              <w:jc w:val="center"/>
              <w:rPr>
                <w:rFonts w:ascii="Times New Roman" w:eastAsiaTheme="minorHAnsi" w:hAnsi="Times New Roman"/>
                <w:i w:val="0"/>
                <w:iCs w:val="0"/>
                <w:sz w:val="22"/>
                <w:szCs w:val="22"/>
                <w:lang w:val="es-ES" w:eastAsia="en-US"/>
              </w:rPr>
            </w:pPr>
          </w:p>
        </w:tc>
        <w:tc>
          <w:tcPr>
            <w:tcW w:w="1134" w:type="dxa"/>
            <w:vMerge/>
          </w:tcPr>
          <w:p w:rsidR="002219FE" w:rsidRPr="00024BB2" w:rsidRDefault="002219FE" w:rsidP="00B223D9">
            <w:pPr>
              <w:pStyle w:val="Sinespaciado"/>
              <w:spacing w:before="0" w:after="0" w:line="240" w:lineRule="auto"/>
              <w:jc w:val="center"/>
              <w:rPr>
                <w:rFonts w:ascii="Times New Roman" w:eastAsiaTheme="minorHAnsi" w:hAnsi="Times New Roman"/>
                <w:i w:val="0"/>
                <w:iCs w:val="0"/>
                <w:sz w:val="22"/>
                <w:szCs w:val="22"/>
                <w:lang w:val="es-ES" w:eastAsia="en-US"/>
              </w:rPr>
            </w:pPr>
          </w:p>
        </w:tc>
        <w:tc>
          <w:tcPr>
            <w:tcW w:w="1134" w:type="dxa"/>
            <w:vMerge/>
            <w:shd w:val="clear" w:color="auto" w:fill="auto"/>
          </w:tcPr>
          <w:p w:rsidR="002219FE" w:rsidRPr="00024BB2" w:rsidRDefault="002219FE" w:rsidP="00B223D9">
            <w:pPr>
              <w:pStyle w:val="Sinespaciado"/>
              <w:spacing w:before="0" w:after="0" w:line="240" w:lineRule="auto"/>
              <w:jc w:val="center"/>
              <w:rPr>
                <w:rFonts w:ascii="Times New Roman" w:eastAsiaTheme="minorHAnsi" w:hAnsi="Times New Roman"/>
                <w:i w:val="0"/>
                <w:iCs w:val="0"/>
                <w:sz w:val="22"/>
                <w:szCs w:val="22"/>
                <w:lang w:val="es-ES" w:eastAsia="en-US"/>
              </w:rPr>
            </w:pPr>
          </w:p>
        </w:tc>
        <w:tc>
          <w:tcPr>
            <w:tcW w:w="1210" w:type="dxa"/>
          </w:tcPr>
          <w:p w:rsidR="002219FE" w:rsidRPr="00024BB2" w:rsidRDefault="002219FE" w:rsidP="00B223D9">
            <w:pPr>
              <w:pStyle w:val="Sinespaciado"/>
              <w:spacing w:before="0" w:after="0" w:line="240" w:lineRule="auto"/>
              <w:jc w:val="center"/>
              <w:rPr>
                <w:rFonts w:ascii="Times New Roman" w:eastAsiaTheme="minorHAnsi" w:hAnsi="Times New Roman"/>
                <w:i w:val="0"/>
                <w:iCs w:val="0"/>
                <w:sz w:val="22"/>
                <w:szCs w:val="22"/>
                <w:lang w:val="es-ES" w:eastAsia="en-US"/>
              </w:rPr>
            </w:pPr>
            <w:r w:rsidRPr="00024BB2">
              <w:rPr>
                <w:rFonts w:ascii="Times New Roman" w:eastAsiaTheme="minorHAnsi" w:hAnsi="Times New Roman"/>
                <w:i w:val="0"/>
                <w:iCs w:val="0"/>
                <w:sz w:val="22"/>
                <w:szCs w:val="22"/>
                <w:lang w:val="es-ES" w:eastAsia="en-US"/>
              </w:rPr>
              <w:t>Gestantes</w:t>
            </w:r>
          </w:p>
        </w:tc>
        <w:tc>
          <w:tcPr>
            <w:tcW w:w="993" w:type="dxa"/>
          </w:tcPr>
          <w:p w:rsidR="002219FE" w:rsidRPr="00024BB2" w:rsidRDefault="002219FE" w:rsidP="00B223D9">
            <w:pPr>
              <w:pStyle w:val="Sinespaciado"/>
              <w:spacing w:before="0" w:after="0" w:line="240" w:lineRule="auto"/>
              <w:jc w:val="center"/>
              <w:rPr>
                <w:rFonts w:ascii="Times New Roman" w:eastAsiaTheme="minorHAnsi" w:hAnsi="Times New Roman"/>
                <w:i w:val="0"/>
                <w:iCs w:val="0"/>
                <w:sz w:val="22"/>
                <w:szCs w:val="22"/>
                <w:lang w:val="es-ES" w:eastAsia="en-US"/>
              </w:rPr>
            </w:pPr>
            <w:r w:rsidRPr="00024BB2">
              <w:rPr>
                <w:rFonts w:ascii="Times New Roman" w:eastAsiaTheme="minorHAnsi" w:hAnsi="Times New Roman"/>
                <w:i w:val="0"/>
                <w:iCs w:val="0"/>
                <w:sz w:val="22"/>
                <w:szCs w:val="22"/>
                <w:lang w:val="es-ES" w:eastAsia="en-US"/>
              </w:rPr>
              <w:t>Menores de edad</w:t>
            </w:r>
          </w:p>
        </w:tc>
        <w:tc>
          <w:tcPr>
            <w:tcW w:w="1134" w:type="dxa"/>
          </w:tcPr>
          <w:p w:rsidR="002219FE" w:rsidRPr="00024BB2" w:rsidRDefault="002219FE" w:rsidP="00B223D9">
            <w:pPr>
              <w:pStyle w:val="Sinespaciado"/>
              <w:spacing w:before="0" w:after="0" w:line="240" w:lineRule="auto"/>
              <w:jc w:val="center"/>
              <w:rPr>
                <w:rFonts w:ascii="Times New Roman" w:eastAsiaTheme="minorHAnsi" w:hAnsi="Times New Roman"/>
                <w:i w:val="0"/>
                <w:iCs w:val="0"/>
                <w:sz w:val="22"/>
                <w:szCs w:val="22"/>
                <w:lang w:val="es-ES" w:eastAsia="en-US"/>
              </w:rPr>
            </w:pPr>
            <w:r w:rsidRPr="00024BB2">
              <w:rPr>
                <w:rFonts w:ascii="Times New Roman" w:eastAsiaTheme="minorHAnsi" w:hAnsi="Times New Roman"/>
                <w:i w:val="0"/>
                <w:iCs w:val="0"/>
                <w:sz w:val="22"/>
                <w:szCs w:val="22"/>
                <w:lang w:val="es-ES" w:eastAsia="en-US"/>
              </w:rPr>
              <w:t>Lactantes</w:t>
            </w:r>
          </w:p>
        </w:tc>
        <w:tc>
          <w:tcPr>
            <w:tcW w:w="992" w:type="dxa"/>
          </w:tcPr>
          <w:p w:rsidR="002219FE" w:rsidRPr="00024BB2" w:rsidRDefault="002219FE" w:rsidP="00B223D9">
            <w:pPr>
              <w:pStyle w:val="Sinespaciado"/>
              <w:spacing w:before="0" w:after="0" w:line="240" w:lineRule="auto"/>
              <w:jc w:val="center"/>
              <w:rPr>
                <w:rFonts w:ascii="Times New Roman" w:eastAsiaTheme="minorHAnsi" w:hAnsi="Times New Roman"/>
                <w:i w:val="0"/>
                <w:iCs w:val="0"/>
                <w:sz w:val="22"/>
                <w:szCs w:val="22"/>
                <w:lang w:val="es-ES" w:eastAsia="en-US"/>
              </w:rPr>
            </w:pPr>
            <w:r w:rsidRPr="00024BB2">
              <w:rPr>
                <w:rFonts w:ascii="Times New Roman" w:eastAsiaTheme="minorHAnsi" w:hAnsi="Times New Roman"/>
                <w:i w:val="0"/>
                <w:iCs w:val="0"/>
                <w:sz w:val="22"/>
                <w:szCs w:val="22"/>
                <w:lang w:val="es-ES" w:eastAsia="en-US"/>
              </w:rPr>
              <w:t>Adultos Mayores</w:t>
            </w:r>
          </w:p>
        </w:tc>
      </w:tr>
      <w:tr w:rsidR="002219FE" w:rsidRPr="0012037D" w:rsidTr="00E85B17">
        <w:trPr>
          <w:trHeight w:val="56"/>
          <w:jc w:val="center"/>
        </w:trPr>
        <w:tc>
          <w:tcPr>
            <w:tcW w:w="1355" w:type="dxa"/>
            <w:shd w:val="clear" w:color="auto" w:fill="auto"/>
          </w:tcPr>
          <w:p w:rsidR="002219FE" w:rsidRPr="0012037D" w:rsidRDefault="002219FE" w:rsidP="00B223D9">
            <w:pPr>
              <w:pStyle w:val="Sinespaciado"/>
              <w:spacing w:before="0" w:line="240" w:lineRule="auto"/>
              <w:jc w:val="center"/>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Indayita</w:t>
            </w:r>
          </w:p>
        </w:tc>
        <w:tc>
          <w:tcPr>
            <w:tcW w:w="1275" w:type="dxa"/>
            <w:shd w:val="clear" w:color="auto" w:fill="auto"/>
          </w:tcPr>
          <w:p w:rsidR="002219FE" w:rsidRPr="0012037D" w:rsidRDefault="002219FE" w:rsidP="00B223D9">
            <w:pPr>
              <w:pStyle w:val="Sinespaciado"/>
              <w:tabs>
                <w:tab w:val="left" w:pos="204"/>
              </w:tabs>
              <w:spacing w:before="0" w:line="240" w:lineRule="auto"/>
              <w:jc w:val="center"/>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267</w:t>
            </w:r>
          </w:p>
        </w:tc>
        <w:tc>
          <w:tcPr>
            <w:tcW w:w="1134" w:type="dxa"/>
          </w:tcPr>
          <w:p w:rsidR="002219FE" w:rsidRPr="0012037D" w:rsidRDefault="002219FE" w:rsidP="00B223D9">
            <w:pPr>
              <w:pStyle w:val="Sinespaciado"/>
              <w:spacing w:before="0" w:line="240" w:lineRule="auto"/>
              <w:jc w:val="center"/>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108</w:t>
            </w:r>
          </w:p>
        </w:tc>
        <w:tc>
          <w:tcPr>
            <w:tcW w:w="1134" w:type="dxa"/>
            <w:shd w:val="clear" w:color="auto" w:fill="auto"/>
          </w:tcPr>
          <w:p w:rsidR="002219FE" w:rsidRPr="0012037D" w:rsidRDefault="002219FE" w:rsidP="00B223D9">
            <w:pPr>
              <w:pStyle w:val="Sinespaciado"/>
              <w:spacing w:before="0" w:line="240" w:lineRule="auto"/>
              <w:jc w:val="center"/>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104</w:t>
            </w:r>
          </w:p>
        </w:tc>
        <w:tc>
          <w:tcPr>
            <w:tcW w:w="1210" w:type="dxa"/>
          </w:tcPr>
          <w:p w:rsidR="002219FE" w:rsidRPr="0012037D" w:rsidRDefault="002219FE" w:rsidP="00B223D9">
            <w:pPr>
              <w:pStyle w:val="Sinespaciado"/>
              <w:spacing w:before="0" w:line="240" w:lineRule="auto"/>
              <w:jc w:val="center"/>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9</w:t>
            </w:r>
          </w:p>
        </w:tc>
        <w:tc>
          <w:tcPr>
            <w:tcW w:w="993" w:type="dxa"/>
          </w:tcPr>
          <w:p w:rsidR="002219FE" w:rsidRPr="0012037D" w:rsidRDefault="002219FE" w:rsidP="00B223D9">
            <w:pPr>
              <w:pStyle w:val="Sinespaciado"/>
              <w:spacing w:before="0" w:line="240" w:lineRule="auto"/>
              <w:jc w:val="center"/>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55</w:t>
            </w:r>
          </w:p>
        </w:tc>
        <w:tc>
          <w:tcPr>
            <w:tcW w:w="1134" w:type="dxa"/>
          </w:tcPr>
          <w:p w:rsidR="002219FE" w:rsidRPr="0012037D" w:rsidRDefault="002219FE" w:rsidP="00B223D9">
            <w:pPr>
              <w:pStyle w:val="Sinespaciado"/>
              <w:spacing w:before="0" w:line="240" w:lineRule="auto"/>
              <w:jc w:val="center"/>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12</w:t>
            </w:r>
          </w:p>
        </w:tc>
        <w:tc>
          <w:tcPr>
            <w:tcW w:w="992" w:type="dxa"/>
          </w:tcPr>
          <w:p w:rsidR="002219FE" w:rsidRPr="0012037D" w:rsidRDefault="002219FE" w:rsidP="00B223D9">
            <w:pPr>
              <w:pStyle w:val="Sinespaciado"/>
              <w:spacing w:before="0" w:line="240" w:lineRule="auto"/>
              <w:jc w:val="center"/>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10</w:t>
            </w:r>
          </w:p>
        </w:tc>
      </w:tr>
      <w:tr w:rsidR="002219FE" w:rsidRPr="0012037D" w:rsidTr="00E85B17">
        <w:trPr>
          <w:trHeight w:val="108"/>
          <w:jc w:val="center"/>
        </w:trPr>
        <w:tc>
          <w:tcPr>
            <w:tcW w:w="1355" w:type="dxa"/>
            <w:shd w:val="clear" w:color="auto" w:fill="auto"/>
          </w:tcPr>
          <w:p w:rsidR="002219FE" w:rsidRPr="0012037D" w:rsidRDefault="002219FE" w:rsidP="00B223D9">
            <w:pPr>
              <w:pStyle w:val="Sinespaciado"/>
              <w:spacing w:before="0" w:line="240" w:lineRule="auto"/>
              <w:jc w:val="center"/>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Caimanes</w:t>
            </w:r>
          </w:p>
        </w:tc>
        <w:tc>
          <w:tcPr>
            <w:tcW w:w="1275" w:type="dxa"/>
            <w:shd w:val="clear" w:color="auto" w:fill="auto"/>
          </w:tcPr>
          <w:p w:rsidR="002219FE" w:rsidRPr="0012037D" w:rsidRDefault="002219FE" w:rsidP="00B223D9">
            <w:pPr>
              <w:pStyle w:val="Sinespaciado"/>
              <w:spacing w:before="0" w:line="240" w:lineRule="auto"/>
              <w:jc w:val="center"/>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276</w:t>
            </w:r>
          </w:p>
        </w:tc>
        <w:tc>
          <w:tcPr>
            <w:tcW w:w="1134" w:type="dxa"/>
          </w:tcPr>
          <w:p w:rsidR="002219FE" w:rsidRPr="0012037D" w:rsidRDefault="002219FE" w:rsidP="00B223D9">
            <w:pPr>
              <w:pStyle w:val="Sinespaciado"/>
              <w:spacing w:before="0" w:line="240" w:lineRule="auto"/>
              <w:jc w:val="center"/>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106</w:t>
            </w:r>
          </w:p>
        </w:tc>
        <w:tc>
          <w:tcPr>
            <w:tcW w:w="1134" w:type="dxa"/>
            <w:shd w:val="clear" w:color="auto" w:fill="auto"/>
          </w:tcPr>
          <w:p w:rsidR="002219FE" w:rsidRPr="0012037D" w:rsidRDefault="002219FE" w:rsidP="00B223D9">
            <w:pPr>
              <w:pStyle w:val="Sinespaciado"/>
              <w:spacing w:before="0" w:line="240" w:lineRule="auto"/>
              <w:jc w:val="center"/>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109</w:t>
            </w:r>
          </w:p>
        </w:tc>
        <w:tc>
          <w:tcPr>
            <w:tcW w:w="1210" w:type="dxa"/>
          </w:tcPr>
          <w:p w:rsidR="002219FE" w:rsidRPr="0012037D" w:rsidRDefault="002219FE" w:rsidP="00B223D9">
            <w:pPr>
              <w:pStyle w:val="Sinespaciado"/>
              <w:spacing w:before="0" w:line="240" w:lineRule="auto"/>
              <w:jc w:val="center"/>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0</w:t>
            </w:r>
          </w:p>
        </w:tc>
        <w:tc>
          <w:tcPr>
            <w:tcW w:w="993" w:type="dxa"/>
          </w:tcPr>
          <w:p w:rsidR="002219FE" w:rsidRPr="0012037D" w:rsidRDefault="002219FE" w:rsidP="00B223D9">
            <w:pPr>
              <w:pStyle w:val="Sinespaciado"/>
              <w:spacing w:before="0" w:line="240" w:lineRule="auto"/>
              <w:jc w:val="center"/>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61</w:t>
            </w:r>
          </w:p>
        </w:tc>
        <w:tc>
          <w:tcPr>
            <w:tcW w:w="1134" w:type="dxa"/>
          </w:tcPr>
          <w:p w:rsidR="002219FE" w:rsidRPr="0012037D" w:rsidRDefault="002219FE" w:rsidP="00B223D9">
            <w:pPr>
              <w:pStyle w:val="Sinespaciado"/>
              <w:spacing w:before="0" w:line="240" w:lineRule="auto"/>
              <w:jc w:val="center"/>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0</w:t>
            </w:r>
          </w:p>
        </w:tc>
        <w:tc>
          <w:tcPr>
            <w:tcW w:w="992" w:type="dxa"/>
          </w:tcPr>
          <w:p w:rsidR="002219FE" w:rsidRPr="0012037D" w:rsidRDefault="002219FE" w:rsidP="00B223D9">
            <w:pPr>
              <w:pStyle w:val="Sinespaciado"/>
              <w:spacing w:before="0" w:line="240" w:lineRule="auto"/>
              <w:jc w:val="center"/>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13</w:t>
            </w:r>
          </w:p>
        </w:tc>
      </w:tr>
      <w:tr w:rsidR="002219FE" w:rsidRPr="0012037D" w:rsidTr="00E85B17">
        <w:trPr>
          <w:trHeight w:val="108"/>
          <w:jc w:val="center"/>
        </w:trPr>
        <w:tc>
          <w:tcPr>
            <w:tcW w:w="1355" w:type="dxa"/>
            <w:tcBorders>
              <w:bottom w:val="single" w:sz="4" w:space="0" w:color="auto"/>
            </w:tcBorders>
            <w:shd w:val="clear" w:color="auto" w:fill="auto"/>
          </w:tcPr>
          <w:p w:rsidR="002219FE" w:rsidRPr="0012037D" w:rsidRDefault="002219FE" w:rsidP="00B223D9">
            <w:pPr>
              <w:pStyle w:val="Sinespaciado"/>
              <w:spacing w:before="0" w:line="240" w:lineRule="auto"/>
              <w:jc w:val="center"/>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Total</w:t>
            </w:r>
          </w:p>
        </w:tc>
        <w:tc>
          <w:tcPr>
            <w:tcW w:w="1275" w:type="dxa"/>
            <w:tcBorders>
              <w:bottom w:val="single" w:sz="4" w:space="0" w:color="auto"/>
            </w:tcBorders>
            <w:shd w:val="clear" w:color="auto" w:fill="auto"/>
          </w:tcPr>
          <w:p w:rsidR="002219FE" w:rsidRPr="0012037D" w:rsidRDefault="002219FE" w:rsidP="00B223D9">
            <w:pPr>
              <w:pStyle w:val="Sinespaciado"/>
              <w:spacing w:before="0" w:line="240" w:lineRule="auto"/>
              <w:jc w:val="center"/>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543</w:t>
            </w:r>
          </w:p>
        </w:tc>
        <w:tc>
          <w:tcPr>
            <w:tcW w:w="1134" w:type="dxa"/>
            <w:tcBorders>
              <w:bottom w:val="single" w:sz="4" w:space="0" w:color="auto"/>
            </w:tcBorders>
          </w:tcPr>
          <w:p w:rsidR="002219FE" w:rsidRPr="0012037D" w:rsidRDefault="002219FE" w:rsidP="00B223D9">
            <w:pPr>
              <w:pStyle w:val="Sinespaciado"/>
              <w:spacing w:before="0" w:line="240" w:lineRule="auto"/>
              <w:jc w:val="center"/>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214</w:t>
            </w:r>
          </w:p>
        </w:tc>
        <w:tc>
          <w:tcPr>
            <w:tcW w:w="1134" w:type="dxa"/>
            <w:tcBorders>
              <w:bottom w:val="single" w:sz="4" w:space="0" w:color="auto"/>
            </w:tcBorders>
            <w:shd w:val="clear" w:color="auto" w:fill="auto"/>
          </w:tcPr>
          <w:p w:rsidR="002219FE" w:rsidRPr="0012037D" w:rsidRDefault="002219FE" w:rsidP="00B223D9">
            <w:pPr>
              <w:pStyle w:val="Sinespaciado"/>
              <w:spacing w:before="0" w:line="240" w:lineRule="auto"/>
              <w:jc w:val="center"/>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213</w:t>
            </w:r>
          </w:p>
        </w:tc>
        <w:tc>
          <w:tcPr>
            <w:tcW w:w="1210" w:type="dxa"/>
            <w:tcBorders>
              <w:bottom w:val="single" w:sz="4" w:space="0" w:color="auto"/>
            </w:tcBorders>
          </w:tcPr>
          <w:p w:rsidR="002219FE" w:rsidRPr="0012037D" w:rsidRDefault="002219FE" w:rsidP="00B223D9">
            <w:pPr>
              <w:pStyle w:val="Sinespaciado"/>
              <w:spacing w:before="0" w:line="240" w:lineRule="auto"/>
              <w:jc w:val="center"/>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9</w:t>
            </w:r>
          </w:p>
        </w:tc>
        <w:tc>
          <w:tcPr>
            <w:tcW w:w="993" w:type="dxa"/>
            <w:tcBorders>
              <w:bottom w:val="single" w:sz="4" w:space="0" w:color="auto"/>
            </w:tcBorders>
          </w:tcPr>
          <w:p w:rsidR="002219FE" w:rsidRPr="0012037D" w:rsidRDefault="002219FE" w:rsidP="00B223D9">
            <w:pPr>
              <w:pStyle w:val="Sinespaciado"/>
              <w:spacing w:before="0" w:line="240" w:lineRule="auto"/>
              <w:jc w:val="center"/>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116</w:t>
            </w:r>
          </w:p>
        </w:tc>
        <w:tc>
          <w:tcPr>
            <w:tcW w:w="1134" w:type="dxa"/>
            <w:tcBorders>
              <w:bottom w:val="single" w:sz="4" w:space="0" w:color="auto"/>
            </w:tcBorders>
          </w:tcPr>
          <w:p w:rsidR="002219FE" w:rsidRPr="0012037D" w:rsidRDefault="002219FE" w:rsidP="00B223D9">
            <w:pPr>
              <w:pStyle w:val="Sinespaciado"/>
              <w:spacing w:before="0" w:line="240" w:lineRule="auto"/>
              <w:jc w:val="center"/>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12</w:t>
            </w:r>
          </w:p>
        </w:tc>
        <w:tc>
          <w:tcPr>
            <w:tcW w:w="992" w:type="dxa"/>
            <w:tcBorders>
              <w:bottom w:val="single" w:sz="4" w:space="0" w:color="auto"/>
            </w:tcBorders>
          </w:tcPr>
          <w:p w:rsidR="002219FE" w:rsidRPr="0012037D" w:rsidRDefault="002219FE" w:rsidP="00B223D9">
            <w:pPr>
              <w:pStyle w:val="Sinespaciado"/>
              <w:spacing w:before="0" w:line="240" w:lineRule="auto"/>
              <w:jc w:val="center"/>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23</w:t>
            </w:r>
          </w:p>
        </w:tc>
      </w:tr>
    </w:tbl>
    <w:p w:rsidR="00270E2E" w:rsidRDefault="00270E2E" w:rsidP="002219FE">
      <w:pPr>
        <w:spacing w:after="0" w:line="360" w:lineRule="auto"/>
        <w:jc w:val="center"/>
        <w:rPr>
          <w:rFonts w:ascii="Times New Roman" w:hAnsi="Times New Roman" w:cs="Times New Roman"/>
          <w:sz w:val="24"/>
          <w:szCs w:val="24"/>
        </w:rPr>
      </w:pPr>
    </w:p>
    <w:p w:rsidR="002219FE" w:rsidRPr="0012037D" w:rsidRDefault="002219FE" w:rsidP="002219FE">
      <w:pPr>
        <w:spacing w:after="0" w:line="360" w:lineRule="auto"/>
        <w:jc w:val="center"/>
        <w:rPr>
          <w:rFonts w:ascii="Times New Roman" w:hAnsi="Times New Roman" w:cs="Times New Roman"/>
          <w:sz w:val="24"/>
          <w:szCs w:val="24"/>
        </w:rPr>
      </w:pPr>
      <w:r w:rsidRPr="0012037D">
        <w:rPr>
          <w:rFonts w:ascii="Times New Roman" w:hAnsi="Times New Roman" w:cs="Times New Roman"/>
          <w:sz w:val="24"/>
          <w:szCs w:val="24"/>
        </w:rPr>
        <w:t>Tabla 2 Situación actual de la vivienda en las comunidades de Indayita y Caimanes.</w:t>
      </w:r>
    </w:p>
    <w:tbl>
      <w:tblPr>
        <w:tblpPr w:leftFromText="141" w:rightFromText="141" w:vertAnchor="text" w:horzAnchor="margin"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7"/>
        <w:gridCol w:w="1408"/>
        <w:gridCol w:w="1560"/>
        <w:gridCol w:w="2266"/>
      </w:tblGrid>
      <w:tr w:rsidR="002219FE" w:rsidRPr="0012037D" w:rsidTr="00E85B17">
        <w:trPr>
          <w:trHeight w:val="299"/>
        </w:trPr>
        <w:tc>
          <w:tcPr>
            <w:tcW w:w="1537" w:type="dxa"/>
            <w:shd w:val="clear" w:color="auto" w:fill="auto"/>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Comunidad</w:t>
            </w:r>
          </w:p>
        </w:tc>
        <w:tc>
          <w:tcPr>
            <w:tcW w:w="1408" w:type="dxa"/>
            <w:shd w:val="clear" w:color="auto" w:fill="auto"/>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Viviendas</w:t>
            </w:r>
          </w:p>
        </w:tc>
        <w:tc>
          <w:tcPr>
            <w:tcW w:w="1560" w:type="dxa"/>
            <w:shd w:val="clear" w:color="auto" w:fill="auto"/>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Tipologíaa</w:t>
            </w:r>
          </w:p>
        </w:tc>
        <w:tc>
          <w:tcPr>
            <w:tcW w:w="2266" w:type="dxa"/>
            <w:shd w:val="clear" w:color="auto" w:fill="auto"/>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Estado constructivo</w:t>
            </w:r>
          </w:p>
        </w:tc>
      </w:tr>
      <w:tr w:rsidR="002219FE" w:rsidRPr="0012037D" w:rsidTr="00E85B17">
        <w:trPr>
          <w:trHeight w:val="318"/>
        </w:trPr>
        <w:tc>
          <w:tcPr>
            <w:tcW w:w="1537" w:type="dxa"/>
            <w:vMerge w:val="restart"/>
            <w:shd w:val="clear" w:color="auto" w:fill="auto"/>
            <w:vAlign w:val="center"/>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Indayita</w:t>
            </w:r>
          </w:p>
        </w:tc>
        <w:tc>
          <w:tcPr>
            <w:tcW w:w="1408" w:type="dxa"/>
            <w:shd w:val="clear" w:color="auto" w:fill="auto"/>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17</w:t>
            </w:r>
          </w:p>
        </w:tc>
        <w:tc>
          <w:tcPr>
            <w:tcW w:w="1560" w:type="dxa"/>
            <w:shd w:val="clear" w:color="auto" w:fill="auto"/>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III</w:t>
            </w:r>
          </w:p>
        </w:tc>
        <w:tc>
          <w:tcPr>
            <w:tcW w:w="2266" w:type="dxa"/>
            <w:shd w:val="clear" w:color="auto" w:fill="auto"/>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Regular</w:t>
            </w:r>
          </w:p>
        </w:tc>
      </w:tr>
      <w:tr w:rsidR="002219FE" w:rsidRPr="0012037D" w:rsidTr="00E85B17">
        <w:trPr>
          <w:trHeight w:val="60"/>
        </w:trPr>
        <w:tc>
          <w:tcPr>
            <w:tcW w:w="1537" w:type="dxa"/>
            <w:vMerge/>
            <w:shd w:val="clear" w:color="auto" w:fill="auto"/>
            <w:vAlign w:val="center"/>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p>
        </w:tc>
        <w:tc>
          <w:tcPr>
            <w:tcW w:w="1408" w:type="dxa"/>
            <w:shd w:val="clear" w:color="auto" w:fill="auto"/>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50</w:t>
            </w:r>
          </w:p>
        </w:tc>
        <w:tc>
          <w:tcPr>
            <w:tcW w:w="1560" w:type="dxa"/>
            <w:shd w:val="clear" w:color="auto" w:fill="auto"/>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IV</w:t>
            </w:r>
          </w:p>
        </w:tc>
        <w:tc>
          <w:tcPr>
            <w:tcW w:w="2266" w:type="dxa"/>
            <w:shd w:val="clear" w:color="auto" w:fill="auto"/>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Mala</w:t>
            </w:r>
          </w:p>
        </w:tc>
      </w:tr>
      <w:tr w:rsidR="002219FE" w:rsidRPr="0012037D" w:rsidTr="00E85B17">
        <w:trPr>
          <w:trHeight w:val="300"/>
        </w:trPr>
        <w:tc>
          <w:tcPr>
            <w:tcW w:w="1537" w:type="dxa"/>
            <w:vMerge w:val="restart"/>
            <w:shd w:val="clear" w:color="auto" w:fill="auto"/>
            <w:vAlign w:val="center"/>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Caimanes</w:t>
            </w:r>
          </w:p>
        </w:tc>
        <w:tc>
          <w:tcPr>
            <w:tcW w:w="1408" w:type="dxa"/>
            <w:shd w:val="clear" w:color="auto" w:fill="auto"/>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7</w:t>
            </w:r>
          </w:p>
        </w:tc>
        <w:tc>
          <w:tcPr>
            <w:tcW w:w="1560" w:type="dxa"/>
            <w:shd w:val="clear" w:color="auto" w:fill="auto"/>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I</w:t>
            </w:r>
          </w:p>
        </w:tc>
        <w:tc>
          <w:tcPr>
            <w:tcW w:w="2266" w:type="dxa"/>
            <w:shd w:val="clear" w:color="auto" w:fill="auto"/>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Buena</w:t>
            </w:r>
          </w:p>
        </w:tc>
      </w:tr>
      <w:tr w:rsidR="002219FE" w:rsidRPr="0012037D" w:rsidTr="00E85B17">
        <w:trPr>
          <w:trHeight w:val="219"/>
        </w:trPr>
        <w:tc>
          <w:tcPr>
            <w:tcW w:w="1537" w:type="dxa"/>
            <w:vMerge/>
            <w:shd w:val="clear" w:color="auto" w:fill="auto"/>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p>
        </w:tc>
        <w:tc>
          <w:tcPr>
            <w:tcW w:w="1408" w:type="dxa"/>
            <w:shd w:val="clear" w:color="auto" w:fill="auto"/>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1</w:t>
            </w:r>
          </w:p>
        </w:tc>
        <w:tc>
          <w:tcPr>
            <w:tcW w:w="1560" w:type="dxa"/>
            <w:shd w:val="clear" w:color="auto" w:fill="auto"/>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III</w:t>
            </w:r>
          </w:p>
        </w:tc>
        <w:tc>
          <w:tcPr>
            <w:tcW w:w="2266" w:type="dxa"/>
            <w:shd w:val="clear" w:color="auto" w:fill="auto"/>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Regular</w:t>
            </w:r>
          </w:p>
        </w:tc>
      </w:tr>
      <w:tr w:rsidR="002219FE" w:rsidRPr="0012037D" w:rsidTr="00E85B17">
        <w:trPr>
          <w:trHeight w:val="170"/>
        </w:trPr>
        <w:tc>
          <w:tcPr>
            <w:tcW w:w="1537" w:type="dxa"/>
            <w:vMerge/>
            <w:shd w:val="clear" w:color="auto" w:fill="auto"/>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p>
        </w:tc>
        <w:tc>
          <w:tcPr>
            <w:tcW w:w="1408" w:type="dxa"/>
            <w:shd w:val="clear" w:color="auto" w:fill="auto"/>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87</w:t>
            </w:r>
          </w:p>
        </w:tc>
        <w:tc>
          <w:tcPr>
            <w:tcW w:w="1560" w:type="dxa"/>
            <w:shd w:val="clear" w:color="auto" w:fill="auto"/>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IV</w:t>
            </w:r>
          </w:p>
        </w:tc>
        <w:tc>
          <w:tcPr>
            <w:tcW w:w="2266" w:type="dxa"/>
            <w:shd w:val="clear" w:color="auto" w:fill="auto"/>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Mala</w:t>
            </w:r>
          </w:p>
        </w:tc>
      </w:tr>
      <w:tr w:rsidR="002219FE" w:rsidRPr="0012037D" w:rsidTr="00E85B17">
        <w:tblPrEx>
          <w:tblCellMar>
            <w:left w:w="70" w:type="dxa"/>
            <w:right w:w="70" w:type="dxa"/>
          </w:tblCellMar>
          <w:tblLook w:val="0000"/>
        </w:tblPrEx>
        <w:trPr>
          <w:trHeight w:val="236"/>
        </w:trPr>
        <w:tc>
          <w:tcPr>
            <w:tcW w:w="1537" w:type="dxa"/>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Total</w:t>
            </w:r>
          </w:p>
        </w:tc>
        <w:tc>
          <w:tcPr>
            <w:tcW w:w="1408" w:type="dxa"/>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r w:rsidRPr="0012037D">
              <w:rPr>
                <w:rFonts w:ascii="Times New Roman" w:eastAsiaTheme="minorHAnsi" w:hAnsi="Times New Roman"/>
                <w:i w:val="0"/>
                <w:iCs w:val="0"/>
                <w:sz w:val="24"/>
                <w:szCs w:val="24"/>
                <w:lang w:val="es-ES" w:eastAsia="en-US"/>
              </w:rPr>
              <w:t>162</w:t>
            </w:r>
          </w:p>
        </w:tc>
        <w:tc>
          <w:tcPr>
            <w:tcW w:w="3826" w:type="dxa"/>
            <w:gridSpan w:val="2"/>
            <w:tcBorders>
              <w:bottom w:val="nil"/>
              <w:right w:val="nil"/>
            </w:tcBorders>
          </w:tcPr>
          <w:p w:rsidR="002219FE" w:rsidRPr="0012037D" w:rsidRDefault="002219FE" w:rsidP="00B223D9">
            <w:pPr>
              <w:pStyle w:val="Sinespaciado"/>
              <w:spacing w:before="0" w:after="0" w:line="240" w:lineRule="auto"/>
              <w:rPr>
                <w:rFonts w:ascii="Times New Roman" w:eastAsiaTheme="minorHAnsi" w:hAnsi="Times New Roman"/>
                <w:i w:val="0"/>
                <w:iCs w:val="0"/>
                <w:sz w:val="24"/>
                <w:szCs w:val="24"/>
                <w:lang w:val="es-ES" w:eastAsia="en-US"/>
              </w:rPr>
            </w:pPr>
          </w:p>
        </w:tc>
      </w:tr>
    </w:tbl>
    <w:p w:rsidR="002219FE" w:rsidRPr="0012037D" w:rsidRDefault="002219FE" w:rsidP="002219FE">
      <w:pPr>
        <w:spacing w:line="360" w:lineRule="auto"/>
        <w:jc w:val="both"/>
        <w:rPr>
          <w:rFonts w:ascii="Times New Roman" w:hAnsi="Times New Roman" w:cs="Times New Roman"/>
          <w:sz w:val="24"/>
          <w:szCs w:val="24"/>
        </w:rPr>
      </w:pPr>
    </w:p>
    <w:p w:rsidR="002219FE" w:rsidRPr="0012037D" w:rsidRDefault="002219FE" w:rsidP="002219FE">
      <w:pPr>
        <w:spacing w:line="360" w:lineRule="auto"/>
        <w:jc w:val="both"/>
        <w:rPr>
          <w:rFonts w:ascii="Times New Roman" w:hAnsi="Times New Roman" w:cs="Times New Roman"/>
          <w:sz w:val="24"/>
          <w:szCs w:val="24"/>
        </w:rPr>
      </w:pPr>
    </w:p>
    <w:p w:rsidR="002219FE" w:rsidRPr="0012037D" w:rsidRDefault="002219FE" w:rsidP="002219FE">
      <w:pPr>
        <w:spacing w:line="360" w:lineRule="auto"/>
        <w:jc w:val="both"/>
        <w:rPr>
          <w:rFonts w:ascii="Times New Roman" w:hAnsi="Times New Roman" w:cs="Times New Roman"/>
          <w:sz w:val="24"/>
          <w:szCs w:val="24"/>
        </w:rPr>
      </w:pPr>
    </w:p>
    <w:p w:rsidR="00B223D9" w:rsidRDefault="00B223D9" w:rsidP="002219FE">
      <w:pPr>
        <w:spacing w:line="360" w:lineRule="auto"/>
        <w:jc w:val="both"/>
        <w:rPr>
          <w:rFonts w:ascii="Times New Roman" w:hAnsi="Times New Roman" w:cs="Times New Roman"/>
          <w:b/>
          <w:sz w:val="24"/>
          <w:szCs w:val="24"/>
        </w:rPr>
      </w:pPr>
    </w:p>
    <w:p w:rsidR="00B223D9" w:rsidRDefault="00B223D9" w:rsidP="002219FE">
      <w:pPr>
        <w:spacing w:line="360" w:lineRule="auto"/>
        <w:jc w:val="both"/>
        <w:rPr>
          <w:rFonts w:ascii="Times New Roman" w:hAnsi="Times New Roman" w:cs="Times New Roman"/>
          <w:b/>
          <w:sz w:val="24"/>
          <w:szCs w:val="24"/>
        </w:rPr>
      </w:pPr>
    </w:p>
    <w:p w:rsidR="00B223D9" w:rsidRDefault="00B223D9" w:rsidP="002219FE">
      <w:pPr>
        <w:spacing w:line="360" w:lineRule="auto"/>
        <w:jc w:val="both"/>
        <w:rPr>
          <w:rFonts w:ascii="Times New Roman" w:hAnsi="Times New Roman" w:cs="Times New Roman"/>
          <w:b/>
          <w:sz w:val="24"/>
          <w:szCs w:val="24"/>
        </w:rPr>
      </w:pPr>
    </w:p>
    <w:p w:rsidR="002219FE" w:rsidRPr="00024BB2" w:rsidRDefault="002219FE" w:rsidP="002219FE">
      <w:pPr>
        <w:spacing w:line="360" w:lineRule="auto"/>
        <w:jc w:val="both"/>
        <w:rPr>
          <w:rFonts w:ascii="Times New Roman" w:hAnsi="Times New Roman" w:cs="Times New Roman"/>
          <w:b/>
          <w:sz w:val="24"/>
          <w:szCs w:val="24"/>
        </w:rPr>
      </w:pPr>
      <w:r w:rsidRPr="00024BB2">
        <w:rPr>
          <w:rFonts w:ascii="Times New Roman" w:hAnsi="Times New Roman" w:cs="Times New Roman"/>
          <w:b/>
          <w:sz w:val="24"/>
          <w:szCs w:val="24"/>
        </w:rPr>
        <w:lastRenderedPageBreak/>
        <w:t>Caracterización de los servicios básicos e infraestructura técnica urbana.</w:t>
      </w:r>
    </w:p>
    <w:p w:rsidR="002219FE" w:rsidRPr="0012037D" w:rsidRDefault="002219FE" w:rsidP="002219FE">
      <w:pPr>
        <w:spacing w:line="360" w:lineRule="auto"/>
        <w:jc w:val="both"/>
        <w:rPr>
          <w:rFonts w:ascii="Times New Roman" w:hAnsi="Times New Roman" w:cs="Times New Roman"/>
          <w:sz w:val="24"/>
          <w:szCs w:val="24"/>
        </w:rPr>
      </w:pPr>
      <w:r w:rsidRPr="0012037D">
        <w:rPr>
          <w:rFonts w:ascii="Times New Roman" w:hAnsi="Times New Roman" w:cs="Times New Roman"/>
          <w:sz w:val="24"/>
          <w:szCs w:val="24"/>
        </w:rPr>
        <w:t>Las comunidades de Caimanes e Indayita carecen de servicios básicos como bodegas, carnicerías, agromercados, unidades de atención primaria y secundaria de salud pública y entidades docentes  (círculos infantiles, escuelas primarias, secundarias básicas urbanas, escuelas técnicas u oficios y centros preuniversitarios</w:t>
      </w:r>
      <w:r w:rsidR="006956AD">
        <w:rPr>
          <w:rFonts w:ascii="Times New Roman" w:hAnsi="Times New Roman" w:cs="Times New Roman"/>
          <w:sz w:val="24"/>
          <w:szCs w:val="24"/>
        </w:rPr>
        <w:t xml:space="preserve">. </w:t>
      </w:r>
      <w:r w:rsidRPr="0012037D">
        <w:rPr>
          <w:rFonts w:ascii="Times New Roman" w:hAnsi="Times New Roman" w:cs="Times New Roman"/>
          <w:sz w:val="24"/>
          <w:szCs w:val="24"/>
        </w:rPr>
        <w:t xml:space="preserve">Además no existen sistemas hidrosanitarios, de aguas y alcantarillado, hay deficiencia en las redes eléctricas, además de no contar con trazado vial, ni salidas de evacuación en casos de catástrofe o accidentes domésticos o industriales. </w:t>
      </w:r>
    </w:p>
    <w:p w:rsidR="002219FE" w:rsidRPr="00024BB2" w:rsidRDefault="002219FE" w:rsidP="002219FE">
      <w:pPr>
        <w:spacing w:line="360" w:lineRule="auto"/>
        <w:jc w:val="both"/>
        <w:rPr>
          <w:rFonts w:ascii="Times New Roman" w:hAnsi="Times New Roman" w:cs="Times New Roman"/>
          <w:b/>
          <w:sz w:val="24"/>
          <w:szCs w:val="24"/>
        </w:rPr>
      </w:pPr>
      <w:r w:rsidRPr="00024BB2">
        <w:rPr>
          <w:rFonts w:ascii="Times New Roman" w:hAnsi="Times New Roman" w:cs="Times New Roman"/>
          <w:b/>
          <w:sz w:val="24"/>
          <w:szCs w:val="24"/>
        </w:rPr>
        <w:t>Caracterización de las condiciones ambientales internas.</w:t>
      </w:r>
    </w:p>
    <w:p w:rsidR="002219FE" w:rsidRPr="0012037D" w:rsidRDefault="002219FE" w:rsidP="002219FE">
      <w:pPr>
        <w:spacing w:line="360" w:lineRule="auto"/>
        <w:jc w:val="both"/>
        <w:rPr>
          <w:rFonts w:ascii="Times New Roman" w:hAnsi="Times New Roman" w:cs="Times New Roman"/>
          <w:sz w:val="24"/>
          <w:szCs w:val="24"/>
        </w:rPr>
      </w:pPr>
      <w:r w:rsidRPr="0012037D">
        <w:rPr>
          <w:rFonts w:ascii="Times New Roman" w:hAnsi="Times New Roman" w:cs="Times New Roman"/>
          <w:sz w:val="24"/>
          <w:szCs w:val="24"/>
        </w:rPr>
        <w:t xml:space="preserve">La inadecuada gestión ambiental a escala comunitaria advierte que la unidad de estudio presenta elevados índices de insalubridad provocados por la contaminación ambiental interna generada por los estancamientos de aguas albañales (zanjas), vertimientos de desechos sólidos y enyerbamiento en las márgenes del río, además de las continuas formaciones de microvertederos en diferentes puntos de la geografía comunitaria </w:t>
      </w:r>
    </w:p>
    <w:p w:rsidR="002219FE" w:rsidRDefault="002219FE" w:rsidP="002219FE">
      <w:pPr>
        <w:spacing w:line="360" w:lineRule="auto"/>
        <w:jc w:val="both"/>
        <w:rPr>
          <w:rFonts w:ascii="Times New Roman" w:hAnsi="Times New Roman" w:cs="Times New Roman"/>
          <w:sz w:val="24"/>
          <w:szCs w:val="24"/>
        </w:rPr>
      </w:pPr>
      <w:r w:rsidRPr="0012037D">
        <w:rPr>
          <w:rFonts w:ascii="Times New Roman" w:hAnsi="Times New Roman" w:cs="Times New Roman"/>
          <w:sz w:val="24"/>
          <w:szCs w:val="24"/>
        </w:rPr>
        <w:t xml:space="preserve">Cercanas a las comunidades de Indayita y Caimanes, se encuentran a menos 1000 m, la Empresa de Fibrocemento Armando Mestre, la Fábrica de Aceite Erasol y la Empresa Procesadora de Soya. La Empresa Textil </w:t>
      </w:r>
      <w:r w:rsidR="006956AD">
        <w:rPr>
          <w:rFonts w:ascii="Times New Roman" w:hAnsi="Times New Roman" w:cs="Times New Roman"/>
          <w:sz w:val="24"/>
          <w:szCs w:val="24"/>
        </w:rPr>
        <w:t>“</w:t>
      </w:r>
      <w:r w:rsidRPr="0012037D">
        <w:rPr>
          <w:rFonts w:ascii="Times New Roman" w:hAnsi="Times New Roman" w:cs="Times New Roman"/>
          <w:sz w:val="24"/>
          <w:szCs w:val="24"/>
        </w:rPr>
        <w:t>Celia Sánchez Manduley</w:t>
      </w:r>
      <w:r w:rsidR="006956AD">
        <w:rPr>
          <w:rFonts w:ascii="Times New Roman" w:hAnsi="Times New Roman" w:cs="Times New Roman"/>
          <w:sz w:val="24"/>
          <w:szCs w:val="24"/>
        </w:rPr>
        <w:t>”</w:t>
      </w:r>
      <w:r w:rsidRPr="0012037D">
        <w:rPr>
          <w:rFonts w:ascii="Times New Roman" w:hAnsi="Times New Roman" w:cs="Times New Roman"/>
          <w:sz w:val="24"/>
          <w:szCs w:val="24"/>
        </w:rPr>
        <w:t xml:space="preserve"> y la Fábrica de Prefabricados conocida como Materiales 14 se encuentran a solo 500 metros</w:t>
      </w:r>
      <w:r w:rsidR="006956AD" w:rsidRPr="006956AD">
        <w:rPr>
          <w:rFonts w:ascii="Times New Roman" w:hAnsi="Times New Roman" w:cs="Times New Roman"/>
          <w:sz w:val="24"/>
          <w:szCs w:val="24"/>
        </w:rPr>
        <w:t xml:space="preserve"> </w:t>
      </w:r>
      <w:r w:rsidR="006956AD">
        <w:rPr>
          <w:rFonts w:ascii="Times New Roman" w:hAnsi="Times New Roman" w:cs="Times New Roman"/>
          <w:sz w:val="24"/>
          <w:szCs w:val="24"/>
        </w:rPr>
        <w:t>y todas</w:t>
      </w:r>
      <w:r w:rsidR="006956AD" w:rsidRPr="0012037D">
        <w:rPr>
          <w:rFonts w:ascii="Times New Roman" w:hAnsi="Times New Roman" w:cs="Times New Roman"/>
          <w:sz w:val="24"/>
          <w:szCs w:val="24"/>
        </w:rPr>
        <w:t xml:space="preserve"> </w:t>
      </w:r>
      <w:r w:rsidR="006956AD">
        <w:rPr>
          <w:rFonts w:ascii="Times New Roman" w:hAnsi="Times New Roman" w:cs="Times New Roman"/>
          <w:sz w:val="24"/>
          <w:szCs w:val="24"/>
        </w:rPr>
        <w:t xml:space="preserve">contituyen importantes fuentes contaminantes de la </w:t>
      </w:r>
      <w:r w:rsidR="006956AD" w:rsidRPr="0012037D">
        <w:rPr>
          <w:rFonts w:ascii="Times New Roman" w:hAnsi="Times New Roman" w:cs="Times New Roman"/>
          <w:sz w:val="24"/>
          <w:szCs w:val="24"/>
        </w:rPr>
        <w:t xml:space="preserve">bahía </w:t>
      </w:r>
      <w:r w:rsidR="006956AD">
        <w:rPr>
          <w:rFonts w:ascii="Times New Roman" w:hAnsi="Times New Roman" w:cs="Times New Roman"/>
          <w:sz w:val="24"/>
          <w:szCs w:val="24"/>
        </w:rPr>
        <w:t>santiaguera.</w:t>
      </w:r>
      <w:r w:rsidR="006956AD" w:rsidRPr="0012037D">
        <w:rPr>
          <w:rFonts w:ascii="Times New Roman" w:hAnsi="Times New Roman" w:cs="Times New Roman"/>
          <w:sz w:val="24"/>
          <w:szCs w:val="24"/>
        </w:rPr>
        <w:t xml:space="preserve"> </w:t>
      </w:r>
    </w:p>
    <w:p w:rsidR="00C53849" w:rsidRPr="00270E2E" w:rsidRDefault="007546B4" w:rsidP="00C53849">
      <w:pPr>
        <w:pStyle w:val="Ttulo1"/>
        <w:spacing w:before="120" w:line="360" w:lineRule="auto"/>
        <w:jc w:val="both"/>
        <w:rPr>
          <w:rFonts w:ascii="Times New Roman" w:eastAsiaTheme="minorHAnsi" w:hAnsi="Times New Roman" w:cs="Times New Roman"/>
          <w:bCs w:val="0"/>
          <w:color w:val="auto"/>
          <w:sz w:val="24"/>
          <w:szCs w:val="24"/>
        </w:rPr>
      </w:pPr>
      <w:r w:rsidRPr="00270E2E">
        <w:rPr>
          <w:rFonts w:ascii="Times New Roman" w:eastAsiaTheme="minorHAnsi" w:hAnsi="Times New Roman" w:cs="Times New Roman"/>
          <w:bCs w:val="0"/>
          <w:color w:val="auto"/>
          <w:sz w:val="24"/>
          <w:szCs w:val="24"/>
        </w:rPr>
        <w:t xml:space="preserve">3.2 </w:t>
      </w:r>
      <w:r w:rsidR="00C53849" w:rsidRPr="00270E2E">
        <w:rPr>
          <w:rFonts w:ascii="Times New Roman" w:eastAsiaTheme="minorHAnsi" w:hAnsi="Times New Roman" w:cs="Times New Roman"/>
          <w:bCs w:val="0"/>
          <w:color w:val="auto"/>
          <w:sz w:val="24"/>
          <w:szCs w:val="24"/>
        </w:rPr>
        <w:t>Análisis sociológico de los factores sociales estudiados, vinculados a la vulnerabilidad socioambiental de las comunidades Indayita y Caimanes.</w:t>
      </w:r>
    </w:p>
    <w:p w:rsidR="00C53849" w:rsidRPr="00270E2E" w:rsidRDefault="00EB4830" w:rsidP="00EB4830">
      <w:pPr>
        <w:tabs>
          <w:tab w:val="left" w:pos="284"/>
          <w:tab w:val="left" w:pos="567"/>
        </w:tabs>
        <w:spacing w:line="360" w:lineRule="auto"/>
        <w:ind w:left="-11"/>
        <w:jc w:val="both"/>
        <w:rPr>
          <w:rFonts w:ascii="Times New Roman" w:hAnsi="Times New Roman" w:cs="Times New Roman"/>
          <w:b/>
          <w:sz w:val="24"/>
          <w:szCs w:val="24"/>
        </w:rPr>
      </w:pPr>
      <w:r w:rsidRPr="00270E2E">
        <w:rPr>
          <w:rFonts w:ascii="Times New Roman" w:hAnsi="Times New Roman" w:cs="Times New Roman"/>
          <w:b/>
          <w:sz w:val="24"/>
          <w:szCs w:val="24"/>
        </w:rPr>
        <w:t xml:space="preserve">3.2.1 </w:t>
      </w:r>
      <w:r w:rsidR="00C53849" w:rsidRPr="00270E2E">
        <w:rPr>
          <w:rFonts w:ascii="Times New Roman" w:hAnsi="Times New Roman" w:cs="Times New Roman"/>
          <w:b/>
          <w:sz w:val="24"/>
          <w:szCs w:val="24"/>
        </w:rPr>
        <w:t>Exposición a fenómenos naturales extremos.</w:t>
      </w:r>
    </w:p>
    <w:p w:rsidR="00C53849" w:rsidRPr="0012037D" w:rsidRDefault="00C53849" w:rsidP="00C53849">
      <w:pPr>
        <w:spacing w:line="360" w:lineRule="auto"/>
        <w:jc w:val="both"/>
        <w:rPr>
          <w:rFonts w:ascii="Times New Roman" w:hAnsi="Times New Roman" w:cs="Times New Roman"/>
          <w:sz w:val="24"/>
          <w:szCs w:val="24"/>
        </w:rPr>
      </w:pPr>
      <w:r w:rsidRPr="0012037D">
        <w:rPr>
          <w:rFonts w:ascii="Times New Roman" w:hAnsi="Times New Roman" w:cs="Times New Roman"/>
          <w:sz w:val="24"/>
          <w:szCs w:val="24"/>
        </w:rPr>
        <w:t xml:space="preserve">El principal factor de riesgo para valorar la exposición de la población a fenómenos naturales es la tipología del fondo habitacional. Las comunidades Indayita y Caimanes cuentan con un total de 162 viviendas en las que predominan las de tipología IV (84.56%). Del total de viviendas el 4.32% está en buen estado, 11.11% está en estado regular y el 84.56% presenta mal estado constructivo. Lo anterior permite evaluar el fondo habitacional de estas comunidades como malo. </w:t>
      </w:r>
    </w:p>
    <w:p w:rsidR="00C53849" w:rsidRPr="00270E2E" w:rsidRDefault="00C53849" w:rsidP="00EB4830">
      <w:pPr>
        <w:pStyle w:val="Prrafodelista"/>
        <w:numPr>
          <w:ilvl w:val="2"/>
          <w:numId w:val="13"/>
        </w:numPr>
        <w:tabs>
          <w:tab w:val="left" w:pos="142"/>
          <w:tab w:val="left" w:pos="284"/>
          <w:tab w:val="left" w:pos="567"/>
          <w:tab w:val="left" w:pos="851"/>
        </w:tabs>
        <w:spacing w:before="120" w:after="0" w:line="360" w:lineRule="auto"/>
        <w:ind w:left="0" w:firstLine="0"/>
        <w:jc w:val="both"/>
        <w:rPr>
          <w:rFonts w:ascii="Times New Roman" w:hAnsi="Times New Roman" w:cs="Times New Roman"/>
          <w:b/>
          <w:sz w:val="24"/>
          <w:szCs w:val="24"/>
        </w:rPr>
      </w:pPr>
      <w:r w:rsidRPr="00270E2E">
        <w:rPr>
          <w:rFonts w:ascii="Times New Roman" w:hAnsi="Times New Roman" w:cs="Times New Roman"/>
          <w:b/>
          <w:sz w:val="24"/>
          <w:szCs w:val="24"/>
        </w:rPr>
        <w:t>Contaminación ambiental industrial</w:t>
      </w:r>
    </w:p>
    <w:p w:rsidR="00C53849" w:rsidRPr="00270E2E" w:rsidRDefault="00C53849" w:rsidP="00C53849">
      <w:pPr>
        <w:pStyle w:val="Prrafodelista"/>
        <w:numPr>
          <w:ilvl w:val="0"/>
          <w:numId w:val="4"/>
        </w:numPr>
        <w:tabs>
          <w:tab w:val="left" w:pos="284"/>
        </w:tabs>
        <w:spacing w:before="120" w:after="0" w:line="360" w:lineRule="auto"/>
        <w:jc w:val="both"/>
        <w:rPr>
          <w:rFonts w:ascii="Times New Roman" w:hAnsi="Times New Roman" w:cs="Times New Roman"/>
          <w:b/>
          <w:sz w:val="24"/>
          <w:szCs w:val="24"/>
        </w:rPr>
      </w:pPr>
      <w:r w:rsidRPr="00270E2E">
        <w:rPr>
          <w:rFonts w:ascii="Times New Roman" w:hAnsi="Times New Roman" w:cs="Times New Roman"/>
          <w:b/>
          <w:sz w:val="24"/>
          <w:szCs w:val="24"/>
        </w:rPr>
        <w:lastRenderedPageBreak/>
        <w:t>Impacto Ambiental Empresarial (IAE)</w:t>
      </w:r>
    </w:p>
    <w:p w:rsidR="00C53849" w:rsidRPr="0012037D" w:rsidRDefault="00C53849" w:rsidP="00C53849">
      <w:pPr>
        <w:spacing w:before="120" w:after="0" w:line="360" w:lineRule="auto"/>
        <w:jc w:val="both"/>
        <w:rPr>
          <w:rFonts w:ascii="Times New Roman" w:hAnsi="Times New Roman" w:cs="Times New Roman"/>
          <w:sz w:val="24"/>
          <w:szCs w:val="24"/>
        </w:rPr>
      </w:pPr>
      <w:r w:rsidRPr="0012037D">
        <w:rPr>
          <w:rFonts w:ascii="Times New Roman" w:hAnsi="Times New Roman" w:cs="Times New Roman"/>
          <w:sz w:val="24"/>
          <w:szCs w:val="24"/>
        </w:rPr>
        <w:t xml:space="preserve">Los impactos que más inciden en </w:t>
      </w:r>
      <w:r w:rsidR="006956AD">
        <w:rPr>
          <w:rFonts w:ascii="Times New Roman" w:hAnsi="Times New Roman" w:cs="Times New Roman"/>
          <w:sz w:val="24"/>
          <w:szCs w:val="24"/>
        </w:rPr>
        <w:t xml:space="preserve">estas </w:t>
      </w:r>
      <w:r w:rsidRPr="0012037D">
        <w:rPr>
          <w:rFonts w:ascii="Times New Roman" w:hAnsi="Times New Roman" w:cs="Times New Roman"/>
          <w:sz w:val="24"/>
          <w:szCs w:val="24"/>
        </w:rPr>
        <w:t>comunidad</w:t>
      </w:r>
      <w:r w:rsidR="00FF4934">
        <w:rPr>
          <w:rFonts w:ascii="Times New Roman" w:hAnsi="Times New Roman" w:cs="Times New Roman"/>
          <w:sz w:val="24"/>
          <w:szCs w:val="24"/>
        </w:rPr>
        <w:t>es</w:t>
      </w:r>
      <w:r w:rsidRPr="0012037D">
        <w:rPr>
          <w:rFonts w:ascii="Times New Roman" w:hAnsi="Times New Roman" w:cs="Times New Roman"/>
          <w:sz w:val="24"/>
          <w:szCs w:val="24"/>
        </w:rPr>
        <w:t>, en orden decreciente, son el vertimiento de desechos peligrosos a la bahía, el vertimiento de desechos industriales y la acumulación de desechos sólidos en las márgene</w:t>
      </w:r>
      <w:r w:rsidR="00FF4934">
        <w:rPr>
          <w:rFonts w:ascii="Times New Roman" w:hAnsi="Times New Roman" w:cs="Times New Roman"/>
          <w:sz w:val="24"/>
          <w:szCs w:val="24"/>
        </w:rPr>
        <w:t>s del rí</w:t>
      </w:r>
      <w:r w:rsidRPr="0012037D">
        <w:rPr>
          <w:rFonts w:ascii="Times New Roman" w:hAnsi="Times New Roman" w:cs="Times New Roman"/>
          <w:sz w:val="24"/>
          <w:szCs w:val="24"/>
        </w:rPr>
        <w:t xml:space="preserve">o, la contaminación por vertimiento de residuales líquidos y sólidos a la bahía y el vertimiento de gases a la atmósfera producto de los procesos industriales. Sumándosele a estos el deterioro de los ecosistemas marinos y terrestres, que junto al vertimiento de desechos peligrosos a la bahía son los más importantes para más del 58 % de los pobladores. </w:t>
      </w:r>
    </w:p>
    <w:p w:rsidR="00C53849" w:rsidRPr="00270E2E" w:rsidRDefault="00C53849" w:rsidP="00C53849">
      <w:pPr>
        <w:pStyle w:val="Prrafodelista"/>
        <w:numPr>
          <w:ilvl w:val="0"/>
          <w:numId w:val="4"/>
        </w:numPr>
        <w:spacing w:before="120" w:after="0" w:line="360" w:lineRule="auto"/>
        <w:jc w:val="both"/>
        <w:rPr>
          <w:rFonts w:ascii="Times New Roman" w:hAnsi="Times New Roman" w:cs="Times New Roman"/>
          <w:b/>
          <w:sz w:val="24"/>
          <w:szCs w:val="24"/>
        </w:rPr>
      </w:pPr>
      <w:r w:rsidRPr="00270E2E">
        <w:rPr>
          <w:rFonts w:ascii="Times New Roman" w:hAnsi="Times New Roman" w:cs="Times New Roman"/>
          <w:b/>
          <w:sz w:val="24"/>
          <w:szCs w:val="24"/>
        </w:rPr>
        <w:t>Salud</w:t>
      </w:r>
    </w:p>
    <w:p w:rsidR="00C53849" w:rsidRPr="0012037D" w:rsidRDefault="00C53849" w:rsidP="00C53849">
      <w:pPr>
        <w:pStyle w:val="Default"/>
        <w:spacing w:before="120" w:line="360" w:lineRule="auto"/>
        <w:jc w:val="both"/>
        <w:rPr>
          <w:color w:val="auto"/>
        </w:rPr>
      </w:pPr>
      <w:r w:rsidRPr="0012037D">
        <w:rPr>
          <w:color w:val="auto"/>
        </w:rPr>
        <w:t xml:space="preserve">Entre los principales problemas de salud presentes en las comunidades objeto de estudio,  están las enfermedades crónicas no transmisibles como la hipertensión arterial (80.29 %) y las enfermedades crónicas respiratorias (22.83 %) fundamentalmente en pacientes pediátricos. El 1.10% sufre de cardiopatía isquémica; el 2.20 % son discapacitados físico-motores; 1.10 % con discapacidad intelectual y por último el 14.36 % padecen de diabetes mellitus. </w:t>
      </w:r>
    </w:p>
    <w:p w:rsidR="00C53849" w:rsidRPr="0012037D" w:rsidRDefault="00C53849" w:rsidP="00C53849">
      <w:pPr>
        <w:spacing w:before="120" w:after="0" w:line="360" w:lineRule="auto"/>
        <w:jc w:val="both"/>
        <w:rPr>
          <w:rFonts w:ascii="Times New Roman" w:hAnsi="Times New Roman" w:cs="Times New Roman"/>
          <w:sz w:val="24"/>
          <w:szCs w:val="24"/>
        </w:rPr>
      </w:pPr>
      <w:r w:rsidRPr="0012037D">
        <w:rPr>
          <w:rFonts w:ascii="Times New Roman" w:hAnsi="Times New Roman" w:cs="Times New Roman"/>
          <w:sz w:val="24"/>
          <w:szCs w:val="24"/>
        </w:rPr>
        <w:t>Una de las prácticas sociales recurrentes más comunes en estas comunidades es el vertimiento de desechos domésticos en el interior de las comunidades, originándose microvertederos. Esta problemática influyó en que en el período comprendido entre enero y marzo del 2019 se detectaran 32 casos de enfermedades diarreicas agudas (EDA), situación que puede aumentar si no mejoran las condiciones higiénicosanitarias de las comunidades.</w:t>
      </w:r>
      <w:r w:rsidRPr="0012037D">
        <w:rPr>
          <w:rFonts w:ascii="Times New Roman" w:hAnsi="Times New Roman" w:cs="Times New Roman"/>
          <w:sz w:val="24"/>
          <w:szCs w:val="24"/>
        </w:rPr>
        <w:tab/>
      </w:r>
    </w:p>
    <w:p w:rsidR="00C53849" w:rsidRPr="00270E2E" w:rsidRDefault="00C53849" w:rsidP="00EB4830">
      <w:pPr>
        <w:pStyle w:val="Prrafodelista"/>
        <w:numPr>
          <w:ilvl w:val="2"/>
          <w:numId w:val="13"/>
        </w:numPr>
        <w:tabs>
          <w:tab w:val="left" w:pos="284"/>
        </w:tabs>
        <w:spacing w:before="120" w:after="0" w:line="360" w:lineRule="auto"/>
        <w:ind w:left="0" w:firstLine="0"/>
        <w:jc w:val="both"/>
        <w:rPr>
          <w:rFonts w:ascii="Times New Roman" w:hAnsi="Times New Roman" w:cs="Times New Roman"/>
          <w:b/>
          <w:sz w:val="24"/>
          <w:szCs w:val="24"/>
        </w:rPr>
      </w:pPr>
      <w:r w:rsidRPr="00270E2E">
        <w:rPr>
          <w:rFonts w:ascii="Times New Roman" w:hAnsi="Times New Roman" w:cs="Times New Roman"/>
          <w:b/>
          <w:sz w:val="24"/>
          <w:szCs w:val="24"/>
        </w:rPr>
        <w:t xml:space="preserve">Factores socioeconómicos </w:t>
      </w:r>
    </w:p>
    <w:p w:rsidR="00C53849" w:rsidRPr="00270E2E" w:rsidRDefault="00C53849" w:rsidP="00C53849">
      <w:pPr>
        <w:pStyle w:val="Prrafodelista"/>
        <w:numPr>
          <w:ilvl w:val="0"/>
          <w:numId w:val="4"/>
        </w:numPr>
        <w:spacing w:before="120" w:after="0" w:line="360" w:lineRule="auto"/>
        <w:jc w:val="both"/>
        <w:rPr>
          <w:rFonts w:ascii="Times New Roman" w:hAnsi="Times New Roman" w:cs="Times New Roman"/>
          <w:b/>
          <w:sz w:val="24"/>
          <w:szCs w:val="24"/>
        </w:rPr>
      </w:pPr>
      <w:r w:rsidRPr="00270E2E">
        <w:rPr>
          <w:rFonts w:ascii="Times New Roman" w:hAnsi="Times New Roman" w:cs="Times New Roman"/>
          <w:b/>
          <w:sz w:val="24"/>
          <w:szCs w:val="24"/>
        </w:rPr>
        <w:t>Calidad de vida</w:t>
      </w:r>
    </w:p>
    <w:p w:rsidR="00C53849" w:rsidRPr="0012037D" w:rsidRDefault="00C53849" w:rsidP="00C53849">
      <w:pPr>
        <w:spacing w:before="120" w:after="0" w:line="360" w:lineRule="auto"/>
        <w:jc w:val="both"/>
        <w:rPr>
          <w:rFonts w:ascii="Times New Roman" w:hAnsi="Times New Roman" w:cs="Times New Roman"/>
          <w:sz w:val="24"/>
          <w:szCs w:val="24"/>
        </w:rPr>
      </w:pPr>
      <w:r w:rsidRPr="0012037D">
        <w:rPr>
          <w:rFonts w:ascii="Times New Roman" w:hAnsi="Times New Roman" w:cs="Times New Roman"/>
          <w:sz w:val="24"/>
          <w:szCs w:val="24"/>
        </w:rPr>
        <w:t>En las comunidades de Indayita más del 70% de la población vive en condiciones de hacinamiento, con falta de privacidad y dificultades para realizar las tareas domésticas y mantener la higiene del hogar. En el caso de Caimanes esa situación se manifiesta en más del 50% de las viviendas. Por otra parte, más del 88% de las viviendas en Indayita y más del 60 % en Caimanes tienen alguna amenaza o riesgo de derrumbe ante la ocurrencia de un desastre natural o un fenómeno climatológico intenso.</w:t>
      </w:r>
    </w:p>
    <w:p w:rsidR="00C53849" w:rsidRPr="0012037D" w:rsidRDefault="00C53849" w:rsidP="00C53849">
      <w:pPr>
        <w:tabs>
          <w:tab w:val="left" w:pos="6975"/>
        </w:tabs>
        <w:spacing w:before="120" w:after="0" w:line="360" w:lineRule="auto"/>
        <w:jc w:val="both"/>
        <w:rPr>
          <w:rFonts w:ascii="Times New Roman" w:hAnsi="Times New Roman" w:cs="Times New Roman"/>
          <w:sz w:val="24"/>
          <w:szCs w:val="24"/>
        </w:rPr>
      </w:pPr>
      <w:r w:rsidRPr="0012037D">
        <w:rPr>
          <w:rFonts w:ascii="Times New Roman" w:hAnsi="Times New Roman" w:cs="Times New Roman"/>
          <w:sz w:val="24"/>
          <w:szCs w:val="24"/>
        </w:rPr>
        <w:lastRenderedPageBreak/>
        <w:t xml:space="preserve">El acceso de los pobladores a servicios de comercio y gastronomía es muy difícil por la lejanía de las bodegas, carnicerías, agromercados y panaderías; además carecen de peluquerías, barberías, parques, entre otros servicios </w:t>
      </w:r>
    </w:p>
    <w:p w:rsidR="00C53849" w:rsidRPr="0012037D" w:rsidRDefault="00C53849" w:rsidP="00C53849">
      <w:pPr>
        <w:spacing w:before="120" w:after="0" w:line="360" w:lineRule="auto"/>
        <w:jc w:val="both"/>
        <w:rPr>
          <w:rFonts w:ascii="Times New Roman" w:hAnsi="Times New Roman" w:cs="Times New Roman"/>
          <w:sz w:val="24"/>
          <w:szCs w:val="24"/>
        </w:rPr>
      </w:pPr>
      <w:r w:rsidRPr="0012037D">
        <w:rPr>
          <w:rFonts w:ascii="Times New Roman" w:hAnsi="Times New Roman" w:cs="Times New Roman"/>
          <w:sz w:val="24"/>
          <w:szCs w:val="24"/>
        </w:rPr>
        <w:t>El 33.33% de la población de Indayita y el 43% de Caimanes tienen vínculo laboral, de ellos el 18.51% y el 21% respectivamente, pertenecen al sector cuentapropista</w:t>
      </w:r>
      <w:r w:rsidR="001808FC">
        <w:rPr>
          <w:rFonts w:ascii="Times New Roman" w:hAnsi="Times New Roman" w:cs="Times New Roman"/>
          <w:sz w:val="24"/>
          <w:szCs w:val="24"/>
        </w:rPr>
        <w:t xml:space="preserve"> no formalizado y a actividades económica ilícitas</w:t>
      </w:r>
      <w:r w:rsidRPr="0012037D">
        <w:rPr>
          <w:rFonts w:ascii="Times New Roman" w:hAnsi="Times New Roman" w:cs="Times New Roman"/>
          <w:sz w:val="24"/>
          <w:szCs w:val="24"/>
        </w:rPr>
        <w:t>. En Indayita, el 33% reciben ayuda financiera de familiares o amigos y el 38% recibe alguna pensión por seguridad social; mientras que en Caimanes el 6.6 % y el 13.3 % reciben dichas ayudas respectivamente.</w:t>
      </w:r>
    </w:p>
    <w:p w:rsidR="001808FC" w:rsidRDefault="00C53849" w:rsidP="001808FC">
      <w:pPr>
        <w:spacing w:before="120" w:after="0" w:line="360" w:lineRule="auto"/>
        <w:jc w:val="both"/>
        <w:rPr>
          <w:rFonts w:ascii="Times New Roman" w:hAnsi="Times New Roman" w:cs="Times New Roman"/>
          <w:sz w:val="24"/>
          <w:szCs w:val="24"/>
        </w:rPr>
      </w:pPr>
      <w:r w:rsidRPr="0012037D">
        <w:rPr>
          <w:rFonts w:ascii="Times New Roman" w:hAnsi="Times New Roman" w:cs="Times New Roman"/>
          <w:sz w:val="24"/>
          <w:szCs w:val="24"/>
        </w:rPr>
        <w:t xml:space="preserve">En la comunidad de Indayita la tasa de desocupados es de </w:t>
      </w:r>
      <w:r w:rsidR="001808FC">
        <w:rPr>
          <w:rFonts w:ascii="Times New Roman" w:hAnsi="Times New Roman" w:cs="Times New Roman"/>
          <w:sz w:val="24"/>
          <w:szCs w:val="24"/>
        </w:rPr>
        <w:t>62</w:t>
      </w:r>
      <w:r w:rsidRPr="0012037D">
        <w:rPr>
          <w:rFonts w:ascii="Times New Roman" w:hAnsi="Times New Roman" w:cs="Times New Roman"/>
          <w:sz w:val="24"/>
          <w:szCs w:val="24"/>
        </w:rPr>
        <w:t xml:space="preserve">.07% mientras que en la comunidad de Caimanes es de </w:t>
      </w:r>
      <w:r w:rsidR="001808FC">
        <w:rPr>
          <w:rFonts w:ascii="Times New Roman" w:hAnsi="Times New Roman" w:cs="Times New Roman"/>
          <w:sz w:val="24"/>
          <w:szCs w:val="24"/>
        </w:rPr>
        <w:t>59</w:t>
      </w:r>
      <w:r w:rsidRPr="0012037D">
        <w:rPr>
          <w:rFonts w:ascii="Times New Roman" w:hAnsi="Times New Roman" w:cs="Times New Roman"/>
          <w:sz w:val="24"/>
          <w:szCs w:val="24"/>
        </w:rPr>
        <w:t>.77%. Comparando estos resultados con la tendencia nacional donde la tasa de desocupaci</w:t>
      </w:r>
      <w:r w:rsidR="001808FC">
        <w:rPr>
          <w:rFonts w:ascii="Times New Roman" w:hAnsi="Times New Roman" w:cs="Times New Roman"/>
          <w:sz w:val="24"/>
          <w:szCs w:val="24"/>
        </w:rPr>
        <w:t>ón</w:t>
      </w:r>
      <w:r w:rsidRPr="0012037D">
        <w:rPr>
          <w:rFonts w:ascii="Times New Roman" w:hAnsi="Times New Roman" w:cs="Times New Roman"/>
          <w:sz w:val="24"/>
          <w:szCs w:val="24"/>
        </w:rPr>
        <w:t xml:space="preserve"> es de 2.4 %, estas comunidades presentan tasas de desempleo </w:t>
      </w:r>
      <w:r w:rsidR="001808FC">
        <w:rPr>
          <w:rFonts w:ascii="Times New Roman" w:hAnsi="Times New Roman" w:cs="Times New Roman"/>
          <w:sz w:val="24"/>
          <w:szCs w:val="24"/>
        </w:rPr>
        <w:t xml:space="preserve">extremadamente altas en comparación con las del </w:t>
      </w:r>
      <w:r w:rsidRPr="0012037D">
        <w:rPr>
          <w:rFonts w:ascii="Times New Roman" w:hAnsi="Times New Roman" w:cs="Times New Roman"/>
          <w:sz w:val="24"/>
          <w:szCs w:val="24"/>
        </w:rPr>
        <w:t>país</w:t>
      </w:r>
    </w:p>
    <w:p w:rsidR="00C53849" w:rsidRPr="00270E2E" w:rsidRDefault="00C53849" w:rsidP="00270E2E">
      <w:pPr>
        <w:pStyle w:val="Prrafodelista"/>
        <w:numPr>
          <w:ilvl w:val="0"/>
          <w:numId w:val="4"/>
        </w:numPr>
        <w:spacing w:before="120" w:after="0" w:line="360" w:lineRule="auto"/>
        <w:jc w:val="both"/>
        <w:rPr>
          <w:rFonts w:ascii="Times New Roman" w:hAnsi="Times New Roman" w:cs="Times New Roman"/>
          <w:b/>
          <w:sz w:val="24"/>
          <w:szCs w:val="24"/>
        </w:rPr>
      </w:pPr>
      <w:r w:rsidRPr="00270E2E">
        <w:rPr>
          <w:rFonts w:ascii="Times New Roman" w:hAnsi="Times New Roman" w:cs="Times New Roman"/>
          <w:b/>
          <w:sz w:val="24"/>
          <w:szCs w:val="24"/>
        </w:rPr>
        <w:t>Infraestructura técnica urbana</w:t>
      </w:r>
    </w:p>
    <w:p w:rsidR="001808FC" w:rsidRDefault="001808FC" w:rsidP="00C53849">
      <w:pPr>
        <w:spacing w:before="120" w:after="0" w:line="360" w:lineRule="auto"/>
        <w:jc w:val="both"/>
        <w:rPr>
          <w:rFonts w:ascii="Times New Roman" w:hAnsi="Times New Roman" w:cs="Times New Roman"/>
          <w:sz w:val="24"/>
          <w:szCs w:val="24"/>
        </w:rPr>
      </w:pPr>
      <w:r w:rsidRPr="0012037D">
        <w:rPr>
          <w:rFonts w:ascii="Times New Roman" w:hAnsi="Times New Roman" w:cs="Times New Roman"/>
          <w:sz w:val="24"/>
          <w:szCs w:val="24"/>
        </w:rPr>
        <w:t>Las condiciones de pobreza además de estar relacionadas con los ingresos económicos y financieros individuales, también se asocian al desarrollo social. La carencia de servicios básicos de comercio y gastronomía y de redes de infraestructura técnica urbana, son factores que limitan el desarrollo socioeconómico y social de las comunidades de Indayita y Caimanes.</w:t>
      </w:r>
      <w:r w:rsidRPr="0012037D">
        <w:rPr>
          <w:rFonts w:ascii="Times New Roman" w:hAnsi="Times New Roman" w:cs="Times New Roman"/>
          <w:sz w:val="24"/>
          <w:szCs w:val="24"/>
        </w:rPr>
        <w:tab/>
      </w:r>
    </w:p>
    <w:p w:rsidR="00C53849" w:rsidRPr="0012037D" w:rsidRDefault="00C53849" w:rsidP="00C53849">
      <w:pPr>
        <w:spacing w:before="120" w:after="0" w:line="360" w:lineRule="auto"/>
        <w:jc w:val="both"/>
        <w:rPr>
          <w:rFonts w:ascii="Times New Roman" w:hAnsi="Times New Roman" w:cs="Times New Roman"/>
          <w:sz w:val="24"/>
          <w:szCs w:val="24"/>
        </w:rPr>
      </w:pPr>
      <w:r w:rsidRPr="0012037D">
        <w:rPr>
          <w:rFonts w:ascii="Times New Roman" w:hAnsi="Times New Roman" w:cs="Times New Roman"/>
          <w:sz w:val="24"/>
          <w:szCs w:val="24"/>
        </w:rPr>
        <w:t xml:space="preserve">La ausencia de las escuelas de los diferentes sistemas de enseñanza y de los servicios de salud no constituyen problemas sociales para la población residente en las comunidades Indayita y Caimanes, debido a que cuentan con esos servicios en los sistemas urbanos más cercanos, por lo que no constituyen dificultades sociales que incidan a la vulnerabilidad socioambiental. A diferencia de los servicios gastronómicos y de comercio que si representan uno de los mayores problemas sociales porque deben recorrer largas distancias hasta los puntos de venta de productos de primera necesidad y de la canasta básica, lo que dificulta su adquisición y la satisfacción de las necesidades de la población.   </w:t>
      </w:r>
    </w:p>
    <w:p w:rsidR="00C53849" w:rsidRPr="00270E2E" w:rsidRDefault="00C53849" w:rsidP="00450690">
      <w:pPr>
        <w:pStyle w:val="Prrafodelista"/>
        <w:numPr>
          <w:ilvl w:val="2"/>
          <w:numId w:val="13"/>
        </w:numPr>
        <w:tabs>
          <w:tab w:val="left" w:pos="284"/>
        </w:tabs>
        <w:spacing w:before="120" w:after="0" w:line="360" w:lineRule="auto"/>
        <w:ind w:left="0" w:firstLine="0"/>
        <w:jc w:val="both"/>
        <w:rPr>
          <w:rFonts w:ascii="Times New Roman" w:hAnsi="Times New Roman" w:cs="Times New Roman"/>
          <w:b/>
          <w:sz w:val="24"/>
          <w:szCs w:val="24"/>
        </w:rPr>
      </w:pPr>
      <w:r w:rsidRPr="00270E2E">
        <w:rPr>
          <w:rFonts w:ascii="Times New Roman" w:hAnsi="Times New Roman" w:cs="Times New Roman"/>
          <w:b/>
          <w:sz w:val="24"/>
          <w:szCs w:val="24"/>
        </w:rPr>
        <w:t>Prácticas sociales reproducidas</w:t>
      </w:r>
    </w:p>
    <w:p w:rsidR="00C53849" w:rsidRPr="00270E2E" w:rsidRDefault="00C53849" w:rsidP="00C53849">
      <w:pPr>
        <w:pStyle w:val="Prrafodelista"/>
        <w:numPr>
          <w:ilvl w:val="0"/>
          <w:numId w:val="4"/>
        </w:numPr>
        <w:tabs>
          <w:tab w:val="left" w:pos="284"/>
        </w:tabs>
        <w:spacing w:before="120" w:after="0" w:line="360" w:lineRule="auto"/>
        <w:jc w:val="both"/>
        <w:rPr>
          <w:rFonts w:ascii="Times New Roman" w:hAnsi="Times New Roman" w:cs="Times New Roman"/>
          <w:b/>
          <w:sz w:val="24"/>
          <w:szCs w:val="24"/>
        </w:rPr>
      </w:pPr>
      <w:r w:rsidRPr="00270E2E">
        <w:rPr>
          <w:rFonts w:ascii="Times New Roman" w:hAnsi="Times New Roman" w:cs="Times New Roman"/>
          <w:b/>
          <w:sz w:val="24"/>
          <w:szCs w:val="24"/>
        </w:rPr>
        <w:t>Actitud ambiental</w:t>
      </w:r>
    </w:p>
    <w:p w:rsidR="00C53849" w:rsidRDefault="00C53849" w:rsidP="00C53849">
      <w:pPr>
        <w:tabs>
          <w:tab w:val="left" w:pos="284"/>
        </w:tabs>
        <w:spacing w:before="120" w:after="0" w:line="360" w:lineRule="auto"/>
        <w:jc w:val="both"/>
        <w:rPr>
          <w:rFonts w:ascii="Times New Roman" w:hAnsi="Times New Roman" w:cs="Times New Roman"/>
          <w:sz w:val="24"/>
          <w:szCs w:val="24"/>
        </w:rPr>
      </w:pPr>
      <w:r w:rsidRPr="0012037D">
        <w:rPr>
          <w:rFonts w:ascii="Times New Roman" w:hAnsi="Times New Roman" w:cs="Times New Roman"/>
          <w:sz w:val="24"/>
          <w:szCs w:val="24"/>
        </w:rPr>
        <w:lastRenderedPageBreak/>
        <w:t xml:space="preserve">La población de las comunidades de Indayita y Caimanes tiene una actitud medioambiental irresponsable manifestada en el vertimiento de aguas residuales domésticas, de residuos sólidos en lugares inapropiados de la comunidad formando microvertederos, el fecalismo al aire libre, las construcciones ilegales de viviendas sin previa planificación urbanística y otras prácticas antiecológicas.   </w:t>
      </w:r>
    </w:p>
    <w:p w:rsidR="00C53849" w:rsidRPr="00270E2E" w:rsidRDefault="00C53849" w:rsidP="00C53849">
      <w:pPr>
        <w:pStyle w:val="Prrafodelista"/>
        <w:numPr>
          <w:ilvl w:val="0"/>
          <w:numId w:val="4"/>
        </w:numPr>
        <w:tabs>
          <w:tab w:val="left" w:pos="284"/>
        </w:tabs>
        <w:spacing w:before="120" w:after="0" w:line="360" w:lineRule="auto"/>
        <w:jc w:val="both"/>
        <w:rPr>
          <w:rFonts w:ascii="Times New Roman" w:hAnsi="Times New Roman" w:cs="Times New Roman"/>
          <w:b/>
          <w:sz w:val="24"/>
          <w:szCs w:val="24"/>
        </w:rPr>
      </w:pPr>
      <w:r w:rsidRPr="00270E2E">
        <w:rPr>
          <w:rFonts w:ascii="Times New Roman" w:hAnsi="Times New Roman" w:cs="Times New Roman"/>
          <w:b/>
          <w:sz w:val="24"/>
          <w:szCs w:val="24"/>
        </w:rPr>
        <w:t>Conflictos comunitarios y Comisión de delitos</w:t>
      </w:r>
    </w:p>
    <w:p w:rsidR="00C53849" w:rsidRPr="0012037D" w:rsidRDefault="00C53849" w:rsidP="00C53849">
      <w:pPr>
        <w:spacing w:before="120" w:after="0" w:line="360" w:lineRule="auto"/>
        <w:jc w:val="both"/>
        <w:rPr>
          <w:rFonts w:ascii="Times New Roman" w:hAnsi="Times New Roman" w:cs="Times New Roman"/>
          <w:sz w:val="24"/>
          <w:szCs w:val="24"/>
        </w:rPr>
      </w:pPr>
      <w:r w:rsidRPr="0012037D">
        <w:rPr>
          <w:rFonts w:ascii="Times New Roman" w:hAnsi="Times New Roman" w:cs="Times New Roman"/>
          <w:sz w:val="24"/>
          <w:szCs w:val="24"/>
        </w:rPr>
        <w:t xml:space="preserve">El inadecuado comportamiento social constituye una problemática social para un sistema determinado. Tal es el caso de las prácticas sociales reproducidas como la construcción ilegal de viviendas siendo la principal indisciplina social observada. La violencia a través del maltrato a los animales, los escándalos públicos, la venta ilegal de productos y riñas entre vecinos son algunas de las problemáticas sociales dadas en el área de estudio y son, además, prácticas sociales reproducidas. La marginalidad social está dada por la ocurrencia de un elevado índice de comisión de delitos asociados al bajo nivel cultural.  </w:t>
      </w:r>
    </w:p>
    <w:p w:rsidR="00C53849" w:rsidRDefault="00C53849" w:rsidP="00C53849">
      <w:pPr>
        <w:spacing w:before="120" w:after="0" w:line="360" w:lineRule="auto"/>
        <w:jc w:val="both"/>
        <w:rPr>
          <w:rFonts w:ascii="Times New Roman" w:hAnsi="Times New Roman" w:cs="Times New Roman"/>
          <w:sz w:val="24"/>
          <w:szCs w:val="24"/>
        </w:rPr>
      </w:pPr>
      <w:r w:rsidRPr="0012037D">
        <w:rPr>
          <w:rFonts w:ascii="Times New Roman" w:hAnsi="Times New Roman" w:cs="Times New Roman"/>
          <w:sz w:val="24"/>
          <w:szCs w:val="24"/>
        </w:rPr>
        <w:t>El potencial delictivo de las comunidades adquieren valores significativos si se tiene en cuanta el tamaño de la población. En un periodo de diez años el 20.62 %  de la población total de ambas comunidades han sido sancionadas. Los índices de sancionados muestran valores alarmantes, ya sea, los que están o han estado internados en centros penitenciarios de mayor o menor riesgo y en prisión domiciliar por causas diversas. En la comisión de delitos está involucrado un importante número de la población joven, incluyendo menores de edad.</w:t>
      </w:r>
    </w:p>
    <w:p w:rsidR="00DB7B10" w:rsidRPr="0060404C" w:rsidRDefault="00DB7B10" w:rsidP="00DB7B10">
      <w:pPr>
        <w:spacing w:after="0" w:line="360" w:lineRule="auto"/>
        <w:jc w:val="both"/>
        <w:rPr>
          <w:rFonts w:ascii="Times New Roman" w:hAnsi="Times New Roman" w:cs="Times New Roman"/>
          <w:sz w:val="24"/>
          <w:szCs w:val="24"/>
        </w:rPr>
      </w:pPr>
      <w:r w:rsidRPr="0060404C">
        <w:rPr>
          <w:rFonts w:ascii="Times New Roman" w:hAnsi="Times New Roman" w:cs="Times New Roman"/>
          <w:sz w:val="24"/>
          <w:szCs w:val="24"/>
        </w:rPr>
        <w:t xml:space="preserve">La existencia de un evento físico o natural extremo, no constituye en sí un desastre sin que tenga un impacto negativo en la sociedad (Lavell, 1993). El impacto negativo se manifiesta con mayor intensidad en dependencia de las condiciones socioeconómicas y de la educación ambiental de la población afectada. </w:t>
      </w:r>
    </w:p>
    <w:p w:rsidR="00DB7B10" w:rsidRPr="0060404C" w:rsidRDefault="00DB7B10" w:rsidP="00DB7B10">
      <w:pPr>
        <w:spacing w:after="0" w:line="360" w:lineRule="auto"/>
        <w:jc w:val="both"/>
        <w:rPr>
          <w:rFonts w:ascii="Times New Roman" w:hAnsi="Times New Roman" w:cs="Times New Roman"/>
          <w:sz w:val="24"/>
          <w:szCs w:val="24"/>
        </w:rPr>
      </w:pPr>
      <w:r w:rsidRPr="0060404C">
        <w:rPr>
          <w:rFonts w:ascii="Times New Roman" w:hAnsi="Times New Roman" w:cs="Times New Roman"/>
          <w:sz w:val="24"/>
          <w:szCs w:val="24"/>
        </w:rPr>
        <w:t>La vulnerabilidad económica tiene una relación indirecta con los ingresos en los niveles nacional, regional, local o poblacional y con el impacto de los fenómenos físicos extremos. Es decir, la pobreza aumenta el riesgo de desastre (vulnerabilidad de los sectores más deprimidos por el desempleo, insuficiencia de ingresos, explotación, inestabilidad laboral, dificultad de acceso a los servicios de educación, salud y ocio) (Foschiatti, 2004)</w:t>
      </w:r>
    </w:p>
    <w:p w:rsidR="00DB7B10" w:rsidRPr="0060404C" w:rsidRDefault="00DB7B10" w:rsidP="00DB7B10">
      <w:pPr>
        <w:spacing w:after="0" w:line="360" w:lineRule="auto"/>
        <w:jc w:val="both"/>
        <w:rPr>
          <w:rFonts w:ascii="Times New Roman" w:hAnsi="Times New Roman" w:cs="Times New Roman"/>
          <w:sz w:val="24"/>
          <w:szCs w:val="24"/>
        </w:rPr>
      </w:pPr>
      <w:r w:rsidRPr="0060404C">
        <w:rPr>
          <w:rFonts w:ascii="Times New Roman" w:hAnsi="Times New Roman" w:cs="Times New Roman"/>
          <w:sz w:val="24"/>
          <w:szCs w:val="24"/>
        </w:rPr>
        <w:lastRenderedPageBreak/>
        <w:t>El análisis de las prácticas sociales reproducidas forma parte de los aportes teóricos de Anthony Giddens, en los que plantea que los procesos de relaciones sociales se estructuran en el tiempo y el espacio determinado a través de la dualidad estructural. En tanto, la dualidad estructural está relacionada a la conformación establecida en los sistemas sociales, donde los agentes socializadores construyen sus propios sistemas mediante el desarrollo de distintas acciones sociales, teniendo en cuenta las condiciones y posibilidades que les permitan la construcción de un mundo ideal (Corcuff, 1995).</w:t>
      </w:r>
    </w:p>
    <w:p w:rsidR="00DB7B10" w:rsidRPr="0060404C" w:rsidRDefault="00DB7B10" w:rsidP="00DB7B10">
      <w:pPr>
        <w:spacing w:after="0" w:line="360" w:lineRule="auto"/>
        <w:jc w:val="both"/>
        <w:rPr>
          <w:rFonts w:ascii="Times New Roman" w:hAnsi="Times New Roman" w:cs="Times New Roman"/>
          <w:sz w:val="24"/>
          <w:szCs w:val="24"/>
        </w:rPr>
      </w:pPr>
      <w:r w:rsidRPr="0060404C">
        <w:rPr>
          <w:rFonts w:ascii="Times New Roman" w:hAnsi="Times New Roman" w:cs="Times New Roman"/>
          <w:sz w:val="24"/>
          <w:szCs w:val="24"/>
        </w:rPr>
        <w:t>Giddens plantea que la actividad intencional de los actores prefiere atribuir una lógica autosuficiente al propio sistema social, definiendo el sistema social como la formación a través de espacio y el tiempo, de relaciones sociales combinadas como prácticas reproducidas (Corcuff, 1995). Los estilos de vida y los comportamientos colectivos de los distintos grupos sociales ubicados en comunidades espontáneas generan grandes contradicciones objetivas en el orden social e impactan negativamente sobre las leyes predominantes, a través del surgimiento de nuevas realidades sociales donde se desarrollan prácticas cotidianas generadoras de diversos problemas y de la transformación social del entorno natural.</w:t>
      </w:r>
    </w:p>
    <w:p w:rsidR="0084286A" w:rsidRDefault="00DB7B10" w:rsidP="00C53849">
      <w:pPr>
        <w:spacing w:before="120" w:after="0" w:line="360" w:lineRule="auto"/>
        <w:jc w:val="both"/>
        <w:rPr>
          <w:rFonts w:ascii="Times New Roman" w:hAnsi="Times New Roman" w:cs="Times New Roman"/>
          <w:sz w:val="24"/>
          <w:szCs w:val="24"/>
        </w:rPr>
      </w:pPr>
      <w:r w:rsidRPr="0060404C">
        <w:rPr>
          <w:rFonts w:ascii="Times New Roman" w:hAnsi="Times New Roman" w:cs="Times New Roman"/>
          <w:sz w:val="24"/>
          <w:szCs w:val="24"/>
        </w:rPr>
        <w:t>En la medida que se agudizan las relaciones entre los individuos y la naturaleza, se reproducen nuevas prácticas colectivas antiecológicas que conducen al detrimento del medio ambiente. El actuar social comunitario de los hombres hacia el entorno natural es el reflejo del nivel cultural de los mismos. Por tanto la adquisición de conocimientos ambientales y ecológicos deben ser elementos imprescindibles en la formación de los seres humanos. Concientizar sobre la ocurrencia de la problemática socioambiental comunitaria, conlleva a la población a instrumentar mecanismos encaminados a minimizar los problemas que generan la vulnerabilidad socioambiental en cualquieras de sus variantes.</w:t>
      </w:r>
    </w:p>
    <w:p w:rsidR="00C53849" w:rsidRPr="00563FA4" w:rsidRDefault="00270E2E" w:rsidP="00C53849">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C53849" w:rsidRPr="00563FA4">
        <w:rPr>
          <w:rFonts w:ascii="Times New Roman" w:hAnsi="Times New Roman" w:cs="Times New Roman"/>
          <w:b/>
          <w:sz w:val="24"/>
          <w:szCs w:val="24"/>
        </w:rPr>
        <w:t xml:space="preserve">Incidencia de los factores socioeconómicos estudiados en la vulnerabilidad socioambiental  </w:t>
      </w:r>
    </w:p>
    <w:p w:rsidR="00C53849" w:rsidRPr="0012037D" w:rsidRDefault="00563FA4" w:rsidP="00C53849">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A pesar de que</w:t>
      </w:r>
      <w:r w:rsidR="00C53849" w:rsidRPr="0012037D">
        <w:rPr>
          <w:rFonts w:ascii="Times New Roman" w:hAnsi="Times New Roman" w:cs="Times New Roman"/>
          <w:sz w:val="24"/>
          <w:szCs w:val="24"/>
        </w:rPr>
        <w:t xml:space="preserve"> las comunidades Indayita y Caimanes presentan estructuras funcionales similares, los factores sociales que configuran la vulnerabilidad socioambiental no influyen de la misma forma en ambas, teniendo mayor incidencia en Indayita</w:t>
      </w:r>
      <w:r w:rsidR="00450690">
        <w:rPr>
          <w:rFonts w:ascii="Times New Roman" w:hAnsi="Times New Roman" w:cs="Times New Roman"/>
          <w:sz w:val="24"/>
          <w:szCs w:val="24"/>
        </w:rPr>
        <w:t xml:space="preserve"> según se muestra en la tabla 3</w:t>
      </w:r>
      <w:r w:rsidR="00C53849" w:rsidRPr="0012037D">
        <w:rPr>
          <w:rFonts w:ascii="Times New Roman" w:hAnsi="Times New Roman" w:cs="Times New Roman"/>
          <w:sz w:val="24"/>
          <w:szCs w:val="24"/>
        </w:rPr>
        <w:t>.</w:t>
      </w:r>
    </w:p>
    <w:p w:rsidR="00C53849" w:rsidRPr="0012037D" w:rsidRDefault="00C53849" w:rsidP="007546B4">
      <w:pPr>
        <w:spacing w:before="120" w:after="0" w:line="360" w:lineRule="auto"/>
        <w:jc w:val="center"/>
        <w:rPr>
          <w:rFonts w:ascii="Times New Roman" w:hAnsi="Times New Roman" w:cs="Times New Roman"/>
          <w:sz w:val="24"/>
          <w:szCs w:val="24"/>
        </w:rPr>
      </w:pPr>
      <w:r w:rsidRPr="0012037D">
        <w:rPr>
          <w:rFonts w:ascii="Times New Roman" w:hAnsi="Times New Roman" w:cs="Times New Roman"/>
          <w:sz w:val="24"/>
          <w:szCs w:val="24"/>
        </w:rPr>
        <w:lastRenderedPageBreak/>
        <w:t>Tabla 3. Incidencia de las variables estudiadas en la vulnerabilidad socioambiental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0"/>
        <w:gridCol w:w="1254"/>
        <w:gridCol w:w="1799"/>
        <w:gridCol w:w="1110"/>
        <w:gridCol w:w="1927"/>
      </w:tblGrid>
      <w:tr w:rsidR="00C53849" w:rsidRPr="0012037D" w:rsidTr="00E85B17">
        <w:tc>
          <w:tcPr>
            <w:tcW w:w="2802" w:type="dxa"/>
            <w:shd w:val="clear" w:color="auto" w:fill="auto"/>
          </w:tcPr>
          <w:p w:rsidR="00C53849" w:rsidRPr="0012037D" w:rsidRDefault="00C53849" w:rsidP="00721247">
            <w:pPr>
              <w:spacing w:before="120" w:after="0" w:line="240" w:lineRule="auto"/>
              <w:jc w:val="center"/>
              <w:rPr>
                <w:rFonts w:ascii="Times New Roman" w:hAnsi="Times New Roman" w:cs="Times New Roman"/>
                <w:sz w:val="24"/>
                <w:szCs w:val="24"/>
              </w:rPr>
            </w:pPr>
            <w:r w:rsidRPr="0012037D">
              <w:rPr>
                <w:rFonts w:ascii="Times New Roman" w:hAnsi="Times New Roman" w:cs="Times New Roman"/>
                <w:sz w:val="24"/>
                <w:szCs w:val="24"/>
              </w:rPr>
              <w:t>Variables</w:t>
            </w:r>
          </w:p>
        </w:tc>
        <w:tc>
          <w:tcPr>
            <w:tcW w:w="1275" w:type="dxa"/>
            <w:shd w:val="clear" w:color="auto" w:fill="auto"/>
          </w:tcPr>
          <w:p w:rsidR="00C53849" w:rsidRPr="0012037D" w:rsidRDefault="00C53849" w:rsidP="00721247">
            <w:pPr>
              <w:spacing w:before="120" w:after="0" w:line="240" w:lineRule="auto"/>
              <w:jc w:val="center"/>
              <w:rPr>
                <w:rFonts w:ascii="Times New Roman" w:hAnsi="Times New Roman" w:cs="Times New Roman"/>
                <w:sz w:val="24"/>
                <w:szCs w:val="24"/>
              </w:rPr>
            </w:pPr>
            <w:r w:rsidRPr="0012037D">
              <w:rPr>
                <w:rFonts w:ascii="Times New Roman" w:hAnsi="Times New Roman" w:cs="Times New Roman"/>
                <w:sz w:val="24"/>
                <w:szCs w:val="24"/>
              </w:rPr>
              <w:t>Caimanes (%)</w:t>
            </w:r>
          </w:p>
        </w:tc>
        <w:tc>
          <w:tcPr>
            <w:tcW w:w="1843" w:type="dxa"/>
            <w:shd w:val="clear" w:color="auto" w:fill="auto"/>
          </w:tcPr>
          <w:p w:rsidR="00C53849" w:rsidRPr="0012037D" w:rsidRDefault="00C53849" w:rsidP="00721247">
            <w:pPr>
              <w:spacing w:before="120" w:after="0" w:line="240" w:lineRule="auto"/>
              <w:jc w:val="center"/>
              <w:rPr>
                <w:rFonts w:ascii="Times New Roman" w:hAnsi="Times New Roman" w:cs="Times New Roman"/>
                <w:sz w:val="24"/>
                <w:szCs w:val="24"/>
              </w:rPr>
            </w:pPr>
            <w:r w:rsidRPr="0012037D">
              <w:rPr>
                <w:rFonts w:ascii="Times New Roman" w:hAnsi="Times New Roman" w:cs="Times New Roman"/>
                <w:sz w:val="24"/>
                <w:szCs w:val="24"/>
              </w:rPr>
              <w:t>Incidencia en la vulnerabilidad</w:t>
            </w:r>
          </w:p>
        </w:tc>
        <w:tc>
          <w:tcPr>
            <w:tcW w:w="1134" w:type="dxa"/>
            <w:shd w:val="clear" w:color="auto" w:fill="auto"/>
          </w:tcPr>
          <w:p w:rsidR="00C53849" w:rsidRPr="0012037D" w:rsidRDefault="00C53849" w:rsidP="00721247">
            <w:pPr>
              <w:spacing w:before="120" w:after="0" w:line="240" w:lineRule="auto"/>
              <w:jc w:val="center"/>
              <w:rPr>
                <w:rFonts w:ascii="Times New Roman" w:hAnsi="Times New Roman" w:cs="Times New Roman"/>
                <w:sz w:val="24"/>
                <w:szCs w:val="24"/>
              </w:rPr>
            </w:pPr>
            <w:r w:rsidRPr="0012037D">
              <w:rPr>
                <w:rFonts w:ascii="Times New Roman" w:hAnsi="Times New Roman" w:cs="Times New Roman"/>
                <w:sz w:val="24"/>
                <w:szCs w:val="24"/>
              </w:rPr>
              <w:t>Indayita (%)</w:t>
            </w:r>
          </w:p>
        </w:tc>
        <w:tc>
          <w:tcPr>
            <w:tcW w:w="2000" w:type="dxa"/>
            <w:shd w:val="clear" w:color="auto" w:fill="auto"/>
          </w:tcPr>
          <w:p w:rsidR="00C53849" w:rsidRPr="0012037D" w:rsidRDefault="00C53849" w:rsidP="00721247">
            <w:pPr>
              <w:spacing w:before="120" w:after="0" w:line="240" w:lineRule="auto"/>
              <w:jc w:val="center"/>
              <w:rPr>
                <w:rFonts w:ascii="Times New Roman" w:hAnsi="Times New Roman" w:cs="Times New Roman"/>
                <w:sz w:val="24"/>
                <w:szCs w:val="24"/>
              </w:rPr>
            </w:pPr>
            <w:r w:rsidRPr="0012037D">
              <w:rPr>
                <w:rFonts w:ascii="Times New Roman" w:hAnsi="Times New Roman" w:cs="Times New Roman"/>
                <w:sz w:val="24"/>
                <w:szCs w:val="24"/>
              </w:rPr>
              <w:t>Incidencia en la vulnerabilidad</w:t>
            </w:r>
          </w:p>
        </w:tc>
      </w:tr>
      <w:tr w:rsidR="00C53849" w:rsidRPr="0012037D" w:rsidTr="00E85B17">
        <w:tc>
          <w:tcPr>
            <w:tcW w:w="2802" w:type="dxa"/>
            <w:shd w:val="clear" w:color="auto" w:fill="auto"/>
          </w:tcPr>
          <w:p w:rsidR="00C53849" w:rsidRPr="0012037D" w:rsidRDefault="00C53849" w:rsidP="00721247">
            <w:pPr>
              <w:spacing w:before="120" w:after="0" w:line="240" w:lineRule="auto"/>
              <w:jc w:val="both"/>
              <w:rPr>
                <w:rFonts w:ascii="Times New Roman" w:hAnsi="Times New Roman" w:cs="Times New Roman"/>
                <w:sz w:val="24"/>
                <w:szCs w:val="24"/>
              </w:rPr>
            </w:pPr>
            <w:r w:rsidRPr="0012037D">
              <w:rPr>
                <w:rFonts w:ascii="Times New Roman" w:hAnsi="Times New Roman" w:cs="Times New Roman"/>
                <w:sz w:val="24"/>
                <w:szCs w:val="24"/>
              </w:rPr>
              <w:t>Exposición a fenómenos naturales extremos</w:t>
            </w:r>
          </w:p>
        </w:tc>
        <w:tc>
          <w:tcPr>
            <w:tcW w:w="1275" w:type="dxa"/>
            <w:shd w:val="clear" w:color="auto" w:fill="auto"/>
            <w:vAlign w:val="center"/>
          </w:tcPr>
          <w:p w:rsidR="00C53849" w:rsidRPr="0012037D" w:rsidRDefault="00C53849" w:rsidP="00721247">
            <w:pPr>
              <w:spacing w:before="120" w:after="0" w:line="240" w:lineRule="auto"/>
              <w:jc w:val="center"/>
              <w:rPr>
                <w:rFonts w:ascii="Times New Roman" w:hAnsi="Times New Roman" w:cs="Times New Roman"/>
                <w:sz w:val="24"/>
                <w:szCs w:val="24"/>
              </w:rPr>
            </w:pPr>
            <w:r w:rsidRPr="0012037D">
              <w:rPr>
                <w:rFonts w:ascii="Times New Roman" w:hAnsi="Times New Roman" w:cs="Times New Roman"/>
                <w:sz w:val="24"/>
                <w:szCs w:val="24"/>
              </w:rPr>
              <w:t>55.00</w:t>
            </w:r>
          </w:p>
        </w:tc>
        <w:tc>
          <w:tcPr>
            <w:tcW w:w="1843" w:type="dxa"/>
            <w:shd w:val="clear" w:color="auto" w:fill="auto"/>
            <w:vAlign w:val="center"/>
          </w:tcPr>
          <w:p w:rsidR="00C53849" w:rsidRPr="0012037D" w:rsidRDefault="00C53849" w:rsidP="00721247">
            <w:pPr>
              <w:spacing w:before="120" w:after="0" w:line="240" w:lineRule="auto"/>
              <w:jc w:val="center"/>
              <w:rPr>
                <w:rFonts w:ascii="Times New Roman" w:hAnsi="Times New Roman" w:cs="Times New Roman"/>
                <w:sz w:val="24"/>
                <w:szCs w:val="24"/>
              </w:rPr>
            </w:pPr>
            <w:r w:rsidRPr="0012037D">
              <w:rPr>
                <w:rFonts w:ascii="Times New Roman" w:hAnsi="Times New Roman" w:cs="Times New Roman"/>
                <w:sz w:val="24"/>
                <w:szCs w:val="24"/>
              </w:rPr>
              <w:t>Media</w:t>
            </w:r>
          </w:p>
        </w:tc>
        <w:tc>
          <w:tcPr>
            <w:tcW w:w="1134" w:type="dxa"/>
            <w:shd w:val="clear" w:color="auto" w:fill="auto"/>
            <w:vAlign w:val="center"/>
          </w:tcPr>
          <w:p w:rsidR="00C53849" w:rsidRPr="0012037D" w:rsidRDefault="00C53849" w:rsidP="00721247">
            <w:pPr>
              <w:spacing w:before="120" w:after="0" w:line="240" w:lineRule="auto"/>
              <w:jc w:val="center"/>
              <w:rPr>
                <w:rFonts w:ascii="Times New Roman" w:hAnsi="Times New Roman" w:cs="Times New Roman"/>
                <w:sz w:val="24"/>
                <w:szCs w:val="24"/>
              </w:rPr>
            </w:pPr>
            <w:r w:rsidRPr="0012037D">
              <w:rPr>
                <w:rFonts w:ascii="Times New Roman" w:hAnsi="Times New Roman" w:cs="Times New Roman"/>
                <w:sz w:val="24"/>
                <w:szCs w:val="24"/>
              </w:rPr>
              <w:t>70.00</w:t>
            </w:r>
          </w:p>
        </w:tc>
        <w:tc>
          <w:tcPr>
            <w:tcW w:w="2000" w:type="dxa"/>
            <w:shd w:val="clear" w:color="auto" w:fill="auto"/>
            <w:vAlign w:val="center"/>
          </w:tcPr>
          <w:p w:rsidR="00C53849" w:rsidRPr="0012037D" w:rsidRDefault="00C53849" w:rsidP="00721247">
            <w:pPr>
              <w:spacing w:before="120" w:after="0" w:line="240" w:lineRule="auto"/>
              <w:jc w:val="center"/>
              <w:rPr>
                <w:rFonts w:ascii="Times New Roman" w:hAnsi="Times New Roman" w:cs="Times New Roman"/>
                <w:sz w:val="24"/>
                <w:szCs w:val="24"/>
              </w:rPr>
            </w:pPr>
            <w:r w:rsidRPr="0012037D">
              <w:rPr>
                <w:rFonts w:ascii="Times New Roman" w:hAnsi="Times New Roman" w:cs="Times New Roman"/>
                <w:sz w:val="24"/>
                <w:szCs w:val="24"/>
              </w:rPr>
              <w:t>Alta</w:t>
            </w:r>
          </w:p>
        </w:tc>
      </w:tr>
      <w:tr w:rsidR="00C53849" w:rsidRPr="0012037D" w:rsidTr="00E85B17">
        <w:trPr>
          <w:trHeight w:val="801"/>
        </w:trPr>
        <w:tc>
          <w:tcPr>
            <w:tcW w:w="2802" w:type="dxa"/>
            <w:shd w:val="clear" w:color="auto" w:fill="auto"/>
          </w:tcPr>
          <w:p w:rsidR="00C53849" w:rsidRPr="0012037D" w:rsidRDefault="00C53849" w:rsidP="00721247">
            <w:pPr>
              <w:spacing w:before="120" w:after="0" w:line="240" w:lineRule="auto"/>
              <w:jc w:val="both"/>
              <w:rPr>
                <w:rFonts w:ascii="Times New Roman" w:hAnsi="Times New Roman" w:cs="Times New Roman"/>
                <w:sz w:val="24"/>
                <w:szCs w:val="24"/>
              </w:rPr>
            </w:pPr>
            <w:r w:rsidRPr="0012037D">
              <w:rPr>
                <w:rFonts w:ascii="Times New Roman" w:hAnsi="Times New Roman" w:cs="Times New Roman"/>
                <w:sz w:val="24"/>
                <w:szCs w:val="24"/>
              </w:rPr>
              <w:t>Contaminación ambiental industrial</w:t>
            </w:r>
          </w:p>
        </w:tc>
        <w:tc>
          <w:tcPr>
            <w:tcW w:w="1275" w:type="dxa"/>
            <w:shd w:val="clear" w:color="auto" w:fill="auto"/>
            <w:vAlign w:val="center"/>
          </w:tcPr>
          <w:p w:rsidR="00C53849" w:rsidRPr="0012037D" w:rsidRDefault="00C53849" w:rsidP="00721247">
            <w:pPr>
              <w:spacing w:before="120" w:after="0" w:line="240" w:lineRule="auto"/>
              <w:jc w:val="center"/>
              <w:rPr>
                <w:rFonts w:ascii="Times New Roman" w:hAnsi="Times New Roman" w:cs="Times New Roman"/>
                <w:sz w:val="24"/>
                <w:szCs w:val="24"/>
              </w:rPr>
            </w:pPr>
            <w:r w:rsidRPr="0012037D">
              <w:rPr>
                <w:rFonts w:ascii="Times New Roman" w:hAnsi="Times New Roman" w:cs="Times New Roman"/>
                <w:sz w:val="24"/>
                <w:szCs w:val="24"/>
              </w:rPr>
              <w:t>51.66</w:t>
            </w:r>
          </w:p>
        </w:tc>
        <w:tc>
          <w:tcPr>
            <w:tcW w:w="1843" w:type="dxa"/>
            <w:shd w:val="clear" w:color="auto" w:fill="auto"/>
            <w:vAlign w:val="center"/>
          </w:tcPr>
          <w:p w:rsidR="00C53849" w:rsidRPr="0012037D" w:rsidRDefault="00C53849" w:rsidP="00721247">
            <w:pPr>
              <w:spacing w:before="120" w:after="0" w:line="240" w:lineRule="auto"/>
              <w:jc w:val="center"/>
              <w:rPr>
                <w:rFonts w:ascii="Times New Roman" w:hAnsi="Times New Roman" w:cs="Times New Roman"/>
                <w:sz w:val="24"/>
                <w:szCs w:val="24"/>
              </w:rPr>
            </w:pPr>
            <w:r w:rsidRPr="0012037D">
              <w:rPr>
                <w:rFonts w:ascii="Times New Roman" w:hAnsi="Times New Roman" w:cs="Times New Roman"/>
                <w:sz w:val="24"/>
                <w:szCs w:val="24"/>
              </w:rPr>
              <w:t>Media</w:t>
            </w:r>
          </w:p>
        </w:tc>
        <w:tc>
          <w:tcPr>
            <w:tcW w:w="1134" w:type="dxa"/>
            <w:shd w:val="clear" w:color="auto" w:fill="auto"/>
            <w:vAlign w:val="center"/>
          </w:tcPr>
          <w:p w:rsidR="00C53849" w:rsidRPr="0012037D" w:rsidRDefault="00C53849" w:rsidP="00721247">
            <w:pPr>
              <w:spacing w:before="120" w:after="0" w:line="240" w:lineRule="auto"/>
              <w:jc w:val="center"/>
              <w:rPr>
                <w:rFonts w:ascii="Times New Roman" w:hAnsi="Times New Roman" w:cs="Times New Roman"/>
                <w:sz w:val="24"/>
                <w:szCs w:val="24"/>
              </w:rPr>
            </w:pPr>
            <w:r w:rsidRPr="0012037D">
              <w:rPr>
                <w:rFonts w:ascii="Times New Roman" w:hAnsi="Times New Roman" w:cs="Times New Roman"/>
                <w:sz w:val="24"/>
                <w:szCs w:val="24"/>
              </w:rPr>
              <w:t>70.00</w:t>
            </w:r>
          </w:p>
        </w:tc>
        <w:tc>
          <w:tcPr>
            <w:tcW w:w="2000" w:type="dxa"/>
            <w:shd w:val="clear" w:color="auto" w:fill="auto"/>
            <w:vAlign w:val="center"/>
          </w:tcPr>
          <w:p w:rsidR="00C53849" w:rsidRPr="0012037D" w:rsidRDefault="00C53849" w:rsidP="00721247">
            <w:pPr>
              <w:spacing w:before="120" w:after="0" w:line="240" w:lineRule="auto"/>
              <w:jc w:val="center"/>
              <w:rPr>
                <w:rFonts w:ascii="Times New Roman" w:hAnsi="Times New Roman" w:cs="Times New Roman"/>
                <w:sz w:val="24"/>
                <w:szCs w:val="24"/>
              </w:rPr>
            </w:pPr>
            <w:r w:rsidRPr="0012037D">
              <w:rPr>
                <w:rFonts w:ascii="Times New Roman" w:hAnsi="Times New Roman" w:cs="Times New Roman"/>
                <w:sz w:val="24"/>
                <w:szCs w:val="24"/>
              </w:rPr>
              <w:t>Alta</w:t>
            </w:r>
          </w:p>
        </w:tc>
      </w:tr>
      <w:tr w:rsidR="00C53849" w:rsidRPr="0012037D" w:rsidTr="00E85B17">
        <w:tc>
          <w:tcPr>
            <w:tcW w:w="2802" w:type="dxa"/>
            <w:shd w:val="clear" w:color="auto" w:fill="auto"/>
          </w:tcPr>
          <w:p w:rsidR="00C53849" w:rsidRPr="0012037D" w:rsidRDefault="00C53849" w:rsidP="00721247">
            <w:pPr>
              <w:spacing w:before="120" w:after="0" w:line="240" w:lineRule="auto"/>
              <w:jc w:val="both"/>
              <w:rPr>
                <w:rFonts w:ascii="Times New Roman" w:hAnsi="Times New Roman" w:cs="Times New Roman"/>
                <w:sz w:val="24"/>
                <w:szCs w:val="24"/>
              </w:rPr>
            </w:pPr>
            <w:r w:rsidRPr="0012037D">
              <w:rPr>
                <w:rFonts w:ascii="Times New Roman" w:hAnsi="Times New Roman" w:cs="Times New Roman"/>
                <w:sz w:val="24"/>
                <w:szCs w:val="24"/>
              </w:rPr>
              <w:t xml:space="preserve">Factores socioeconómicos </w:t>
            </w:r>
          </w:p>
        </w:tc>
        <w:tc>
          <w:tcPr>
            <w:tcW w:w="1275" w:type="dxa"/>
            <w:shd w:val="clear" w:color="auto" w:fill="auto"/>
            <w:vAlign w:val="center"/>
          </w:tcPr>
          <w:p w:rsidR="00C53849" w:rsidRPr="0012037D" w:rsidRDefault="00C53849" w:rsidP="00721247">
            <w:pPr>
              <w:spacing w:before="120" w:after="0" w:line="240" w:lineRule="auto"/>
              <w:jc w:val="center"/>
              <w:rPr>
                <w:rFonts w:ascii="Times New Roman" w:hAnsi="Times New Roman" w:cs="Times New Roman"/>
                <w:sz w:val="24"/>
                <w:szCs w:val="24"/>
              </w:rPr>
            </w:pPr>
            <w:r w:rsidRPr="0012037D">
              <w:rPr>
                <w:rFonts w:ascii="Times New Roman" w:hAnsi="Times New Roman" w:cs="Times New Roman"/>
                <w:sz w:val="24"/>
                <w:szCs w:val="24"/>
              </w:rPr>
              <w:t>75.46</w:t>
            </w:r>
          </w:p>
        </w:tc>
        <w:tc>
          <w:tcPr>
            <w:tcW w:w="1843" w:type="dxa"/>
            <w:shd w:val="clear" w:color="auto" w:fill="auto"/>
            <w:vAlign w:val="center"/>
          </w:tcPr>
          <w:p w:rsidR="00C53849" w:rsidRPr="0012037D" w:rsidRDefault="00C53849" w:rsidP="00721247">
            <w:pPr>
              <w:spacing w:before="120" w:after="0" w:line="240" w:lineRule="auto"/>
              <w:jc w:val="center"/>
              <w:rPr>
                <w:rFonts w:ascii="Times New Roman" w:hAnsi="Times New Roman" w:cs="Times New Roman"/>
                <w:sz w:val="24"/>
                <w:szCs w:val="24"/>
              </w:rPr>
            </w:pPr>
            <w:r w:rsidRPr="0012037D">
              <w:rPr>
                <w:rFonts w:ascii="Times New Roman" w:hAnsi="Times New Roman" w:cs="Times New Roman"/>
                <w:sz w:val="24"/>
                <w:szCs w:val="24"/>
              </w:rPr>
              <w:t>Alta</w:t>
            </w:r>
          </w:p>
        </w:tc>
        <w:tc>
          <w:tcPr>
            <w:tcW w:w="1134" w:type="dxa"/>
            <w:shd w:val="clear" w:color="auto" w:fill="auto"/>
            <w:vAlign w:val="center"/>
          </w:tcPr>
          <w:p w:rsidR="00C53849" w:rsidRPr="0012037D" w:rsidRDefault="00C53849" w:rsidP="00721247">
            <w:pPr>
              <w:spacing w:before="120" w:after="0" w:line="240" w:lineRule="auto"/>
              <w:jc w:val="center"/>
              <w:rPr>
                <w:rFonts w:ascii="Times New Roman" w:hAnsi="Times New Roman" w:cs="Times New Roman"/>
                <w:sz w:val="24"/>
                <w:szCs w:val="24"/>
              </w:rPr>
            </w:pPr>
            <w:r w:rsidRPr="0012037D">
              <w:rPr>
                <w:rFonts w:ascii="Times New Roman" w:hAnsi="Times New Roman" w:cs="Times New Roman"/>
                <w:sz w:val="24"/>
                <w:szCs w:val="24"/>
              </w:rPr>
              <w:t>77.73</w:t>
            </w:r>
          </w:p>
        </w:tc>
        <w:tc>
          <w:tcPr>
            <w:tcW w:w="2000" w:type="dxa"/>
            <w:shd w:val="clear" w:color="auto" w:fill="auto"/>
            <w:vAlign w:val="center"/>
          </w:tcPr>
          <w:p w:rsidR="00C53849" w:rsidRPr="0012037D" w:rsidRDefault="00C53849" w:rsidP="00721247">
            <w:pPr>
              <w:spacing w:before="120" w:after="0" w:line="240" w:lineRule="auto"/>
              <w:jc w:val="center"/>
              <w:rPr>
                <w:rFonts w:ascii="Times New Roman" w:hAnsi="Times New Roman" w:cs="Times New Roman"/>
                <w:sz w:val="24"/>
                <w:szCs w:val="24"/>
              </w:rPr>
            </w:pPr>
            <w:r w:rsidRPr="0012037D">
              <w:rPr>
                <w:rFonts w:ascii="Times New Roman" w:hAnsi="Times New Roman" w:cs="Times New Roman"/>
                <w:sz w:val="24"/>
                <w:szCs w:val="24"/>
              </w:rPr>
              <w:t>Alta</w:t>
            </w:r>
          </w:p>
        </w:tc>
      </w:tr>
      <w:tr w:rsidR="00C53849" w:rsidRPr="0012037D" w:rsidTr="00E85B17">
        <w:tc>
          <w:tcPr>
            <w:tcW w:w="2802" w:type="dxa"/>
            <w:shd w:val="clear" w:color="auto" w:fill="auto"/>
          </w:tcPr>
          <w:p w:rsidR="00C53849" w:rsidRPr="0012037D" w:rsidRDefault="00C53849" w:rsidP="00721247">
            <w:pPr>
              <w:spacing w:before="120" w:after="0" w:line="240" w:lineRule="auto"/>
              <w:jc w:val="both"/>
              <w:rPr>
                <w:rFonts w:ascii="Times New Roman" w:hAnsi="Times New Roman" w:cs="Times New Roman"/>
                <w:sz w:val="24"/>
                <w:szCs w:val="24"/>
              </w:rPr>
            </w:pPr>
            <w:r w:rsidRPr="0012037D">
              <w:rPr>
                <w:rFonts w:ascii="Times New Roman" w:hAnsi="Times New Roman" w:cs="Times New Roman"/>
                <w:sz w:val="24"/>
                <w:szCs w:val="24"/>
              </w:rPr>
              <w:t xml:space="preserve">Prácticas sociales reproducidas  </w:t>
            </w:r>
          </w:p>
        </w:tc>
        <w:tc>
          <w:tcPr>
            <w:tcW w:w="1275" w:type="dxa"/>
            <w:shd w:val="clear" w:color="auto" w:fill="auto"/>
            <w:vAlign w:val="center"/>
          </w:tcPr>
          <w:p w:rsidR="00C53849" w:rsidRPr="0012037D" w:rsidRDefault="00C53849" w:rsidP="00721247">
            <w:pPr>
              <w:spacing w:before="120" w:after="0" w:line="240" w:lineRule="auto"/>
              <w:jc w:val="center"/>
              <w:rPr>
                <w:rFonts w:ascii="Times New Roman" w:hAnsi="Times New Roman" w:cs="Times New Roman"/>
                <w:sz w:val="24"/>
                <w:szCs w:val="24"/>
              </w:rPr>
            </w:pPr>
            <w:r w:rsidRPr="0012037D">
              <w:rPr>
                <w:rFonts w:ascii="Times New Roman" w:hAnsi="Times New Roman" w:cs="Times New Roman"/>
                <w:sz w:val="24"/>
                <w:szCs w:val="24"/>
              </w:rPr>
              <w:t>58.28</w:t>
            </w:r>
          </w:p>
        </w:tc>
        <w:tc>
          <w:tcPr>
            <w:tcW w:w="1843" w:type="dxa"/>
            <w:shd w:val="clear" w:color="auto" w:fill="auto"/>
            <w:vAlign w:val="center"/>
          </w:tcPr>
          <w:p w:rsidR="00C53849" w:rsidRPr="0012037D" w:rsidRDefault="00C53849" w:rsidP="00721247">
            <w:pPr>
              <w:spacing w:before="120" w:after="0" w:line="240" w:lineRule="auto"/>
              <w:jc w:val="center"/>
              <w:rPr>
                <w:rFonts w:ascii="Times New Roman" w:hAnsi="Times New Roman" w:cs="Times New Roman"/>
                <w:sz w:val="24"/>
                <w:szCs w:val="24"/>
              </w:rPr>
            </w:pPr>
            <w:r w:rsidRPr="0012037D">
              <w:rPr>
                <w:rFonts w:ascii="Times New Roman" w:hAnsi="Times New Roman" w:cs="Times New Roman"/>
                <w:sz w:val="24"/>
                <w:szCs w:val="24"/>
              </w:rPr>
              <w:t>Media</w:t>
            </w:r>
          </w:p>
        </w:tc>
        <w:tc>
          <w:tcPr>
            <w:tcW w:w="1134" w:type="dxa"/>
            <w:shd w:val="clear" w:color="auto" w:fill="auto"/>
            <w:vAlign w:val="center"/>
          </w:tcPr>
          <w:p w:rsidR="00C53849" w:rsidRPr="0012037D" w:rsidRDefault="00C53849" w:rsidP="00721247">
            <w:pPr>
              <w:spacing w:before="120" w:after="0" w:line="240" w:lineRule="auto"/>
              <w:jc w:val="center"/>
              <w:rPr>
                <w:rFonts w:ascii="Times New Roman" w:hAnsi="Times New Roman" w:cs="Times New Roman"/>
                <w:sz w:val="24"/>
                <w:szCs w:val="24"/>
              </w:rPr>
            </w:pPr>
            <w:r w:rsidRPr="0012037D">
              <w:rPr>
                <w:rFonts w:ascii="Times New Roman" w:hAnsi="Times New Roman" w:cs="Times New Roman"/>
                <w:sz w:val="24"/>
                <w:szCs w:val="24"/>
              </w:rPr>
              <w:t>60.24</w:t>
            </w:r>
          </w:p>
        </w:tc>
        <w:tc>
          <w:tcPr>
            <w:tcW w:w="2000" w:type="dxa"/>
            <w:shd w:val="clear" w:color="auto" w:fill="auto"/>
            <w:vAlign w:val="center"/>
          </w:tcPr>
          <w:p w:rsidR="00C53849" w:rsidRPr="0012037D" w:rsidRDefault="00C53849" w:rsidP="00721247">
            <w:pPr>
              <w:spacing w:before="120" w:after="0" w:line="240" w:lineRule="auto"/>
              <w:jc w:val="center"/>
              <w:rPr>
                <w:rFonts w:ascii="Times New Roman" w:hAnsi="Times New Roman" w:cs="Times New Roman"/>
                <w:sz w:val="24"/>
                <w:szCs w:val="24"/>
              </w:rPr>
            </w:pPr>
            <w:r w:rsidRPr="0012037D">
              <w:rPr>
                <w:rFonts w:ascii="Times New Roman" w:hAnsi="Times New Roman" w:cs="Times New Roman"/>
                <w:sz w:val="24"/>
                <w:szCs w:val="24"/>
              </w:rPr>
              <w:t>Alta</w:t>
            </w:r>
          </w:p>
        </w:tc>
      </w:tr>
    </w:tbl>
    <w:p w:rsidR="00D40EF6" w:rsidRDefault="00D40EF6" w:rsidP="0012037D">
      <w:pPr>
        <w:spacing w:after="0" w:line="360" w:lineRule="auto"/>
        <w:jc w:val="both"/>
        <w:rPr>
          <w:rFonts w:ascii="Times New Roman" w:hAnsi="Times New Roman" w:cs="Times New Roman"/>
          <w:b/>
          <w:sz w:val="24"/>
          <w:szCs w:val="24"/>
        </w:rPr>
      </w:pPr>
    </w:p>
    <w:p w:rsidR="0012037D" w:rsidRPr="00C53849" w:rsidRDefault="00270E2E" w:rsidP="001203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3.3.1 </w:t>
      </w:r>
      <w:r w:rsidR="00C53849">
        <w:rPr>
          <w:rFonts w:ascii="Times New Roman" w:hAnsi="Times New Roman" w:cs="Times New Roman"/>
          <w:b/>
          <w:sz w:val="24"/>
          <w:szCs w:val="24"/>
        </w:rPr>
        <w:t>Cá</w:t>
      </w:r>
      <w:r w:rsidR="0012037D" w:rsidRPr="00C53849">
        <w:rPr>
          <w:rFonts w:ascii="Times New Roman" w:hAnsi="Times New Roman" w:cs="Times New Roman"/>
          <w:b/>
          <w:sz w:val="24"/>
          <w:szCs w:val="24"/>
        </w:rPr>
        <w:t xml:space="preserve">lculo del Índice de vulnerabilidad socioambiental de las comunidades Indayita y Caimanes </w:t>
      </w:r>
    </w:p>
    <w:p w:rsidR="0012037D" w:rsidRPr="0012037D" w:rsidRDefault="0012037D" w:rsidP="0012037D">
      <w:pPr>
        <w:spacing w:after="0" w:line="360" w:lineRule="auto"/>
        <w:jc w:val="both"/>
        <w:rPr>
          <w:rFonts w:ascii="Times New Roman" w:hAnsi="Times New Roman" w:cs="Times New Roman"/>
          <w:sz w:val="24"/>
          <w:szCs w:val="24"/>
        </w:rPr>
      </w:pPr>
      <w:r w:rsidRPr="0012037D">
        <w:rPr>
          <w:rFonts w:ascii="Times New Roman" w:hAnsi="Times New Roman" w:cs="Times New Roman"/>
          <w:sz w:val="24"/>
          <w:szCs w:val="24"/>
        </w:rPr>
        <w:t>El promedio del puntaje omega de cada variable es el índice de vulnerabilidad socioambiental de cada comunidad (tabla</w:t>
      </w:r>
      <w:r w:rsidR="00C53849">
        <w:rPr>
          <w:rFonts w:ascii="Times New Roman" w:hAnsi="Times New Roman" w:cs="Times New Roman"/>
          <w:sz w:val="24"/>
          <w:szCs w:val="24"/>
        </w:rPr>
        <w:t xml:space="preserve"> </w:t>
      </w:r>
      <w:r w:rsidR="00563FA4">
        <w:rPr>
          <w:rFonts w:ascii="Times New Roman" w:hAnsi="Times New Roman" w:cs="Times New Roman"/>
          <w:sz w:val="24"/>
          <w:szCs w:val="24"/>
        </w:rPr>
        <w:t>4</w:t>
      </w:r>
      <w:r w:rsidRPr="0012037D">
        <w:rPr>
          <w:rFonts w:ascii="Times New Roman" w:hAnsi="Times New Roman" w:cs="Times New Roman"/>
          <w:sz w:val="24"/>
          <w:szCs w:val="24"/>
        </w:rPr>
        <w:t xml:space="preserve">). El IVSA para ambas comunidades se encuentra entre el 60 y el 79% clasificando como alto, siendo indicativo de malas condiciones de vida y de una situación de indefensión acuciante ante la ocurrencia de eventos peligrosos. </w:t>
      </w:r>
    </w:p>
    <w:p w:rsidR="0012037D" w:rsidRPr="0012037D" w:rsidRDefault="0012037D" w:rsidP="00450690">
      <w:pPr>
        <w:spacing w:after="0" w:line="360" w:lineRule="auto"/>
        <w:jc w:val="center"/>
        <w:rPr>
          <w:rFonts w:ascii="Times New Roman" w:hAnsi="Times New Roman" w:cs="Times New Roman"/>
          <w:sz w:val="24"/>
          <w:szCs w:val="24"/>
        </w:rPr>
      </w:pPr>
      <w:r w:rsidRPr="0012037D">
        <w:rPr>
          <w:rFonts w:ascii="Times New Roman" w:hAnsi="Times New Roman" w:cs="Times New Roman"/>
          <w:sz w:val="24"/>
          <w:szCs w:val="24"/>
        </w:rPr>
        <w:t xml:space="preserve">Tabla </w:t>
      </w:r>
      <w:r w:rsidR="00563FA4">
        <w:rPr>
          <w:rFonts w:ascii="Times New Roman" w:hAnsi="Times New Roman" w:cs="Times New Roman"/>
          <w:sz w:val="24"/>
          <w:szCs w:val="24"/>
        </w:rPr>
        <w:t>4</w:t>
      </w:r>
      <w:r w:rsidR="00C53849">
        <w:rPr>
          <w:rFonts w:ascii="Times New Roman" w:hAnsi="Times New Roman" w:cs="Times New Roman"/>
          <w:sz w:val="24"/>
          <w:szCs w:val="24"/>
        </w:rPr>
        <w:t xml:space="preserve">. </w:t>
      </w:r>
      <w:r w:rsidR="00721247">
        <w:rPr>
          <w:rFonts w:ascii="Times New Roman" w:hAnsi="Times New Roman" w:cs="Times New Roman"/>
          <w:sz w:val="24"/>
          <w:szCs w:val="24"/>
        </w:rPr>
        <w:t>IVSA</w:t>
      </w:r>
      <w:r w:rsidR="00C53849">
        <w:rPr>
          <w:rFonts w:ascii="Times New Roman" w:hAnsi="Times New Roman" w:cs="Times New Roman"/>
          <w:sz w:val="24"/>
          <w:szCs w:val="24"/>
        </w:rPr>
        <w:t xml:space="preserve"> para las comunidades Indayita y Caimanes.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1843"/>
        <w:gridCol w:w="1842"/>
      </w:tblGrid>
      <w:tr w:rsidR="0012037D" w:rsidRPr="0012037D" w:rsidTr="00E85B17">
        <w:trPr>
          <w:trHeight w:val="342"/>
        </w:trPr>
        <w:tc>
          <w:tcPr>
            <w:tcW w:w="4536" w:type="dxa"/>
            <w:vMerge w:val="restart"/>
            <w:shd w:val="clear" w:color="auto" w:fill="auto"/>
          </w:tcPr>
          <w:p w:rsidR="0012037D" w:rsidRPr="0012037D" w:rsidRDefault="0012037D" w:rsidP="00721247">
            <w:pPr>
              <w:spacing w:after="0"/>
              <w:jc w:val="center"/>
              <w:rPr>
                <w:rFonts w:ascii="Times New Roman" w:hAnsi="Times New Roman" w:cs="Times New Roman"/>
                <w:sz w:val="24"/>
                <w:szCs w:val="24"/>
              </w:rPr>
            </w:pPr>
            <w:r w:rsidRPr="0012037D">
              <w:rPr>
                <w:rFonts w:ascii="Times New Roman" w:hAnsi="Times New Roman" w:cs="Times New Roman"/>
                <w:sz w:val="24"/>
                <w:szCs w:val="24"/>
              </w:rPr>
              <w:t>Variables</w:t>
            </w:r>
          </w:p>
        </w:tc>
        <w:tc>
          <w:tcPr>
            <w:tcW w:w="3685" w:type="dxa"/>
            <w:gridSpan w:val="2"/>
            <w:shd w:val="clear" w:color="auto" w:fill="auto"/>
          </w:tcPr>
          <w:p w:rsidR="0012037D" w:rsidRPr="0012037D" w:rsidRDefault="0012037D" w:rsidP="00721247">
            <w:pPr>
              <w:jc w:val="center"/>
              <w:rPr>
                <w:rFonts w:ascii="Times New Roman" w:hAnsi="Times New Roman" w:cs="Times New Roman"/>
                <w:sz w:val="24"/>
                <w:szCs w:val="24"/>
              </w:rPr>
            </w:pPr>
            <w:r w:rsidRPr="0012037D">
              <w:rPr>
                <w:rFonts w:ascii="Times New Roman" w:hAnsi="Times New Roman" w:cs="Times New Roman"/>
                <w:sz w:val="24"/>
                <w:szCs w:val="24"/>
              </w:rPr>
              <w:t>Puntaje Omega</w:t>
            </w:r>
          </w:p>
        </w:tc>
      </w:tr>
      <w:tr w:rsidR="0012037D" w:rsidRPr="0012037D" w:rsidTr="00E85B17">
        <w:trPr>
          <w:trHeight w:val="378"/>
        </w:trPr>
        <w:tc>
          <w:tcPr>
            <w:tcW w:w="4536" w:type="dxa"/>
            <w:vMerge/>
            <w:shd w:val="clear" w:color="auto" w:fill="auto"/>
          </w:tcPr>
          <w:p w:rsidR="0012037D" w:rsidRPr="0012037D" w:rsidRDefault="0012037D" w:rsidP="00721247">
            <w:pPr>
              <w:spacing w:after="0"/>
              <w:jc w:val="center"/>
              <w:rPr>
                <w:rFonts w:ascii="Times New Roman" w:hAnsi="Times New Roman" w:cs="Times New Roman"/>
                <w:sz w:val="24"/>
                <w:szCs w:val="24"/>
              </w:rPr>
            </w:pPr>
          </w:p>
        </w:tc>
        <w:tc>
          <w:tcPr>
            <w:tcW w:w="1843" w:type="dxa"/>
            <w:shd w:val="clear" w:color="auto" w:fill="auto"/>
          </w:tcPr>
          <w:p w:rsidR="0012037D" w:rsidRPr="0012037D" w:rsidRDefault="0012037D" w:rsidP="00721247">
            <w:pPr>
              <w:jc w:val="center"/>
              <w:rPr>
                <w:rFonts w:ascii="Times New Roman" w:hAnsi="Times New Roman" w:cs="Times New Roman"/>
                <w:sz w:val="24"/>
                <w:szCs w:val="24"/>
              </w:rPr>
            </w:pPr>
            <w:r w:rsidRPr="0012037D">
              <w:rPr>
                <w:rFonts w:ascii="Times New Roman" w:hAnsi="Times New Roman" w:cs="Times New Roman"/>
                <w:sz w:val="24"/>
                <w:szCs w:val="24"/>
              </w:rPr>
              <w:t>Caimanes (%)</w:t>
            </w:r>
          </w:p>
        </w:tc>
        <w:tc>
          <w:tcPr>
            <w:tcW w:w="1842" w:type="dxa"/>
            <w:shd w:val="clear" w:color="auto" w:fill="auto"/>
          </w:tcPr>
          <w:p w:rsidR="0012037D" w:rsidRPr="0012037D" w:rsidRDefault="0012037D" w:rsidP="00721247">
            <w:pPr>
              <w:jc w:val="center"/>
              <w:rPr>
                <w:rFonts w:ascii="Times New Roman" w:hAnsi="Times New Roman" w:cs="Times New Roman"/>
                <w:sz w:val="24"/>
                <w:szCs w:val="24"/>
              </w:rPr>
            </w:pPr>
            <w:r w:rsidRPr="0012037D">
              <w:rPr>
                <w:rFonts w:ascii="Times New Roman" w:hAnsi="Times New Roman" w:cs="Times New Roman"/>
                <w:sz w:val="24"/>
                <w:szCs w:val="24"/>
              </w:rPr>
              <w:t>Indayita (%)</w:t>
            </w:r>
          </w:p>
        </w:tc>
      </w:tr>
      <w:tr w:rsidR="0012037D" w:rsidRPr="0012037D" w:rsidTr="00E85B17">
        <w:tc>
          <w:tcPr>
            <w:tcW w:w="4536" w:type="dxa"/>
            <w:shd w:val="clear" w:color="auto" w:fill="auto"/>
          </w:tcPr>
          <w:p w:rsidR="0012037D" w:rsidRPr="0012037D" w:rsidRDefault="0012037D" w:rsidP="00721247">
            <w:pPr>
              <w:spacing w:after="0"/>
              <w:jc w:val="center"/>
              <w:rPr>
                <w:rFonts w:ascii="Times New Roman" w:hAnsi="Times New Roman" w:cs="Times New Roman"/>
                <w:sz w:val="24"/>
                <w:szCs w:val="24"/>
              </w:rPr>
            </w:pPr>
            <w:r w:rsidRPr="0012037D">
              <w:rPr>
                <w:rFonts w:ascii="Times New Roman" w:hAnsi="Times New Roman" w:cs="Times New Roman"/>
                <w:sz w:val="24"/>
                <w:szCs w:val="24"/>
              </w:rPr>
              <w:t>Exposición a fenómenos naturales extremos</w:t>
            </w:r>
          </w:p>
        </w:tc>
        <w:tc>
          <w:tcPr>
            <w:tcW w:w="1843" w:type="dxa"/>
            <w:shd w:val="clear" w:color="auto" w:fill="auto"/>
            <w:vAlign w:val="center"/>
          </w:tcPr>
          <w:p w:rsidR="0012037D" w:rsidRPr="0012037D" w:rsidRDefault="0012037D" w:rsidP="00721247">
            <w:pPr>
              <w:spacing w:after="0"/>
              <w:jc w:val="center"/>
              <w:rPr>
                <w:rFonts w:ascii="Times New Roman" w:hAnsi="Times New Roman" w:cs="Times New Roman"/>
                <w:sz w:val="24"/>
                <w:szCs w:val="24"/>
              </w:rPr>
            </w:pPr>
            <w:r w:rsidRPr="0012037D">
              <w:rPr>
                <w:rFonts w:ascii="Times New Roman" w:hAnsi="Times New Roman" w:cs="Times New Roman"/>
                <w:sz w:val="24"/>
                <w:szCs w:val="24"/>
              </w:rPr>
              <w:t>55.00</w:t>
            </w:r>
          </w:p>
        </w:tc>
        <w:tc>
          <w:tcPr>
            <w:tcW w:w="1842" w:type="dxa"/>
            <w:shd w:val="clear" w:color="auto" w:fill="auto"/>
            <w:vAlign w:val="center"/>
          </w:tcPr>
          <w:p w:rsidR="0012037D" w:rsidRPr="0012037D" w:rsidRDefault="0012037D" w:rsidP="00721247">
            <w:pPr>
              <w:spacing w:after="0"/>
              <w:jc w:val="center"/>
              <w:rPr>
                <w:rFonts w:ascii="Times New Roman" w:hAnsi="Times New Roman" w:cs="Times New Roman"/>
                <w:sz w:val="24"/>
                <w:szCs w:val="24"/>
              </w:rPr>
            </w:pPr>
            <w:r w:rsidRPr="0012037D">
              <w:rPr>
                <w:rFonts w:ascii="Times New Roman" w:hAnsi="Times New Roman" w:cs="Times New Roman"/>
                <w:sz w:val="24"/>
                <w:szCs w:val="24"/>
              </w:rPr>
              <w:t>70.00</w:t>
            </w:r>
          </w:p>
        </w:tc>
      </w:tr>
      <w:tr w:rsidR="0012037D" w:rsidRPr="0012037D" w:rsidTr="00E85B17">
        <w:trPr>
          <w:trHeight w:val="387"/>
        </w:trPr>
        <w:tc>
          <w:tcPr>
            <w:tcW w:w="4536" w:type="dxa"/>
            <w:shd w:val="clear" w:color="auto" w:fill="auto"/>
          </w:tcPr>
          <w:p w:rsidR="0012037D" w:rsidRPr="0012037D" w:rsidRDefault="0012037D" w:rsidP="00721247">
            <w:pPr>
              <w:spacing w:after="0"/>
              <w:jc w:val="center"/>
              <w:rPr>
                <w:rFonts w:ascii="Times New Roman" w:hAnsi="Times New Roman" w:cs="Times New Roman"/>
                <w:sz w:val="24"/>
                <w:szCs w:val="24"/>
              </w:rPr>
            </w:pPr>
            <w:r w:rsidRPr="0012037D">
              <w:rPr>
                <w:rFonts w:ascii="Times New Roman" w:hAnsi="Times New Roman" w:cs="Times New Roman"/>
                <w:sz w:val="24"/>
                <w:szCs w:val="24"/>
              </w:rPr>
              <w:t>Contaminación ambiental industrial</w:t>
            </w:r>
          </w:p>
        </w:tc>
        <w:tc>
          <w:tcPr>
            <w:tcW w:w="1843" w:type="dxa"/>
            <w:shd w:val="clear" w:color="auto" w:fill="auto"/>
            <w:vAlign w:val="center"/>
          </w:tcPr>
          <w:p w:rsidR="0012037D" w:rsidRPr="0012037D" w:rsidRDefault="0012037D" w:rsidP="00721247">
            <w:pPr>
              <w:spacing w:after="0"/>
              <w:jc w:val="center"/>
              <w:rPr>
                <w:rFonts w:ascii="Times New Roman" w:hAnsi="Times New Roman" w:cs="Times New Roman"/>
                <w:sz w:val="24"/>
                <w:szCs w:val="24"/>
              </w:rPr>
            </w:pPr>
            <w:r w:rsidRPr="0012037D">
              <w:rPr>
                <w:rFonts w:ascii="Times New Roman" w:hAnsi="Times New Roman" w:cs="Times New Roman"/>
                <w:sz w:val="24"/>
                <w:szCs w:val="24"/>
              </w:rPr>
              <w:t>51.66</w:t>
            </w:r>
          </w:p>
        </w:tc>
        <w:tc>
          <w:tcPr>
            <w:tcW w:w="1842" w:type="dxa"/>
            <w:shd w:val="clear" w:color="auto" w:fill="auto"/>
            <w:vAlign w:val="center"/>
          </w:tcPr>
          <w:p w:rsidR="0012037D" w:rsidRPr="0012037D" w:rsidRDefault="0012037D" w:rsidP="00721247">
            <w:pPr>
              <w:spacing w:after="0"/>
              <w:jc w:val="center"/>
              <w:rPr>
                <w:rFonts w:ascii="Times New Roman" w:hAnsi="Times New Roman" w:cs="Times New Roman"/>
                <w:sz w:val="24"/>
                <w:szCs w:val="24"/>
              </w:rPr>
            </w:pPr>
            <w:r w:rsidRPr="0012037D">
              <w:rPr>
                <w:rFonts w:ascii="Times New Roman" w:hAnsi="Times New Roman" w:cs="Times New Roman"/>
                <w:sz w:val="24"/>
                <w:szCs w:val="24"/>
              </w:rPr>
              <w:t>70.00</w:t>
            </w:r>
          </w:p>
        </w:tc>
      </w:tr>
      <w:tr w:rsidR="0012037D" w:rsidRPr="0012037D" w:rsidTr="00E85B17">
        <w:tc>
          <w:tcPr>
            <w:tcW w:w="4536" w:type="dxa"/>
            <w:shd w:val="clear" w:color="auto" w:fill="auto"/>
          </w:tcPr>
          <w:p w:rsidR="0012037D" w:rsidRPr="0012037D" w:rsidRDefault="0012037D" w:rsidP="00721247">
            <w:pPr>
              <w:spacing w:after="0"/>
              <w:jc w:val="center"/>
              <w:rPr>
                <w:rFonts w:ascii="Times New Roman" w:hAnsi="Times New Roman" w:cs="Times New Roman"/>
                <w:sz w:val="24"/>
                <w:szCs w:val="24"/>
              </w:rPr>
            </w:pPr>
            <w:r w:rsidRPr="0012037D">
              <w:rPr>
                <w:rFonts w:ascii="Times New Roman" w:hAnsi="Times New Roman" w:cs="Times New Roman"/>
                <w:sz w:val="24"/>
                <w:szCs w:val="24"/>
              </w:rPr>
              <w:t>Factores socioeconómicos</w:t>
            </w:r>
          </w:p>
        </w:tc>
        <w:tc>
          <w:tcPr>
            <w:tcW w:w="1843" w:type="dxa"/>
            <w:shd w:val="clear" w:color="auto" w:fill="auto"/>
            <w:vAlign w:val="center"/>
          </w:tcPr>
          <w:p w:rsidR="0012037D" w:rsidRPr="0012037D" w:rsidRDefault="0012037D" w:rsidP="00721247">
            <w:pPr>
              <w:spacing w:after="0"/>
              <w:jc w:val="center"/>
              <w:rPr>
                <w:rFonts w:ascii="Times New Roman" w:hAnsi="Times New Roman" w:cs="Times New Roman"/>
                <w:sz w:val="24"/>
                <w:szCs w:val="24"/>
              </w:rPr>
            </w:pPr>
            <w:r w:rsidRPr="0012037D">
              <w:rPr>
                <w:rFonts w:ascii="Times New Roman" w:hAnsi="Times New Roman" w:cs="Times New Roman"/>
                <w:sz w:val="24"/>
                <w:szCs w:val="24"/>
              </w:rPr>
              <w:t>75.46</w:t>
            </w:r>
          </w:p>
        </w:tc>
        <w:tc>
          <w:tcPr>
            <w:tcW w:w="1842" w:type="dxa"/>
            <w:shd w:val="clear" w:color="auto" w:fill="auto"/>
            <w:vAlign w:val="center"/>
          </w:tcPr>
          <w:p w:rsidR="0012037D" w:rsidRPr="0012037D" w:rsidRDefault="0012037D" w:rsidP="00721247">
            <w:pPr>
              <w:spacing w:after="0"/>
              <w:jc w:val="center"/>
              <w:rPr>
                <w:rFonts w:ascii="Times New Roman" w:hAnsi="Times New Roman" w:cs="Times New Roman"/>
                <w:sz w:val="24"/>
                <w:szCs w:val="24"/>
              </w:rPr>
            </w:pPr>
            <w:r w:rsidRPr="0012037D">
              <w:rPr>
                <w:rFonts w:ascii="Times New Roman" w:hAnsi="Times New Roman" w:cs="Times New Roman"/>
                <w:sz w:val="24"/>
                <w:szCs w:val="24"/>
              </w:rPr>
              <w:t>77.73</w:t>
            </w:r>
          </w:p>
        </w:tc>
      </w:tr>
      <w:tr w:rsidR="0012037D" w:rsidRPr="0012037D" w:rsidTr="00E85B17">
        <w:tc>
          <w:tcPr>
            <w:tcW w:w="4536" w:type="dxa"/>
            <w:shd w:val="clear" w:color="auto" w:fill="auto"/>
          </w:tcPr>
          <w:p w:rsidR="0012037D" w:rsidRPr="0012037D" w:rsidRDefault="0012037D" w:rsidP="00721247">
            <w:pPr>
              <w:spacing w:after="0"/>
              <w:jc w:val="center"/>
              <w:rPr>
                <w:rFonts w:ascii="Times New Roman" w:hAnsi="Times New Roman" w:cs="Times New Roman"/>
                <w:sz w:val="24"/>
                <w:szCs w:val="24"/>
              </w:rPr>
            </w:pPr>
            <w:r w:rsidRPr="0012037D">
              <w:rPr>
                <w:rFonts w:ascii="Times New Roman" w:hAnsi="Times New Roman" w:cs="Times New Roman"/>
                <w:sz w:val="24"/>
                <w:szCs w:val="24"/>
              </w:rPr>
              <w:t>Prácticas sociales reproducidas</w:t>
            </w:r>
          </w:p>
        </w:tc>
        <w:tc>
          <w:tcPr>
            <w:tcW w:w="1843" w:type="dxa"/>
            <w:shd w:val="clear" w:color="auto" w:fill="auto"/>
            <w:vAlign w:val="center"/>
          </w:tcPr>
          <w:p w:rsidR="0012037D" w:rsidRPr="0012037D" w:rsidRDefault="0012037D" w:rsidP="00721247">
            <w:pPr>
              <w:spacing w:after="0"/>
              <w:jc w:val="center"/>
              <w:rPr>
                <w:rFonts w:ascii="Times New Roman" w:hAnsi="Times New Roman" w:cs="Times New Roman"/>
                <w:sz w:val="24"/>
                <w:szCs w:val="24"/>
              </w:rPr>
            </w:pPr>
            <w:r w:rsidRPr="0012037D">
              <w:rPr>
                <w:rFonts w:ascii="Times New Roman" w:hAnsi="Times New Roman" w:cs="Times New Roman"/>
                <w:sz w:val="24"/>
                <w:szCs w:val="24"/>
              </w:rPr>
              <w:t>58.28</w:t>
            </w:r>
          </w:p>
        </w:tc>
        <w:tc>
          <w:tcPr>
            <w:tcW w:w="1842" w:type="dxa"/>
            <w:shd w:val="clear" w:color="auto" w:fill="auto"/>
            <w:vAlign w:val="center"/>
          </w:tcPr>
          <w:p w:rsidR="0012037D" w:rsidRPr="0012037D" w:rsidRDefault="0012037D" w:rsidP="00721247">
            <w:pPr>
              <w:spacing w:after="0"/>
              <w:jc w:val="center"/>
              <w:rPr>
                <w:rFonts w:ascii="Times New Roman" w:hAnsi="Times New Roman" w:cs="Times New Roman"/>
                <w:sz w:val="24"/>
                <w:szCs w:val="24"/>
              </w:rPr>
            </w:pPr>
            <w:r w:rsidRPr="0012037D">
              <w:rPr>
                <w:rFonts w:ascii="Times New Roman" w:hAnsi="Times New Roman" w:cs="Times New Roman"/>
                <w:sz w:val="24"/>
                <w:szCs w:val="24"/>
              </w:rPr>
              <w:t>60.24</w:t>
            </w:r>
          </w:p>
        </w:tc>
      </w:tr>
      <w:tr w:rsidR="0012037D" w:rsidRPr="0012037D" w:rsidTr="00E85B17">
        <w:tc>
          <w:tcPr>
            <w:tcW w:w="4536" w:type="dxa"/>
            <w:shd w:val="clear" w:color="auto" w:fill="auto"/>
          </w:tcPr>
          <w:p w:rsidR="0012037D" w:rsidRPr="0012037D" w:rsidRDefault="0012037D" w:rsidP="00721247">
            <w:pPr>
              <w:spacing w:after="0"/>
              <w:jc w:val="center"/>
              <w:rPr>
                <w:rFonts w:ascii="Times New Roman" w:hAnsi="Times New Roman" w:cs="Times New Roman"/>
                <w:sz w:val="24"/>
                <w:szCs w:val="24"/>
              </w:rPr>
            </w:pPr>
            <w:r w:rsidRPr="0012037D">
              <w:rPr>
                <w:rFonts w:ascii="Times New Roman" w:hAnsi="Times New Roman" w:cs="Times New Roman"/>
                <w:sz w:val="24"/>
                <w:szCs w:val="24"/>
              </w:rPr>
              <w:t>IVSA</w:t>
            </w:r>
          </w:p>
        </w:tc>
        <w:tc>
          <w:tcPr>
            <w:tcW w:w="1843" w:type="dxa"/>
            <w:shd w:val="clear" w:color="auto" w:fill="auto"/>
            <w:vAlign w:val="center"/>
          </w:tcPr>
          <w:p w:rsidR="0012037D" w:rsidRPr="0012037D" w:rsidRDefault="0012037D" w:rsidP="00721247">
            <w:pPr>
              <w:spacing w:after="0"/>
              <w:jc w:val="center"/>
              <w:rPr>
                <w:rFonts w:ascii="Times New Roman" w:hAnsi="Times New Roman" w:cs="Times New Roman"/>
                <w:sz w:val="24"/>
                <w:szCs w:val="24"/>
              </w:rPr>
            </w:pPr>
            <w:r w:rsidRPr="0012037D">
              <w:rPr>
                <w:rFonts w:ascii="Times New Roman" w:hAnsi="Times New Roman" w:cs="Times New Roman"/>
                <w:sz w:val="24"/>
                <w:szCs w:val="24"/>
              </w:rPr>
              <w:t>60.1</w:t>
            </w:r>
          </w:p>
        </w:tc>
        <w:tc>
          <w:tcPr>
            <w:tcW w:w="1842" w:type="dxa"/>
            <w:shd w:val="clear" w:color="auto" w:fill="auto"/>
            <w:vAlign w:val="center"/>
          </w:tcPr>
          <w:p w:rsidR="0012037D" w:rsidRPr="0012037D" w:rsidRDefault="0012037D" w:rsidP="00721247">
            <w:pPr>
              <w:spacing w:after="0"/>
              <w:jc w:val="center"/>
              <w:rPr>
                <w:rFonts w:ascii="Times New Roman" w:hAnsi="Times New Roman" w:cs="Times New Roman"/>
                <w:sz w:val="24"/>
                <w:szCs w:val="24"/>
              </w:rPr>
            </w:pPr>
            <w:r w:rsidRPr="0012037D">
              <w:rPr>
                <w:rFonts w:ascii="Times New Roman" w:hAnsi="Times New Roman" w:cs="Times New Roman"/>
                <w:sz w:val="24"/>
                <w:szCs w:val="24"/>
              </w:rPr>
              <w:t>69.49</w:t>
            </w:r>
          </w:p>
        </w:tc>
      </w:tr>
    </w:tbl>
    <w:p w:rsidR="00B02D86" w:rsidRPr="0012037D" w:rsidRDefault="00B02D86" w:rsidP="00B02D86">
      <w:pPr>
        <w:pStyle w:val="Ttulo2"/>
        <w:spacing w:line="360" w:lineRule="auto"/>
        <w:jc w:val="both"/>
        <w:rPr>
          <w:rFonts w:ascii="Times New Roman" w:eastAsiaTheme="minorHAnsi" w:hAnsi="Times New Roman" w:cs="Times New Roman"/>
          <w:b w:val="0"/>
          <w:bCs w:val="0"/>
          <w:color w:val="auto"/>
          <w:sz w:val="24"/>
          <w:szCs w:val="24"/>
        </w:rPr>
      </w:pPr>
      <w:bookmarkStart w:id="1" w:name="_Toc281604903"/>
      <w:r w:rsidRPr="0012037D">
        <w:rPr>
          <w:rFonts w:ascii="Times New Roman" w:eastAsiaTheme="minorHAnsi" w:hAnsi="Times New Roman" w:cs="Times New Roman"/>
          <w:b w:val="0"/>
          <w:bCs w:val="0"/>
          <w:color w:val="auto"/>
          <w:sz w:val="24"/>
          <w:szCs w:val="24"/>
        </w:rPr>
        <w:t>Teniendo en cuenta los resultados obtenidos se proponen un conjunto de acciones coordinadas con el propósito de minimizar la vulnerabilidad socioambiental.</w:t>
      </w:r>
    </w:p>
    <w:p w:rsidR="0012037D" w:rsidRPr="00C53849" w:rsidRDefault="00270E2E" w:rsidP="0012037D">
      <w:pPr>
        <w:pStyle w:val="Ttulo2"/>
        <w:spacing w:line="360" w:lineRule="auto"/>
        <w:jc w:val="both"/>
        <w:rPr>
          <w:rFonts w:ascii="Times New Roman" w:eastAsiaTheme="minorHAnsi" w:hAnsi="Times New Roman" w:cs="Times New Roman"/>
          <w:bCs w:val="0"/>
          <w:color w:val="auto"/>
          <w:sz w:val="24"/>
          <w:szCs w:val="24"/>
        </w:rPr>
      </w:pPr>
      <w:r>
        <w:rPr>
          <w:rFonts w:ascii="Times New Roman" w:eastAsiaTheme="minorHAnsi" w:hAnsi="Times New Roman" w:cs="Times New Roman"/>
          <w:bCs w:val="0"/>
          <w:color w:val="auto"/>
          <w:sz w:val="24"/>
          <w:szCs w:val="24"/>
        </w:rPr>
        <w:t xml:space="preserve">3.4 </w:t>
      </w:r>
      <w:r w:rsidR="0012037D" w:rsidRPr="00C53849">
        <w:rPr>
          <w:rFonts w:ascii="Times New Roman" w:eastAsiaTheme="minorHAnsi" w:hAnsi="Times New Roman" w:cs="Times New Roman"/>
          <w:bCs w:val="0"/>
          <w:color w:val="auto"/>
          <w:sz w:val="24"/>
          <w:szCs w:val="24"/>
        </w:rPr>
        <w:t>Acciones coordinadas para minimizar la vulnerabilidad socioambiental de las comunidades de Indayita y Caimanes.</w:t>
      </w:r>
      <w:bookmarkEnd w:id="1"/>
    </w:p>
    <w:p w:rsidR="0012037D" w:rsidRPr="0012037D" w:rsidRDefault="0012037D" w:rsidP="0012037D">
      <w:pPr>
        <w:spacing w:line="360" w:lineRule="auto"/>
        <w:jc w:val="both"/>
        <w:rPr>
          <w:rFonts w:ascii="Times New Roman" w:hAnsi="Times New Roman" w:cs="Times New Roman"/>
          <w:sz w:val="24"/>
          <w:szCs w:val="24"/>
        </w:rPr>
      </w:pPr>
      <w:r w:rsidRPr="0012037D">
        <w:rPr>
          <w:rFonts w:ascii="Times New Roman" w:hAnsi="Times New Roman" w:cs="Times New Roman"/>
          <w:sz w:val="24"/>
          <w:szCs w:val="24"/>
        </w:rPr>
        <w:t xml:space="preserve">La principal propuesta de las acciones coordinadas para minimizar la vulnerabilidad socioambiental de estas comunidades de crecimiento espontáneo, es la erradicación de </w:t>
      </w:r>
      <w:r w:rsidRPr="0012037D">
        <w:rPr>
          <w:rFonts w:ascii="Times New Roman" w:hAnsi="Times New Roman" w:cs="Times New Roman"/>
          <w:sz w:val="24"/>
          <w:szCs w:val="24"/>
        </w:rPr>
        <w:lastRenderedPageBreak/>
        <w:t>ambas comunidades y la anexión de estas poblaciones a una nueva zona de desarrollo urbano. La propuesta se basa, fundamentalmente, en el tamaño de la población de las comunidades de Indayita y Caimanes, que por ser pequeño no resulta práctica ni económica la creación de una nueva área donde asentarlos</w:t>
      </w:r>
      <w:r w:rsidR="00D40EF6">
        <w:rPr>
          <w:rFonts w:ascii="Times New Roman" w:hAnsi="Times New Roman" w:cs="Times New Roman"/>
          <w:sz w:val="24"/>
          <w:szCs w:val="24"/>
        </w:rPr>
        <w:t xml:space="preserve">. </w:t>
      </w:r>
      <w:r w:rsidRPr="0012037D">
        <w:rPr>
          <w:rFonts w:ascii="Times New Roman" w:hAnsi="Times New Roman" w:cs="Times New Roman"/>
          <w:sz w:val="24"/>
          <w:szCs w:val="24"/>
        </w:rPr>
        <w:t xml:space="preserve">Deben considerarse los aspectos generales del diseño de asentamientos urbanos, desde lo social, lo ambiental, lo económicos y lo físico; así como los principios del desarrollo sostenible: participación, equidad y equilibrio sociedad-naturaleza. </w:t>
      </w:r>
    </w:p>
    <w:p w:rsidR="0012037D" w:rsidRPr="0012037D" w:rsidRDefault="0012037D" w:rsidP="0012037D">
      <w:pPr>
        <w:tabs>
          <w:tab w:val="left" w:pos="2755"/>
        </w:tabs>
        <w:spacing w:line="360" w:lineRule="auto"/>
        <w:jc w:val="both"/>
        <w:rPr>
          <w:rFonts w:ascii="Times New Roman" w:hAnsi="Times New Roman" w:cs="Times New Roman"/>
          <w:sz w:val="24"/>
          <w:szCs w:val="24"/>
        </w:rPr>
      </w:pPr>
      <w:r w:rsidRPr="0012037D">
        <w:rPr>
          <w:rFonts w:ascii="Times New Roman" w:hAnsi="Times New Roman" w:cs="Times New Roman"/>
          <w:sz w:val="24"/>
          <w:szCs w:val="24"/>
        </w:rPr>
        <w:t>Estas acciones coordinadas estarán asociadas al Plan General de Ordenamiento Urbano, por lo que requiere de la imbricación de los decisores del gobierno local encargado</w:t>
      </w:r>
      <w:r w:rsidR="00D40EF6">
        <w:rPr>
          <w:rFonts w:ascii="Times New Roman" w:hAnsi="Times New Roman" w:cs="Times New Roman"/>
          <w:sz w:val="24"/>
          <w:szCs w:val="24"/>
        </w:rPr>
        <w:t>s</w:t>
      </w:r>
      <w:r w:rsidRPr="0012037D">
        <w:rPr>
          <w:rFonts w:ascii="Times New Roman" w:hAnsi="Times New Roman" w:cs="Times New Roman"/>
          <w:sz w:val="24"/>
          <w:szCs w:val="24"/>
        </w:rPr>
        <w:t xml:space="preserve"> de implementar la proyección política-administrativa partiendo de la asesoría de la Dirección Municipal de Planificación Física (DMPF), la Dirección Provincial de Planificación Física (DPPF),  la Oficina Nacional de Estadísticas Informatización (ONEI) y el Ministerio de Finanza y Precios, así como entidades especializadas en desarrollar infraestructuras afines al crecimiento demográfico y espacial del territorio. </w:t>
      </w:r>
    </w:p>
    <w:p w:rsidR="0012037D" w:rsidRPr="0012037D" w:rsidRDefault="0012037D" w:rsidP="0012037D">
      <w:pPr>
        <w:tabs>
          <w:tab w:val="left" w:pos="2755"/>
        </w:tabs>
        <w:spacing w:line="360" w:lineRule="auto"/>
        <w:jc w:val="both"/>
        <w:rPr>
          <w:rFonts w:ascii="Times New Roman" w:hAnsi="Times New Roman" w:cs="Times New Roman"/>
          <w:sz w:val="24"/>
          <w:szCs w:val="24"/>
        </w:rPr>
      </w:pPr>
      <w:r w:rsidRPr="0012037D">
        <w:rPr>
          <w:rFonts w:ascii="Times New Roman" w:hAnsi="Times New Roman" w:cs="Times New Roman"/>
          <w:sz w:val="24"/>
          <w:szCs w:val="24"/>
        </w:rPr>
        <w:t xml:space="preserve">Por tanto los gobiernos locales son los responsables de detener el acelerado crecimiento de los asentamientos humanos improvisados dentro de los sistemas urbanos ya establecidos,  de ahí que un pensamiento proactivo da muestras de seguridad a un modelo de gestión urbano con el fin de construir una sociedad justa y equitativa a partir del aprovechamiento de los recursos naturales y las condiciones ambientales del territorio. </w:t>
      </w:r>
    </w:p>
    <w:p w:rsidR="0012037D" w:rsidRPr="0012037D" w:rsidRDefault="0012037D" w:rsidP="0012037D">
      <w:pPr>
        <w:tabs>
          <w:tab w:val="left" w:pos="2755"/>
        </w:tabs>
        <w:spacing w:line="360" w:lineRule="auto"/>
        <w:jc w:val="both"/>
        <w:rPr>
          <w:rFonts w:ascii="Times New Roman" w:hAnsi="Times New Roman" w:cs="Times New Roman"/>
          <w:sz w:val="24"/>
          <w:szCs w:val="24"/>
        </w:rPr>
      </w:pPr>
      <w:r w:rsidRPr="0012037D">
        <w:rPr>
          <w:rFonts w:ascii="Times New Roman" w:hAnsi="Times New Roman" w:cs="Times New Roman"/>
          <w:sz w:val="24"/>
          <w:szCs w:val="24"/>
        </w:rPr>
        <w:t xml:space="preserve">Entre las limitaciones que presenta la aplicación de acciones coordinadas para minimizar la vulnerabilidad socioambiental se </w:t>
      </w:r>
      <w:r w:rsidR="00450690">
        <w:rPr>
          <w:rFonts w:ascii="Times New Roman" w:hAnsi="Times New Roman" w:cs="Times New Roman"/>
          <w:sz w:val="24"/>
          <w:szCs w:val="24"/>
        </w:rPr>
        <w:t>encuentran</w:t>
      </w:r>
      <w:r w:rsidRPr="0012037D">
        <w:rPr>
          <w:rFonts w:ascii="Times New Roman" w:hAnsi="Times New Roman" w:cs="Times New Roman"/>
          <w:sz w:val="24"/>
          <w:szCs w:val="24"/>
        </w:rPr>
        <w:t xml:space="preserve"> los desafíos que enfrenta el sistema económico cubano, limitado de solventar los retos que demanda en la actualidad el problema de la vivienda. Las condiciones socioeconómicas que atraviesa el país debido al férreo e injusto bloqueo por más de sesenta años y recrudecido en los momentos actuales, no permiten dar un tratamiento inmediato al fenómeno de la vulnerabilidad socioambiental en los asentamientos humanos informales. Independientemente de esto, el gobierno cubano mantiene políticas dirigidas al mejoramiento del fondo habitacional, a la prevención y mitigación de los efectos provocados por la ocurrencia de un evento de gran magnitud y no ha cesado de </w:t>
      </w:r>
      <w:r w:rsidRPr="0012037D">
        <w:rPr>
          <w:rFonts w:ascii="Times New Roman" w:hAnsi="Times New Roman" w:cs="Times New Roman"/>
          <w:sz w:val="24"/>
          <w:szCs w:val="24"/>
        </w:rPr>
        <w:lastRenderedPageBreak/>
        <w:t xml:space="preserve">preocuparse por  la situación de inseguridad e incertidumbre que atraviesa la población vulnerable. </w:t>
      </w:r>
    </w:p>
    <w:p w:rsidR="0012037D" w:rsidRPr="0012037D" w:rsidRDefault="0012037D" w:rsidP="00B741D7">
      <w:pPr>
        <w:spacing w:line="360" w:lineRule="auto"/>
        <w:jc w:val="both"/>
        <w:rPr>
          <w:rFonts w:ascii="Times New Roman" w:hAnsi="Times New Roman" w:cs="Times New Roman"/>
          <w:sz w:val="24"/>
          <w:szCs w:val="24"/>
        </w:rPr>
      </w:pPr>
      <w:r w:rsidRPr="0012037D">
        <w:rPr>
          <w:rFonts w:ascii="Times New Roman" w:hAnsi="Times New Roman" w:cs="Times New Roman"/>
          <w:sz w:val="24"/>
          <w:szCs w:val="24"/>
        </w:rPr>
        <w:t>Estas acciones coordinadas se imbricarán con los planes y proyectos de la Ley del Ordenamiento Territorial y Urbanismo diseñado por el Instituto de Planificación Física (IPF), entidad reguladora del ordenamiento territorial en el país y por las políticas públicas que regulan el sistema u</w:t>
      </w:r>
      <w:r w:rsidR="00B741D7">
        <w:rPr>
          <w:rFonts w:ascii="Times New Roman" w:hAnsi="Times New Roman" w:cs="Times New Roman"/>
          <w:sz w:val="24"/>
          <w:szCs w:val="24"/>
        </w:rPr>
        <w:t xml:space="preserve">rbanístico del territorio como </w:t>
      </w:r>
      <w:r w:rsidRPr="0012037D">
        <w:rPr>
          <w:rFonts w:ascii="Times New Roman" w:hAnsi="Times New Roman" w:cs="Times New Roman"/>
          <w:sz w:val="24"/>
          <w:szCs w:val="24"/>
        </w:rPr>
        <w:t>Regulaciones urbanísticas de la ciudad de Santiago de Cuba</w:t>
      </w:r>
      <w:r w:rsidR="00B741D7">
        <w:rPr>
          <w:rFonts w:ascii="Times New Roman" w:hAnsi="Times New Roman" w:cs="Times New Roman"/>
          <w:sz w:val="24"/>
          <w:szCs w:val="24"/>
        </w:rPr>
        <w:t>, e</w:t>
      </w:r>
      <w:r w:rsidRPr="0012037D">
        <w:rPr>
          <w:rFonts w:ascii="Times New Roman" w:hAnsi="Times New Roman" w:cs="Times New Roman"/>
          <w:sz w:val="24"/>
          <w:szCs w:val="24"/>
        </w:rPr>
        <w:t>l plan genera</w:t>
      </w:r>
      <w:r w:rsidR="00B741D7">
        <w:rPr>
          <w:rFonts w:ascii="Times New Roman" w:hAnsi="Times New Roman" w:cs="Times New Roman"/>
          <w:sz w:val="24"/>
          <w:szCs w:val="24"/>
        </w:rPr>
        <w:t xml:space="preserve">l de ordenamiento urbano (PGOU), </w:t>
      </w:r>
      <w:r w:rsidRPr="0012037D">
        <w:rPr>
          <w:rFonts w:ascii="Times New Roman" w:hAnsi="Times New Roman" w:cs="Times New Roman"/>
          <w:sz w:val="24"/>
          <w:szCs w:val="24"/>
        </w:rPr>
        <w:t>Ley General del Medio Ambiente</w:t>
      </w:r>
      <w:r w:rsidR="00B741D7">
        <w:rPr>
          <w:rFonts w:ascii="Times New Roman" w:hAnsi="Times New Roman" w:cs="Times New Roman"/>
          <w:sz w:val="24"/>
          <w:szCs w:val="24"/>
        </w:rPr>
        <w:t xml:space="preserve">, </w:t>
      </w:r>
      <w:r w:rsidRPr="0012037D">
        <w:rPr>
          <w:rFonts w:ascii="Times New Roman" w:hAnsi="Times New Roman" w:cs="Times New Roman"/>
          <w:sz w:val="24"/>
          <w:szCs w:val="24"/>
        </w:rPr>
        <w:t>Ley  de la vivienda.</w:t>
      </w:r>
    </w:p>
    <w:p w:rsidR="0012037D" w:rsidRPr="0012037D" w:rsidRDefault="0012037D" w:rsidP="0012037D">
      <w:pPr>
        <w:tabs>
          <w:tab w:val="left" w:pos="2755"/>
        </w:tabs>
        <w:spacing w:line="360" w:lineRule="auto"/>
        <w:jc w:val="both"/>
        <w:rPr>
          <w:rFonts w:ascii="Times New Roman" w:hAnsi="Times New Roman" w:cs="Times New Roman"/>
          <w:sz w:val="24"/>
          <w:szCs w:val="24"/>
        </w:rPr>
      </w:pPr>
      <w:r w:rsidRPr="0012037D">
        <w:rPr>
          <w:rFonts w:ascii="Times New Roman" w:hAnsi="Times New Roman" w:cs="Times New Roman"/>
          <w:sz w:val="24"/>
          <w:szCs w:val="24"/>
        </w:rPr>
        <w:t>Las acciones coordinadas que se proponen en este estudio muestran como objetivo:</w:t>
      </w:r>
    </w:p>
    <w:p w:rsidR="0012037D" w:rsidRPr="0012037D" w:rsidRDefault="0012037D" w:rsidP="0012037D">
      <w:pPr>
        <w:numPr>
          <w:ilvl w:val="0"/>
          <w:numId w:val="8"/>
        </w:numPr>
        <w:tabs>
          <w:tab w:val="left" w:pos="0"/>
          <w:tab w:val="left" w:pos="284"/>
        </w:tabs>
        <w:spacing w:after="120" w:line="360" w:lineRule="auto"/>
        <w:ind w:left="0" w:firstLine="0"/>
        <w:jc w:val="both"/>
        <w:rPr>
          <w:rFonts w:ascii="Times New Roman" w:hAnsi="Times New Roman" w:cs="Times New Roman"/>
          <w:sz w:val="24"/>
          <w:szCs w:val="24"/>
        </w:rPr>
      </w:pPr>
      <w:r w:rsidRPr="0012037D">
        <w:rPr>
          <w:rFonts w:ascii="Times New Roman" w:hAnsi="Times New Roman" w:cs="Times New Roman"/>
          <w:sz w:val="24"/>
          <w:szCs w:val="24"/>
        </w:rPr>
        <w:t xml:space="preserve">Relocalizar las comunidades de Indayita y Caimanes a la dinámica de una nueva zona productiva como parte de la gestión de desarrollo del territorio. </w:t>
      </w:r>
    </w:p>
    <w:p w:rsidR="0012037D" w:rsidRPr="0012037D" w:rsidRDefault="0012037D" w:rsidP="0012037D">
      <w:pPr>
        <w:numPr>
          <w:ilvl w:val="0"/>
          <w:numId w:val="8"/>
        </w:numPr>
        <w:tabs>
          <w:tab w:val="left" w:pos="284"/>
        </w:tabs>
        <w:autoSpaceDE w:val="0"/>
        <w:autoSpaceDN w:val="0"/>
        <w:adjustRightInd w:val="0"/>
        <w:spacing w:after="120" w:line="360" w:lineRule="auto"/>
        <w:ind w:left="0" w:firstLine="0"/>
        <w:jc w:val="both"/>
        <w:rPr>
          <w:rFonts w:ascii="Times New Roman" w:hAnsi="Times New Roman" w:cs="Times New Roman"/>
          <w:sz w:val="24"/>
          <w:szCs w:val="24"/>
        </w:rPr>
      </w:pPr>
      <w:r w:rsidRPr="0012037D">
        <w:rPr>
          <w:rFonts w:ascii="Times New Roman" w:hAnsi="Times New Roman" w:cs="Times New Roman"/>
          <w:sz w:val="24"/>
          <w:szCs w:val="24"/>
        </w:rPr>
        <w:t>Caracterizar los principales elementos necesarios en el perfeccionamiento y reubicación de Indayita y Caimanes a una nueva zona productiva.</w:t>
      </w:r>
    </w:p>
    <w:p w:rsidR="0012037D" w:rsidRPr="0012037D" w:rsidRDefault="0012037D" w:rsidP="0012037D">
      <w:pPr>
        <w:numPr>
          <w:ilvl w:val="0"/>
          <w:numId w:val="8"/>
        </w:numPr>
        <w:tabs>
          <w:tab w:val="left" w:pos="-142"/>
          <w:tab w:val="left" w:pos="284"/>
          <w:tab w:val="left" w:pos="426"/>
        </w:tabs>
        <w:spacing w:after="120" w:line="360" w:lineRule="auto"/>
        <w:ind w:left="0" w:hanging="11"/>
        <w:jc w:val="both"/>
        <w:rPr>
          <w:rFonts w:ascii="Times New Roman" w:hAnsi="Times New Roman" w:cs="Times New Roman"/>
          <w:sz w:val="24"/>
          <w:szCs w:val="24"/>
        </w:rPr>
      </w:pPr>
      <w:r w:rsidRPr="0012037D">
        <w:rPr>
          <w:rFonts w:ascii="Times New Roman" w:hAnsi="Times New Roman" w:cs="Times New Roman"/>
          <w:sz w:val="24"/>
          <w:szCs w:val="24"/>
        </w:rPr>
        <w:t xml:space="preserve">Garantizar la participación ciudadana que al igual que la participación institucional, se imbrica en la toma de decisiones durante todo el ciclo de elaboración. El equipo técnico encargado debe estar consciente de la necesidad de su participación y propiciar la misma. </w:t>
      </w:r>
    </w:p>
    <w:p w:rsidR="0012037D" w:rsidRPr="0012037D" w:rsidRDefault="0012037D" w:rsidP="0012037D">
      <w:pPr>
        <w:spacing w:line="360" w:lineRule="auto"/>
        <w:jc w:val="both"/>
        <w:rPr>
          <w:rFonts w:ascii="Times New Roman" w:hAnsi="Times New Roman" w:cs="Times New Roman"/>
          <w:sz w:val="24"/>
          <w:szCs w:val="24"/>
        </w:rPr>
      </w:pPr>
      <w:r w:rsidRPr="0012037D">
        <w:rPr>
          <w:rFonts w:ascii="Times New Roman" w:hAnsi="Times New Roman" w:cs="Times New Roman"/>
          <w:sz w:val="24"/>
          <w:szCs w:val="24"/>
        </w:rPr>
        <w:t xml:space="preserve">La propuesta de acciones coordinadas se sustenta en la perspectiva teórica “La reproducción estructural espacial” de Manuel Castells, la cual desarrolla el carácter científico de las acciones coordinadas de reubicación como parte de un sistema de gestión para minimizar la vulnerabilidad socioambiental de las comunidades Indayita y Caimanes. </w:t>
      </w:r>
    </w:p>
    <w:p w:rsidR="0012037D" w:rsidRPr="0012037D" w:rsidRDefault="0012037D" w:rsidP="0012037D">
      <w:pPr>
        <w:spacing w:line="360" w:lineRule="auto"/>
        <w:jc w:val="both"/>
        <w:rPr>
          <w:rFonts w:ascii="Times New Roman" w:hAnsi="Times New Roman" w:cs="Times New Roman"/>
          <w:sz w:val="24"/>
          <w:szCs w:val="24"/>
        </w:rPr>
      </w:pPr>
      <w:r w:rsidRPr="0012037D">
        <w:rPr>
          <w:rFonts w:ascii="Times New Roman" w:hAnsi="Times New Roman" w:cs="Times New Roman"/>
          <w:sz w:val="24"/>
          <w:szCs w:val="24"/>
        </w:rPr>
        <w:t>Independientemente de que el término relocalización, epistemológicamente no es empleado por el autor, el tipo de habitación y de localización de los equipos colectivos</w:t>
      </w:r>
      <w:r w:rsidR="00D40EF6">
        <w:rPr>
          <w:rFonts w:ascii="Times New Roman" w:hAnsi="Times New Roman" w:cs="Times New Roman"/>
          <w:sz w:val="24"/>
          <w:szCs w:val="24"/>
        </w:rPr>
        <w:t xml:space="preserve"> </w:t>
      </w:r>
      <w:r w:rsidRPr="0012037D">
        <w:rPr>
          <w:rFonts w:ascii="Times New Roman" w:hAnsi="Times New Roman" w:cs="Times New Roman"/>
          <w:sz w:val="24"/>
          <w:szCs w:val="24"/>
        </w:rPr>
        <w:t>no responde tan solo a la segregación social, sino que, desde el punto de vista de la división técnica, está ligado a la determinación social de la producción de vivienda (Castells, 2014).</w:t>
      </w:r>
    </w:p>
    <w:p w:rsidR="0012037D" w:rsidRPr="0012037D" w:rsidRDefault="0012037D" w:rsidP="0012037D">
      <w:pPr>
        <w:spacing w:line="360" w:lineRule="auto"/>
        <w:jc w:val="both"/>
        <w:rPr>
          <w:rFonts w:ascii="Times New Roman" w:hAnsi="Times New Roman" w:cs="Times New Roman"/>
          <w:sz w:val="24"/>
          <w:szCs w:val="24"/>
        </w:rPr>
      </w:pPr>
      <w:r w:rsidRPr="0012037D">
        <w:rPr>
          <w:rFonts w:ascii="Times New Roman" w:hAnsi="Times New Roman" w:cs="Times New Roman"/>
          <w:sz w:val="24"/>
          <w:szCs w:val="24"/>
        </w:rPr>
        <w:t xml:space="preserve">La propuesta de reubicación de las viviendas de las comunidades Indayita y Caimanes estará estrechamente vinculada con los planes estratégicos de desarrollo del territorio, </w:t>
      </w:r>
      <w:r w:rsidRPr="0012037D">
        <w:rPr>
          <w:rFonts w:ascii="Times New Roman" w:hAnsi="Times New Roman" w:cs="Times New Roman"/>
          <w:sz w:val="24"/>
          <w:szCs w:val="24"/>
        </w:rPr>
        <w:lastRenderedPageBreak/>
        <w:t xml:space="preserve">indispensables para la conformación de nuevos asentamientos humanos.  Con la puesta en práctica de un programa de construcción de viviendas colectivas en las afueras del centro de la ciudad  se da  respuesta a la presión social para solucionar los problemas de la vivienda generados a partir de los desplazamientos individuales que forman aglomeraciones de personas en las periferias de los sistemas urbanos. Independientemente de que este actúa como forma de asistencia social, esta nueva reubicación no va a carecer de equipamientos colectivos productores de bienes materiales y servicios públicos elementales para el consumo socio-cultural a favor del mejoramiento adecuado de desarrollo humano.  </w:t>
      </w:r>
    </w:p>
    <w:p w:rsidR="00062430" w:rsidRPr="006A5050" w:rsidRDefault="00062430" w:rsidP="00062430">
      <w:pPr>
        <w:spacing w:after="0" w:line="360" w:lineRule="auto"/>
        <w:jc w:val="both"/>
        <w:rPr>
          <w:rFonts w:ascii="Times New Roman" w:hAnsi="Times New Roman" w:cs="Times New Roman"/>
          <w:b/>
          <w:sz w:val="24"/>
          <w:szCs w:val="24"/>
        </w:rPr>
      </w:pPr>
      <w:r w:rsidRPr="006A5050">
        <w:rPr>
          <w:rFonts w:ascii="Times New Roman" w:hAnsi="Times New Roman" w:cs="Times New Roman"/>
          <w:b/>
          <w:sz w:val="24"/>
          <w:szCs w:val="24"/>
        </w:rPr>
        <w:t>4. Conclusiones</w:t>
      </w:r>
    </w:p>
    <w:p w:rsidR="00E85B17" w:rsidRPr="00E85B17" w:rsidRDefault="00E85B17" w:rsidP="00E85B17">
      <w:pPr>
        <w:pStyle w:val="Default"/>
        <w:spacing w:line="360" w:lineRule="auto"/>
        <w:jc w:val="both"/>
        <w:rPr>
          <w:color w:val="auto"/>
        </w:rPr>
      </w:pPr>
      <w:r w:rsidRPr="00E85B17">
        <w:rPr>
          <w:color w:val="auto"/>
        </w:rPr>
        <w:t xml:space="preserve">Se determinó mediante el cálculo del puntaje omega que en las comunidades Indayita y Caimanes, a pesar de presentar estructuras funcionales similares y de ser sistemas sociales comparables, los factores sociales: contaminación ambiental industrial, prácticas sociales reproducidas, factores socioeconómicos y exposición a fenómenos naturales no </w:t>
      </w:r>
      <w:r w:rsidR="005D34A0">
        <w:rPr>
          <w:color w:val="auto"/>
        </w:rPr>
        <w:t xml:space="preserve">se comportan </w:t>
      </w:r>
      <w:r w:rsidRPr="00E85B17">
        <w:rPr>
          <w:color w:val="auto"/>
        </w:rPr>
        <w:t xml:space="preserve">de la misma forma en </w:t>
      </w:r>
      <w:r w:rsidR="005D34A0">
        <w:rPr>
          <w:color w:val="auto"/>
        </w:rPr>
        <w:t>ellas</w:t>
      </w:r>
      <w:r w:rsidRPr="00E85B17">
        <w:rPr>
          <w:color w:val="auto"/>
        </w:rPr>
        <w:t xml:space="preserve">, teniendo mayor incidencia en Indayita que en Caimanes. </w:t>
      </w:r>
    </w:p>
    <w:p w:rsidR="00E85B17" w:rsidRDefault="00E85B17" w:rsidP="00E85B17">
      <w:pPr>
        <w:spacing w:after="0" w:line="360" w:lineRule="auto"/>
        <w:jc w:val="both"/>
        <w:rPr>
          <w:rFonts w:ascii="Times New Roman" w:hAnsi="Times New Roman" w:cs="Times New Roman"/>
          <w:sz w:val="24"/>
          <w:szCs w:val="24"/>
        </w:rPr>
      </w:pPr>
      <w:r w:rsidRPr="00E85B17">
        <w:rPr>
          <w:rFonts w:ascii="Times New Roman" w:hAnsi="Times New Roman" w:cs="Times New Roman"/>
          <w:sz w:val="24"/>
          <w:szCs w:val="24"/>
        </w:rPr>
        <w:t>Para minimizar la vulnerabilidad socioambiental de las comunidades de crecimiento espontáneo Indayita y Caimanes se proponen acciones coordinadas que permitan la reubicación de ambas comunidades a una nueva zona de desarrollo urbano previamente escogida por la DMPF.</w:t>
      </w:r>
    </w:p>
    <w:p w:rsidR="00E85B17" w:rsidRDefault="00E85B17" w:rsidP="00E85B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estudio realizado es el primer estudio sociológico con estas características en estas comunidades. El mismo sirve de base a futuras investigaciones desde otras ciencias como la arquitectura, la economía y la ingeniería civil. Contribuye al desarrollo del Plan General de Ordenamiento </w:t>
      </w:r>
      <w:r w:rsidR="005D34A0">
        <w:rPr>
          <w:rFonts w:ascii="Times New Roman" w:hAnsi="Times New Roman" w:cs="Times New Roman"/>
          <w:sz w:val="24"/>
          <w:szCs w:val="24"/>
        </w:rPr>
        <w:t>T</w:t>
      </w:r>
      <w:r>
        <w:rPr>
          <w:rFonts w:ascii="Times New Roman" w:hAnsi="Times New Roman" w:cs="Times New Roman"/>
          <w:sz w:val="24"/>
          <w:szCs w:val="24"/>
        </w:rPr>
        <w:t>erritorial de las Di</w:t>
      </w:r>
      <w:r w:rsidR="005D34A0">
        <w:rPr>
          <w:rFonts w:ascii="Times New Roman" w:hAnsi="Times New Roman" w:cs="Times New Roman"/>
          <w:sz w:val="24"/>
          <w:szCs w:val="24"/>
        </w:rPr>
        <w:t>r</w:t>
      </w:r>
      <w:r>
        <w:rPr>
          <w:rFonts w:ascii="Times New Roman" w:hAnsi="Times New Roman" w:cs="Times New Roman"/>
          <w:sz w:val="24"/>
          <w:szCs w:val="24"/>
        </w:rPr>
        <w:t xml:space="preserve">ecciones Municipal y Provincial de Planificación Física de Santiago de Cuba. </w:t>
      </w:r>
      <w:r w:rsidR="005D34A0">
        <w:rPr>
          <w:rFonts w:ascii="Times New Roman" w:hAnsi="Times New Roman" w:cs="Times New Roman"/>
          <w:sz w:val="24"/>
          <w:szCs w:val="24"/>
        </w:rPr>
        <w:t>Se</w:t>
      </w:r>
      <w:r>
        <w:rPr>
          <w:rFonts w:ascii="Times New Roman" w:hAnsi="Times New Roman" w:cs="Times New Roman"/>
          <w:sz w:val="24"/>
          <w:szCs w:val="24"/>
        </w:rPr>
        <w:t xml:space="preserve"> propone, además, expandir el estudio a las otras comunidades de crecimiento espontáneo del municipio.</w:t>
      </w:r>
    </w:p>
    <w:p w:rsidR="00270E2E" w:rsidRDefault="00270E2E"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2125DE" w:rsidRPr="002125DE" w:rsidRDefault="002125DE" w:rsidP="002125DE">
      <w:pPr>
        <w:pStyle w:val="Prrafodelista"/>
        <w:numPr>
          <w:ilvl w:val="0"/>
          <w:numId w:val="15"/>
        </w:numPr>
        <w:spacing w:line="360" w:lineRule="auto"/>
        <w:jc w:val="both"/>
        <w:rPr>
          <w:rFonts w:ascii="Times New Roman" w:hAnsi="Times New Roman" w:cs="Times New Roman"/>
          <w:sz w:val="24"/>
          <w:szCs w:val="24"/>
        </w:rPr>
      </w:pPr>
      <w:r w:rsidRPr="002125DE">
        <w:rPr>
          <w:rFonts w:ascii="Times New Roman" w:hAnsi="Times New Roman" w:cs="Times New Roman"/>
          <w:sz w:val="24"/>
          <w:szCs w:val="24"/>
        </w:rPr>
        <w:t>Cardoso, M. (2017) Estudio de la vulnerabilidad socio-ambiental a través de un índice sintético. Caso de distritos bajo riesgo de inundación: Santa Fe, Recreo y Monte Vera, Provincia de Santa Fe, Argentina. Caderno de Geografia, vol. 27, núm. 48, pp. 156-183</w:t>
      </w:r>
    </w:p>
    <w:p w:rsidR="002125DE" w:rsidRPr="002125DE" w:rsidRDefault="002125DE" w:rsidP="002125DE">
      <w:pPr>
        <w:pStyle w:val="Prrafodelista"/>
        <w:numPr>
          <w:ilvl w:val="0"/>
          <w:numId w:val="15"/>
        </w:numPr>
        <w:spacing w:line="360" w:lineRule="auto"/>
        <w:jc w:val="both"/>
        <w:rPr>
          <w:rFonts w:ascii="Times New Roman" w:hAnsi="Times New Roman" w:cs="Times New Roman"/>
          <w:sz w:val="24"/>
          <w:szCs w:val="24"/>
        </w:rPr>
      </w:pPr>
      <w:r w:rsidRPr="002125DE">
        <w:rPr>
          <w:rFonts w:ascii="Times New Roman" w:hAnsi="Times New Roman" w:cs="Times New Roman"/>
          <w:sz w:val="24"/>
          <w:szCs w:val="24"/>
        </w:rPr>
        <w:lastRenderedPageBreak/>
        <w:t>Castells, M. (2014) La cuestión urbana. Editorial Siglo XXI. México</w:t>
      </w:r>
    </w:p>
    <w:p w:rsidR="002125DE" w:rsidRDefault="002125DE" w:rsidP="002125DE">
      <w:pPr>
        <w:pStyle w:val="Prrafodelista"/>
        <w:numPr>
          <w:ilvl w:val="0"/>
          <w:numId w:val="15"/>
        </w:numPr>
        <w:spacing w:line="360" w:lineRule="auto"/>
        <w:jc w:val="both"/>
        <w:rPr>
          <w:rFonts w:ascii="Times New Roman" w:hAnsi="Times New Roman" w:cs="Times New Roman"/>
          <w:sz w:val="24"/>
          <w:szCs w:val="24"/>
        </w:rPr>
      </w:pPr>
      <w:r w:rsidRPr="002125DE">
        <w:rPr>
          <w:rFonts w:ascii="Times New Roman" w:hAnsi="Times New Roman" w:cs="Times New Roman"/>
          <w:sz w:val="24"/>
          <w:szCs w:val="24"/>
        </w:rPr>
        <w:t>Corraliza, J. (2000) Vida urbana y experiencia social: variedad, cohesión y medio ambiente. Boletín CF+S.</w:t>
      </w:r>
    </w:p>
    <w:p w:rsidR="005719CC" w:rsidRPr="005719CC" w:rsidRDefault="005719CC" w:rsidP="002125DE">
      <w:pPr>
        <w:pStyle w:val="Prrafodelista"/>
        <w:numPr>
          <w:ilvl w:val="0"/>
          <w:numId w:val="15"/>
        </w:numPr>
        <w:spacing w:line="360" w:lineRule="auto"/>
        <w:jc w:val="both"/>
        <w:rPr>
          <w:rFonts w:ascii="Times New Roman" w:hAnsi="Times New Roman" w:cs="Times New Roman"/>
          <w:sz w:val="24"/>
          <w:szCs w:val="24"/>
        </w:rPr>
      </w:pPr>
      <w:r w:rsidRPr="005719CC">
        <w:rPr>
          <w:rFonts w:ascii="Times New Roman" w:hAnsi="Times New Roman" w:cs="Times New Roman"/>
          <w:sz w:val="24"/>
          <w:szCs w:val="24"/>
        </w:rPr>
        <w:t>Corcuff, P. (1995) Las nuevas sociologías. Editorial Nathan, Francia p 45.</w:t>
      </w:r>
    </w:p>
    <w:p w:rsidR="002125DE" w:rsidRDefault="002125DE" w:rsidP="002125DE">
      <w:pPr>
        <w:pStyle w:val="Prrafodelista"/>
        <w:numPr>
          <w:ilvl w:val="0"/>
          <w:numId w:val="15"/>
        </w:numPr>
        <w:spacing w:line="360" w:lineRule="auto"/>
        <w:jc w:val="both"/>
        <w:rPr>
          <w:rFonts w:ascii="Times New Roman" w:hAnsi="Times New Roman" w:cs="Times New Roman"/>
          <w:sz w:val="24"/>
          <w:szCs w:val="24"/>
        </w:rPr>
      </w:pPr>
      <w:r w:rsidRPr="002125DE">
        <w:rPr>
          <w:rFonts w:ascii="Times New Roman" w:hAnsi="Times New Roman" w:cs="Times New Roman"/>
          <w:sz w:val="24"/>
          <w:szCs w:val="24"/>
        </w:rPr>
        <w:t>Dirección Provincial de Planificación Física. (2013) Plan General de Ordena</w:t>
      </w:r>
      <w:r w:rsidR="005719CC">
        <w:rPr>
          <w:rFonts w:ascii="Times New Roman" w:hAnsi="Times New Roman" w:cs="Times New Roman"/>
          <w:sz w:val="24"/>
          <w:szCs w:val="24"/>
        </w:rPr>
        <w:t>miento Urbano. Santiago de Cuba.</w:t>
      </w:r>
    </w:p>
    <w:p w:rsidR="005719CC" w:rsidRPr="005719CC" w:rsidRDefault="005719CC" w:rsidP="002125DE">
      <w:pPr>
        <w:pStyle w:val="Prrafodelista"/>
        <w:numPr>
          <w:ilvl w:val="0"/>
          <w:numId w:val="15"/>
        </w:numPr>
        <w:spacing w:line="360" w:lineRule="auto"/>
        <w:jc w:val="both"/>
        <w:rPr>
          <w:rFonts w:ascii="Times New Roman" w:hAnsi="Times New Roman" w:cs="Times New Roman"/>
          <w:sz w:val="24"/>
          <w:szCs w:val="24"/>
        </w:rPr>
      </w:pPr>
      <w:r w:rsidRPr="005719CC">
        <w:rPr>
          <w:rFonts w:ascii="Times New Roman" w:hAnsi="Times New Roman" w:cs="Times New Roman"/>
          <w:sz w:val="24"/>
          <w:szCs w:val="24"/>
        </w:rPr>
        <w:t>Foschiatti, A. (2004) Vulnerabilidad global y pobreza: Consideraciones conceptuales. Revista Geográfica Digital, No.1.</w:t>
      </w:r>
    </w:p>
    <w:p w:rsidR="002125DE" w:rsidRPr="002125DE" w:rsidRDefault="002125DE" w:rsidP="002125DE">
      <w:pPr>
        <w:pStyle w:val="Prrafodelista"/>
        <w:numPr>
          <w:ilvl w:val="0"/>
          <w:numId w:val="15"/>
        </w:numPr>
        <w:spacing w:line="360" w:lineRule="auto"/>
        <w:jc w:val="both"/>
        <w:rPr>
          <w:rFonts w:ascii="Times New Roman" w:hAnsi="Times New Roman" w:cs="Times New Roman"/>
          <w:sz w:val="24"/>
          <w:szCs w:val="24"/>
        </w:rPr>
      </w:pPr>
      <w:r w:rsidRPr="002125DE">
        <w:rPr>
          <w:rFonts w:ascii="Times New Roman" w:hAnsi="Times New Roman" w:cs="Times New Roman"/>
          <w:sz w:val="24"/>
          <w:szCs w:val="24"/>
        </w:rPr>
        <w:t>Gómez, Y. (2014.) Vulnerabilidad Socio–ambiental y gestión comunitaria del riesgo en Barrancabermeja Colombia. (Tesis de Maestría) Universidad de Manizales, Manizales, Colombia.</w:t>
      </w:r>
    </w:p>
    <w:p w:rsidR="002125DE" w:rsidRPr="000D0E63" w:rsidRDefault="000D0E63" w:rsidP="002125DE">
      <w:pPr>
        <w:pStyle w:val="Prrafodelista"/>
        <w:numPr>
          <w:ilvl w:val="0"/>
          <w:numId w:val="15"/>
        </w:numPr>
        <w:autoSpaceDE w:val="0"/>
        <w:autoSpaceDN w:val="0"/>
        <w:adjustRightInd w:val="0"/>
        <w:spacing w:after="0" w:line="360" w:lineRule="auto"/>
        <w:jc w:val="both"/>
        <w:rPr>
          <w:rFonts w:ascii="Times New Roman" w:hAnsi="Times New Roman" w:cs="Times New Roman"/>
          <w:sz w:val="24"/>
          <w:szCs w:val="24"/>
        </w:rPr>
      </w:pPr>
      <w:r w:rsidRPr="000D0E63">
        <w:rPr>
          <w:rFonts w:ascii="Times New Roman" w:hAnsi="Times New Roman" w:cs="Times New Roman"/>
          <w:sz w:val="24"/>
          <w:szCs w:val="24"/>
        </w:rPr>
        <w:t>Guzmán- Miranda, O. (2012) La definición de factores sociales en el marco de las investigaciones actuales. Santiago, vol. 128, No. 2, págs.336-350.</w:t>
      </w:r>
      <w:r w:rsidR="002125DE" w:rsidRPr="000D0E63">
        <w:rPr>
          <w:rFonts w:ascii="Times New Roman" w:hAnsi="Times New Roman" w:cs="Times New Roman"/>
          <w:sz w:val="24"/>
          <w:szCs w:val="24"/>
        </w:rPr>
        <w:tab/>
      </w:r>
    </w:p>
    <w:p w:rsidR="000D0E63" w:rsidRPr="000D0E63" w:rsidRDefault="000D0E63" w:rsidP="000D0E63">
      <w:pPr>
        <w:pStyle w:val="Prrafodelista"/>
        <w:numPr>
          <w:ilvl w:val="0"/>
          <w:numId w:val="15"/>
        </w:numPr>
        <w:spacing w:after="0" w:line="240" w:lineRule="auto"/>
        <w:rPr>
          <w:rFonts w:ascii="Times New Roman" w:hAnsi="Times New Roman" w:cs="Times New Roman"/>
          <w:sz w:val="24"/>
          <w:szCs w:val="24"/>
        </w:rPr>
      </w:pPr>
      <w:r w:rsidRPr="000D0E63">
        <w:rPr>
          <w:rFonts w:ascii="Times New Roman" w:hAnsi="Times New Roman" w:cs="Times New Roman"/>
          <w:sz w:val="24"/>
          <w:szCs w:val="24"/>
        </w:rPr>
        <w:t>Lavell, A. (1993) Ciencias sociales y desastres naturales en america latina: un encuentro inconcluso. EURE, vol.XXI, No. 58, pp.73-84.</w:t>
      </w:r>
    </w:p>
    <w:p w:rsidR="000D0E63" w:rsidRPr="000D0E63" w:rsidRDefault="000D0E63" w:rsidP="000D0E63">
      <w:pPr>
        <w:pStyle w:val="Prrafodelista"/>
        <w:spacing w:after="0" w:line="240" w:lineRule="auto"/>
        <w:rPr>
          <w:rFonts w:ascii="Times New Roman" w:eastAsia="Times New Roman" w:hAnsi="Times New Roman" w:cs="Times New Roman"/>
          <w:sz w:val="24"/>
          <w:szCs w:val="24"/>
          <w:lang w:eastAsia="es-ES"/>
        </w:rPr>
      </w:pPr>
      <w:r w:rsidRPr="000D0E63">
        <w:rPr>
          <w:rFonts w:ascii="Times New Roman" w:eastAsia="Times New Roman" w:hAnsi="Times New Roman" w:cs="Times New Roman"/>
          <w:sz w:val="24"/>
          <w:szCs w:val="24"/>
          <w:lang w:eastAsia="es-ES"/>
        </w:rPr>
        <w:t xml:space="preserve"> </w:t>
      </w:r>
      <w:r w:rsidRPr="000D0E63">
        <w:rPr>
          <w:rFonts w:ascii="Times New Roman" w:hAnsi="Times New Roman" w:cs="Times New Roman"/>
          <w:sz w:val="24"/>
          <w:szCs w:val="24"/>
        </w:rPr>
        <w:t xml:space="preserve"> </w:t>
      </w:r>
    </w:p>
    <w:p w:rsidR="002125DE" w:rsidRDefault="002125DE" w:rsidP="002125DE">
      <w:pPr>
        <w:pStyle w:val="Prrafodelista"/>
        <w:numPr>
          <w:ilvl w:val="0"/>
          <w:numId w:val="15"/>
        </w:numPr>
        <w:spacing w:line="360" w:lineRule="auto"/>
        <w:jc w:val="both"/>
        <w:rPr>
          <w:rFonts w:ascii="Times New Roman" w:hAnsi="Times New Roman" w:cs="Times New Roman"/>
          <w:sz w:val="24"/>
          <w:szCs w:val="24"/>
        </w:rPr>
      </w:pPr>
      <w:r w:rsidRPr="002125DE">
        <w:rPr>
          <w:rFonts w:ascii="Times New Roman" w:hAnsi="Times New Roman" w:cs="Times New Roman"/>
          <w:sz w:val="24"/>
          <w:szCs w:val="24"/>
        </w:rPr>
        <w:t>Mac Donald, J. et al. (1999) Consensos urbanos. Aportes del Plan de Acción Regional de América Latina y el Caribe sobre Asentamientos Humanos. CEPAL, Santiago de Chile, Chile.</w:t>
      </w:r>
    </w:p>
    <w:p w:rsidR="005719CC" w:rsidRPr="002125DE" w:rsidRDefault="005719CC" w:rsidP="002125DE">
      <w:pPr>
        <w:pStyle w:val="Prrafodelista"/>
        <w:numPr>
          <w:ilvl w:val="0"/>
          <w:numId w:val="15"/>
        </w:numPr>
        <w:spacing w:line="360" w:lineRule="auto"/>
        <w:jc w:val="both"/>
        <w:rPr>
          <w:rFonts w:ascii="Times New Roman" w:hAnsi="Times New Roman" w:cs="Times New Roman"/>
          <w:sz w:val="24"/>
          <w:szCs w:val="24"/>
        </w:rPr>
      </w:pPr>
      <w:r w:rsidRPr="005719CC">
        <w:rPr>
          <w:rFonts w:ascii="Times New Roman" w:hAnsi="Times New Roman" w:cs="Times New Roman"/>
          <w:sz w:val="24"/>
          <w:szCs w:val="24"/>
        </w:rPr>
        <w:t>Medina, A., et al. (1999) Reconocimiento geólogo-geofísico de la cuenca de Santiago de Cuba, con fines de Riesgo Sísmico. Empresa Geominera de Oriente, Santiago</w:t>
      </w:r>
      <w:r>
        <w:rPr>
          <w:rFonts w:ascii="Times New Roman" w:hAnsi="Times New Roman" w:cs="Times New Roman"/>
          <w:sz w:val="24"/>
          <w:szCs w:val="24"/>
        </w:rPr>
        <w:t>.</w:t>
      </w:r>
    </w:p>
    <w:p w:rsidR="002125DE" w:rsidRPr="002125DE" w:rsidRDefault="002125DE" w:rsidP="002125DE">
      <w:pPr>
        <w:pStyle w:val="Prrafodelista"/>
        <w:numPr>
          <w:ilvl w:val="0"/>
          <w:numId w:val="15"/>
        </w:numPr>
        <w:spacing w:line="360" w:lineRule="auto"/>
        <w:jc w:val="both"/>
        <w:rPr>
          <w:rFonts w:ascii="Times New Roman" w:hAnsi="Times New Roman" w:cs="Times New Roman"/>
          <w:sz w:val="24"/>
          <w:szCs w:val="24"/>
        </w:rPr>
      </w:pPr>
      <w:r w:rsidRPr="002125DE">
        <w:rPr>
          <w:rFonts w:ascii="Times New Roman" w:hAnsi="Times New Roman" w:cs="Times New Roman"/>
          <w:sz w:val="24"/>
          <w:szCs w:val="24"/>
        </w:rPr>
        <w:t>Naciones Unidas (2018), La Agenda 2030 y los Objetivos de Desarrollo Sostenible: una oportunidad para América Latina y el Caribe. LC/G.2681-P/Rev.3, Santiago de Chile. Chile.</w:t>
      </w:r>
    </w:p>
    <w:p w:rsidR="002125DE" w:rsidRPr="002125DE" w:rsidRDefault="002125DE" w:rsidP="002125DE">
      <w:pPr>
        <w:pStyle w:val="Prrafodelista"/>
        <w:numPr>
          <w:ilvl w:val="0"/>
          <w:numId w:val="15"/>
        </w:numPr>
        <w:spacing w:line="360" w:lineRule="auto"/>
        <w:jc w:val="both"/>
        <w:rPr>
          <w:rFonts w:ascii="Times New Roman" w:hAnsi="Times New Roman" w:cs="Times New Roman"/>
          <w:sz w:val="24"/>
          <w:szCs w:val="24"/>
        </w:rPr>
      </w:pPr>
      <w:r w:rsidRPr="002125DE">
        <w:rPr>
          <w:rFonts w:ascii="Times New Roman" w:hAnsi="Times New Roman" w:cs="Times New Roman"/>
          <w:sz w:val="24"/>
          <w:szCs w:val="24"/>
        </w:rPr>
        <w:t>Naciones Unidas (2011) Las ciudades y el cambio climático: orientaciones para políticas. Informe mundial sobre asentamientos humanos.</w:t>
      </w:r>
    </w:p>
    <w:p w:rsidR="002125DE" w:rsidRPr="002125DE" w:rsidRDefault="002125DE" w:rsidP="002125DE">
      <w:pPr>
        <w:pStyle w:val="Prrafodelista"/>
        <w:numPr>
          <w:ilvl w:val="0"/>
          <w:numId w:val="15"/>
        </w:numPr>
        <w:spacing w:line="360" w:lineRule="auto"/>
        <w:jc w:val="both"/>
        <w:rPr>
          <w:rFonts w:ascii="Times New Roman" w:hAnsi="Times New Roman" w:cs="Times New Roman"/>
          <w:sz w:val="24"/>
          <w:szCs w:val="24"/>
        </w:rPr>
      </w:pPr>
      <w:r w:rsidRPr="002125DE">
        <w:rPr>
          <w:rFonts w:ascii="Times New Roman" w:hAnsi="Times New Roman" w:cs="Times New Roman"/>
          <w:sz w:val="24"/>
          <w:szCs w:val="24"/>
        </w:rPr>
        <w:t>Pérez, I. (2010) Análisis de vulnerabilidad de los sistemas biológicos aplicado a la evaluación de impacto ambiental (EIA) en Colombia. (Tesis de Maestría)Universidad Nacional de Colombia, Bogotá, Colombia.</w:t>
      </w:r>
    </w:p>
    <w:p w:rsidR="002125DE" w:rsidRPr="006A5050" w:rsidRDefault="002125DE" w:rsidP="002125DE">
      <w:pPr>
        <w:pStyle w:val="Prrafodelista"/>
        <w:numPr>
          <w:ilvl w:val="0"/>
          <w:numId w:val="15"/>
        </w:numPr>
        <w:spacing w:line="360" w:lineRule="auto"/>
        <w:jc w:val="both"/>
        <w:rPr>
          <w:rFonts w:ascii="Times New Roman" w:hAnsi="Times New Roman" w:cs="Times New Roman"/>
          <w:sz w:val="24"/>
          <w:szCs w:val="24"/>
        </w:rPr>
      </w:pPr>
      <w:r w:rsidRPr="006A5050">
        <w:rPr>
          <w:rFonts w:ascii="Times New Roman" w:hAnsi="Times New Roman" w:cs="Times New Roman"/>
          <w:sz w:val="24"/>
          <w:szCs w:val="24"/>
        </w:rPr>
        <w:t>Santa María, I. (1973) El desarrollo urbano mediante los “asentamientos espontáneos”: el caso de los campamentos chilenos. Eure.</w:t>
      </w:r>
    </w:p>
    <w:p w:rsidR="00D36D1C" w:rsidRPr="009D5E02" w:rsidRDefault="00D36D1C" w:rsidP="002125DE">
      <w:pPr>
        <w:spacing w:line="360" w:lineRule="auto"/>
        <w:jc w:val="both"/>
        <w:rPr>
          <w:rFonts w:ascii="Times New Roman" w:hAnsi="Times New Roman" w:cs="Times New Roman"/>
          <w:sz w:val="24"/>
          <w:szCs w:val="24"/>
        </w:rPr>
      </w:pPr>
    </w:p>
    <w:sectPr w:rsidR="00D36D1C" w:rsidRPr="009D5E02"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B92" w:rsidRDefault="00104B92" w:rsidP="00C8585B">
      <w:pPr>
        <w:spacing w:after="0" w:line="240" w:lineRule="auto"/>
      </w:pPr>
      <w:r>
        <w:separator/>
      </w:r>
    </w:p>
  </w:endnote>
  <w:endnote w:type="continuationSeparator" w:id="1">
    <w:p w:rsidR="00104B92" w:rsidRDefault="00104B92"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70190"/>
      <w:docPartObj>
        <w:docPartGallery w:val="Page Numbers (Bottom of Page)"/>
        <w:docPartUnique/>
      </w:docPartObj>
    </w:sdtPr>
    <w:sdtContent>
      <w:p w:rsidR="00E85B17" w:rsidRDefault="00E85B17">
        <w:pPr>
          <w:pStyle w:val="Piedepgina"/>
          <w:jc w:val="right"/>
        </w:pPr>
        <w:fldSimple w:instr=" PAGE   \* MERGEFORMAT ">
          <w:r w:rsidR="00C6664B">
            <w:rPr>
              <w:noProof/>
            </w:rPr>
            <w:t>16</w:t>
          </w:r>
        </w:fldSimple>
      </w:p>
    </w:sdtContent>
  </w:sdt>
  <w:p w:rsidR="00E85B17" w:rsidRPr="00C8585B" w:rsidRDefault="00E85B1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Convención20</w:t>
    </w:r>
    <w:r>
      <w:rPr>
        <w:rFonts w:ascii="Verdana" w:hAnsi="Verdana"/>
        <w:b/>
        <w:sz w:val="16"/>
        <w:szCs w:val="16"/>
        <w:lang w:val="es-ES_tradnl"/>
      </w:rPr>
      <w:t>21</w:t>
    </w:r>
  </w:p>
  <w:p w:rsidR="00E85B17" w:rsidRPr="00C8585B" w:rsidRDefault="00E85B17"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E85B17" w:rsidRDefault="00E85B17" w:rsidP="00671849">
    <w:pPr>
      <w:pStyle w:val="Piedepgina"/>
      <w:jc w:val="center"/>
    </w:pPr>
    <w:r>
      <w:rPr>
        <w:rFonts w:ascii="Verdana" w:hAnsi="Verdana"/>
        <w:b/>
        <w:sz w:val="16"/>
        <w:szCs w:val="16"/>
        <w:lang w:val="es-ES_tradnl"/>
      </w:rPr>
      <w:t>TÍTULO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B92" w:rsidRDefault="00104B92" w:rsidP="00C8585B">
      <w:pPr>
        <w:spacing w:after="0" w:line="240" w:lineRule="auto"/>
      </w:pPr>
      <w:r>
        <w:separator/>
      </w:r>
    </w:p>
  </w:footnote>
  <w:footnote w:type="continuationSeparator" w:id="1">
    <w:p w:rsidR="00104B92" w:rsidRDefault="00104B92"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57" w:type="dxa"/>
      <w:jc w:val="center"/>
      <w:tblLayout w:type="fixed"/>
      <w:tblLook w:val="04A0"/>
    </w:tblPr>
    <w:tblGrid>
      <w:gridCol w:w="1425"/>
      <w:gridCol w:w="8632"/>
    </w:tblGrid>
    <w:tr w:rsidR="00E85B17" w:rsidRPr="004D77C8" w:rsidTr="00F31B37">
      <w:trPr>
        <w:trHeight w:val="1114"/>
        <w:jc w:val="center"/>
      </w:trPr>
      <w:tc>
        <w:tcPr>
          <w:tcW w:w="1425" w:type="dxa"/>
        </w:tcPr>
        <w:p w:rsidR="00E85B17" w:rsidRPr="004D77C8" w:rsidRDefault="00E85B1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E85B17" w:rsidRDefault="00E85B17" w:rsidP="00F31B37">
          <w:pPr>
            <w:pStyle w:val="Encabezado"/>
            <w:jc w:val="center"/>
            <w:rPr>
              <w:rFonts w:ascii="Verdana" w:hAnsi="Verdana"/>
              <w:b/>
              <w:sz w:val="16"/>
              <w:szCs w:val="16"/>
              <w:lang w:val="es-ES_tradnl"/>
            </w:rPr>
          </w:pPr>
        </w:p>
        <w:p w:rsidR="00E85B17" w:rsidRPr="00C8585B" w:rsidRDefault="00E85B1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 xml:space="preserve">Convención </w:t>
          </w:r>
          <w:r>
            <w:rPr>
              <w:rFonts w:ascii="Verdana" w:hAnsi="Verdana"/>
              <w:b/>
              <w:sz w:val="16"/>
              <w:szCs w:val="16"/>
              <w:lang w:val="es-ES_tradnl"/>
            </w:rPr>
            <w:t>2021</w:t>
          </w:r>
        </w:p>
        <w:p w:rsidR="00E85B17" w:rsidRPr="00C8585B" w:rsidRDefault="00E85B1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E85B17" w:rsidRPr="000A6EC7" w:rsidRDefault="00E85B1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E85B17" w:rsidRDefault="00E85B1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02E6"/>
    <w:multiLevelType w:val="multilevel"/>
    <w:tmpl w:val="9C60A2A6"/>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0F98647D"/>
    <w:multiLevelType w:val="hybridMultilevel"/>
    <w:tmpl w:val="D5E42B44"/>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13E6077A"/>
    <w:multiLevelType w:val="hybridMultilevel"/>
    <w:tmpl w:val="05726476"/>
    <w:lvl w:ilvl="0" w:tplc="0C0A0001">
      <w:start w:val="1"/>
      <w:numFmt w:val="bullet"/>
      <w:lvlText w:val=""/>
      <w:lvlJc w:val="left"/>
      <w:pPr>
        <w:ind w:left="709" w:hanging="360"/>
      </w:pPr>
      <w:rPr>
        <w:rFonts w:ascii="Symbol" w:hAnsi="Symbol" w:hint="default"/>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3">
    <w:nsid w:val="240A4774"/>
    <w:multiLevelType w:val="hybridMultilevel"/>
    <w:tmpl w:val="85187B72"/>
    <w:lvl w:ilvl="0" w:tplc="0AFA683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7756DC4"/>
    <w:multiLevelType w:val="hybridMultilevel"/>
    <w:tmpl w:val="9BFEE3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C6C55F8"/>
    <w:multiLevelType w:val="hybridMultilevel"/>
    <w:tmpl w:val="C06EEF06"/>
    <w:lvl w:ilvl="0" w:tplc="6AB2CE34">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C7958B4"/>
    <w:multiLevelType w:val="hybridMultilevel"/>
    <w:tmpl w:val="5B9CC3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4463247"/>
    <w:multiLevelType w:val="hybridMultilevel"/>
    <w:tmpl w:val="3508ECB8"/>
    <w:lvl w:ilvl="0" w:tplc="0C0A0001">
      <w:start w:val="1"/>
      <w:numFmt w:val="bullet"/>
      <w:lvlText w:val=""/>
      <w:lvlJc w:val="left"/>
      <w:pPr>
        <w:ind w:left="709" w:hanging="360"/>
      </w:pPr>
      <w:rPr>
        <w:rFonts w:ascii="Symbol" w:hAnsi="Symbol" w:hint="default"/>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8">
    <w:nsid w:val="36B0472B"/>
    <w:multiLevelType w:val="hybridMultilevel"/>
    <w:tmpl w:val="6CDA4E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EEC1F4C"/>
    <w:multiLevelType w:val="hybridMultilevel"/>
    <w:tmpl w:val="A9885FCA"/>
    <w:lvl w:ilvl="0" w:tplc="980468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0636214"/>
    <w:multiLevelType w:val="hybridMultilevel"/>
    <w:tmpl w:val="702472BA"/>
    <w:lvl w:ilvl="0" w:tplc="0EF8A7A2">
      <w:start w:val="2"/>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925633C"/>
    <w:multiLevelType w:val="hybridMultilevel"/>
    <w:tmpl w:val="990628A4"/>
    <w:lvl w:ilvl="0" w:tplc="9D2A025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BE43528"/>
    <w:multiLevelType w:val="hybridMultilevel"/>
    <w:tmpl w:val="F36C3D08"/>
    <w:lvl w:ilvl="0" w:tplc="1B921096">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A9001FB"/>
    <w:multiLevelType w:val="hybridMultilevel"/>
    <w:tmpl w:val="5DB6A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E3E0A45"/>
    <w:multiLevelType w:val="hybridMultilevel"/>
    <w:tmpl w:val="44E8FE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2C77A3A"/>
    <w:multiLevelType w:val="hybridMultilevel"/>
    <w:tmpl w:val="AF54D0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6DF2072"/>
    <w:multiLevelType w:val="hybridMultilevel"/>
    <w:tmpl w:val="D9644D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0"/>
  </w:num>
  <w:num w:numId="4">
    <w:abstractNumId w:val="7"/>
  </w:num>
  <w:num w:numId="5">
    <w:abstractNumId w:val="5"/>
  </w:num>
  <w:num w:numId="6">
    <w:abstractNumId w:val="16"/>
  </w:num>
  <w:num w:numId="7">
    <w:abstractNumId w:val="13"/>
  </w:num>
  <w:num w:numId="8">
    <w:abstractNumId w:val="11"/>
  </w:num>
  <w:num w:numId="9">
    <w:abstractNumId w:val="8"/>
  </w:num>
  <w:num w:numId="10">
    <w:abstractNumId w:val="1"/>
  </w:num>
  <w:num w:numId="11">
    <w:abstractNumId w:val="12"/>
  </w:num>
  <w:num w:numId="12">
    <w:abstractNumId w:val="4"/>
  </w:num>
  <w:num w:numId="13">
    <w:abstractNumId w:val="0"/>
  </w:num>
  <w:num w:numId="14">
    <w:abstractNumId w:val="2"/>
  </w:num>
  <w:num w:numId="15">
    <w:abstractNumId w:val="14"/>
  </w:num>
  <w:num w:numId="16">
    <w:abstractNumId w:val="3"/>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hdrShapeDefaults>
    <o:shapedefaults v:ext="edit" spidmax="20482"/>
  </w:hdrShapeDefaults>
  <w:footnotePr>
    <w:footnote w:id="0"/>
    <w:footnote w:id="1"/>
  </w:footnotePr>
  <w:endnotePr>
    <w:endnote w:id="0"/>
    <w:endnote w:id="1"/>
  </w:endnotePr>
  <w:compat/>
  <w:rsids>
    <w:rsidRoot w:val="00C8585B"/>
    <w:rsid w:val="00024BB2"/>
    <w:rsid w:val="00046F14"/>
    <w:rsid w:val="00062430"/>
    <w:rsid w:val="000A6EC7"/>
    <w:rsid w:val="000C14DC"/>
    <w:rsid w:val="000D0E63"/>
    <w:rsid w:val="000E3979"/>
    <w:rsid w:val="00104B92"/>
    <w:rsid w:val="0012037D"/>
    <w:rsid w:val="001808FC"/>
    <w:rsid w:val="002125DE"/>
    <w:rsid w:val="002219FE"/>
    <w:rsid w:val="002238EC"/>
    <w:rsid w:val="00270E2E"/>
    <w:rsid w:val="002E0882"/>
    <w:rsid w:val="002E272A"/>
    <w:rsid w:val="0036692E"/>
    <w:rsid w:val="00396C1E"/>
    <w:rsid w:val="00403285"/>
    <w:rsid w:val="00450690"/>
    <w:rsid w:val="004C3B44"/>
    <w:rsid w:val="00563FA4"/>
    <w:rsid w:val="005719CC"/>
    <w:rsid w:val="005754D8"/>
    <w:rsid w:val="005C663E"/>
    <w:rsid w:val="005D34A0"/>
    <w:rsid w:val="0060404C"/>
    <w:rsid w:val="006248E0"/>
    <w:rsid w:val="006271E4"/>
    <w:rsid w:val="00667F10"/>
    <w:rsid w:val="00671849"/>
    <w:rsid w:val="006956AD"/>
    <w:rsid w:val="006A5050"/>
    <w:rsid w:val="00721247"/>
    <w:rsid w:val="007455FF"/>
    <w:rsid w:val="007546B4"/>
    <w:rsid w:val="0077725B"/>
    <w:rsid w:val="007A424F"/>
    <w:rsid w:val="00815971"/>
    <w:rsid w:val="0084286A"/>
    <w:rsid w:val="00855241"/>
    <w:rsid w:val="0088159E"/>
    <w:rsid w:val="008A1C16"/>
    <w:rsid w:val="008F55C9"/>
    <w:rsid w:val="009061A5"/>
    <w:rsid w:val="00911291"/>
    <w:rsid w:val="0091621C"/>
    <w:rsid w:val="009B1EF2"/>
    <w:rsid w:val="009D5E02"/>
    <w:rsid w:val="009D67CD"/>
    <w:rsid w:val="00A02BB3"/>
    <w:rsid w:val="00A05363"/>
    <w:rsid w:val="00A13BB1"/>
    <w:rsid w:val="00A156A5"/>
    <w:rsid w:val="00A21A1F"/>
    <w:rsid w:val="00A46726"/>
    <w:rsid w:val="00A62A14"/>
    <w:rsid w:val="00A70865"/>
    <w:rsid w:val="00A95ABE"/>
    <w:rsid w:val="00AB22AF"/>
    <w:rsid w:val="00AB249F"/>
    <w:rsid w:val="00AE3CDD"/>
    <w:rsid w:val="00AE534B"/>
    <w:rsid w:val="00B02D86"/>
    <w:rsid w:val="00B058D4"/>
    <w:rsid w:val="00B2024E"/>
    <w:rsid w:val="00B223D9"/>
    <w:rsid w:val="00B50D85"/>
    <w:rsid w:val="00B741D7"/>
    <w:rsid w:val="00B80E97"/>
    <w:rsid w:val="00BC770B"/>
    <w:rsid w:val="00BD5FC2"/>
    <w:rsid w:val="00C17100"/>
    <w:rsid w:val="00C47994"/>
    <w:rsid w:val="00C53849"/>
    <w:rsid w:val="00C638E0"/>
    <w:rsid w:val="00C6664B"/>
    <w:rsid w:val="00C8585B"/>
    <w:rsid w:val="00C94D2A"/>
    <w:rsid w:val="00CD2BC3"/>
    <w:rsid w:val="00CD508A"/>
    <w:rsid w:val="00D36D1C"/>
    <w:rsid w:val="00D40EF6"/>
    <w:rsid w:val="00D44411"/>
    <w:rsid w:val="00D644B4"/>
    <w:rsid w:val="00D73DE9"/>
    <w:rsid w:val="00DB7B10"/>
    <w:rsid w:val="00E315E2"/>
    <w:rsid w:val="00E40131"/>
    <w:rsid w:val="00E6279F"/>
    <w:rsid w:val="00E80CAB"/>
    <w:rsid w:val="00E85B17"/>
    <w:rsid w:val="00E912D0"/>
    <w:rsid w:val="00E918F1"/>
    <w:rsid w:val="00EB2F0A"/>
    <w:rsid w:val="00EB4830"/>
    <w:rsid w:val="00EC06BB"/>
    <w:rsid w:val="00F001D5"/>
    <w:rsid w:val="00F31B37"/>
    <w:rsid w:val="00F97BA5"/>
    <w:rsid w:val="00FA2837"/>
    <w:rsid w:val="00FC55E2"/>
    <w:rsid w:val="00FD5C76"/>
    <w:rsid w:val="00FF3346"/>
    <w:rsid w:val="00FF493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uiPriority w:val="9"/>
    <w:qFormat/>
    <w:rsid w:val="00062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0624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B50D8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uiPriority w:val="9"/>
    <w:semiHidden/>
    <w:unhideWhenUsed/>
    <w:qFormat/>
    <w:rsid w:val="00A95AB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3Car">
    <w:name w:val="Título 3 Car"/>
    <w:basedOn w:val="Fuentedeprrafopredeter"/>
    <w:link w:val="Ttulo3"/>
    <w:uiPriority w:val="9"/>
    <w:rsid w:val="00B50D85"/>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semiHidden/>
    <w:rsid w:val="00A95ABE"/>
    <w:rPr>
      <w:rFonts w:asciiTheme="majorHAnsi" w:eastAsiaTheme="majorEastAsia" w:hAnsiTheme="majorHAnsi" w:cstheme="majorBidi"/>
      <w:b/>
      <w:bCs/>
      <w:i/>
      <w:iCs/>
      <w:color w:val="4F81BD" w:themeColor="accent1"/>
    </w:rPr>
  </w:style>
  <w:style w:type="paragraph" w:customStyle="1" w:styleId="Default">
    <w:name w:val="Default"/>
    <w:rsid w:val="00CD50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abel">
    <w:name w:val="label"/>
    <w:basedOn w:val="Fuentedeprrafopredeter"/>
    <w:rsid w:val="00CD508A"/>
  </w:style>
  <w:style w:type="paragraph" w:customStyle="1" w:styleId="portada">
    <w:name w:val="portada"/>
    <w:basedOn w:val="Normal"/>
    <w:link w:val="portadaCar"/>
    <w:qFormat/>
    <w:rsid w:val="00062430"/>
    <w:pPr>
      <w:autoSpaceDE w:val="0"/>
      <w:autoSpaceDN w:val="0"/>
      <w:adjustRightInd w:val="0"/>
      <w:spacing w:before="120" w:after="120" w:line="360" w:lineRule="auto"/>
      <w:jc w:val="center"/>
    </w:pPr>
    <w:rPr>
      <w:rFonts w:ascii="Times New Roman" w:eastAsia="Times New Roman" w:hAnsi="Times New Roman" w:cs="Times New Roman"/>
      <w:b/>
      <w:sz w:val="36"/>
      <w:szCs w:val="36"/>
      <w:lang w:val="es-MX" w:eastAsia="es-MX"/>
    </w:rPr>
  </w:style>
  <w:style w:type="character" w:customStyle="1" w:styleId="portadaCar">
    <w:name w:val="portada Car"/>
    <w:link w:val="portada"/>
    <w:rsid w:val="00062430"/>
    <w:rPr>
      <w:rFonts w:ascii="Times New Roman" w:eastAsia="Times New Roman" w:hAnsi="Times New Roman" w:cs="Times New Roman"/>
      <w:b/>
      <w:sz w:val="36"/>
      <w:szCs w:val="36"/>
      <w:lang w:val="es-MX" w:eastAsia="es-MX"/>
    </w:rPr>
  </w:style>
  <w:style w:type="character" w:customStyle="1" w:styleId="Ttulo2Car">
    <w:name w:val="Título 2 Car"/>
    <w:basedOn w:val="Fuentedeprrafopredeter"/>
    <w:link w:val="Ttulo2"/>
    <w:uiPriority w:val="9"/>
    <w:semiHidden/>
    <w:rsid w:val="00062430"/>
    <w:rPr>
      <w:rFonts w:asciiTheme="majorHAnsi" w:eastAsiaTheme="majorEastAsia" w:hAnsiTheme="majorHAnsi" w:cstheme="majorBidi"/>
      <w:b/>
      <w:bCs/>
      <w:color w:val="4F81BD" w:themeColor="accent1"/>
      <w:sz w:val="26"/>
      <w:szCs w:val="26"/>
    </w:rPr>
  </w:style>
  <w:style w:type="paragraph" w:styleId="Sinespaciado">
    <w:name w:val="No Spacing"/>
    <w:basedOn w:val="Normal"/>
    <w:link w:val="SinespaciadoCar"/>
    <w:uiPriority w:val="1"/>
    <w:qFormat/>
    <w:rsid w:val="00062430"/>
    <w:pPr>
      <w:autoSpaceDE w:val="0"/>
      <w:autoSpaceDN w:val="0"/>
      <w:adjustRightInd w:val="0"/>
      <w:spacing w:before="120" w:after="120" w:line="360" w:lineRule="auto"/>
      <w:jc w:val="both"/>
    </w:pPr>
    <w:rPr>
      <w:rFonts w:ascii="Calibri" w:eastAsia="Times New Roman" w:hAnsi="Calibri" w:cs="Times New Roman"/>
      <w:i/>
      <w:iCs/>
      <w:sz w:val="20"/>
      <w:szCs w:val="20"/>
      <w:lang w:val="es-ES_tradnl" w:eastAsia="es-ES_tradnl"/>
    </w:rPr>
  </w:style>
  <w:style w:type="character" w:customStyle="1" w:styleId="SinespaciadoCar">
    <w:name w:val="Sin espaciado Car"/>
    <w:link w:val="Sinespaciado"/>
    <w:uiPriority w:val="1"/>
    <w:rsid w:val="00062430"/>
    <w:rPr>
      <w:rFonts w:ascii="Calibri" w:eastAsia="Times New Roman" w:hAnsi="Calibri" w:cs="Times New Roman"/>
      <w:i/>
      <w:iCs/>
      <w:sz w:val="20"/>
      <w:szCs w:val="20"/>
      <w:lang w:val="es-ES_tradnl" w:eastAsia="es-ES_tradnl"/>
    </w:rPr>
  </w:style>
  <w:style w:type="character" w:customStyle="1" w:styleId="Ttulo1Car">
    <w:name w:val="Título 1 Car"/>
    <w:basedOn w:val="Fuentedeprrafopredeter"/>
    <w:link w:val="Ttulo1"/>
    <w:uiPriority w:val="9"/>
    <w:rsid w:val="00062430"/>
    <w:rPr>
      <w:rFonts w:asciiTheme="majorHAnsi" w:eastAsiaTheme="majorEastAsia" w:hAnsiTheme="majorHAnsi" w:cstheme="majorBidi"/>
      <w:b/>
      <w:bCs/>
      <w:color w:val="365F91" w:themeColor="accent1" w:themeShade="BF"/>
      <w:sz w:val="28"/>
      <w:szCs w:val="28"/>
    </w:rPr>
  </w:style>
  <w:style w:type="character" w:styleId="Refdecomentario">
    <w:name w:val="annotation reference"/>
    <w:basedOn w:val="Fuentedeprrafopredeter"/>
    <w:uiPriority w:val="99"/>
    <w:semiHidden/>
    <w:unhideWhenUsed/>
    <w:rsid w:val="00BD5FC2"/>
    <w:rPr>
      <w:sz w:val="16"/>
      <w:szCs w:val="16"/>
    </w:rPr>
  </w:style>
  <w:style w:type="paragraph" w:styleId="Textocomentario">
    <w:name w:val="annotation text"/>
    <w:basedOn w:val="Normal"/>
    <w:link w:val="TextocomentarioCar"/>
    <w:uiPriority w:val="99"/>
    <w:semiHidden/>
    <w:unhideWhenUsed/>
    <w:rsid w:val="00BD5FC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5FC2"/>
    <w:rPr>
      <w:sz w:val="20"/>
      <w:szCs w:val="20"/>
    </w:rPr>
  </w:style>
  <w:style w:type="paragraph" w:styleId="Asuntodelcomentario">
    <w:name w:val="annotation subject"/>
    <w:basedOn w:val="Textocomentario"/>
    <w:next w:val="Textocomentario"/>
    <w:link w:val="AsuntodelcomentarioCar"/>
    <w:uiPriority w:val="99"/>
    <w:semiHidden/>
    <w:unhideWhenUsed/>
    <w:rsid w:val="00BD5FC2"/>
    <w:rPr>
      <w:b/>
      <w:bCs/>
    </w:rPr>
  </w:style>
  <w:style w:type="character" w:customStyle="1" w:styleId="AsuntodelcomentarioCar">
    <w:name w:val="Asunto del comentario Car"/>
    <w:basedOn w:val="TextocomentarioCar"/>
    <w:link w:val="Asuntodelcomentario"/>
    <w:uiPriority w:val="99"/>
    <w:semiHidden/>
    <w:rsid w:val="00BD5FC2"/>
    <w:rPr>
      <w:b/>
      <w:bCs/>
    </w:rPr>
  </w:style>
  <w:style w:type="paragraph" w:styleId="HTMLconformatoprevio">
    <w:name w:val="HTML Preformatted"/>
    <w:basedOn w:val="Normal"/>
    <w:link w:val="HTMLconformatoprevioCar"/>
    <w:uiPriority w:val="99"/>
    <w:unhideWhenUsed/>
    <w:rsid w:val="000D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0D0E63"/>
    <w:rPr>
      <w:rFonts w:ascii="Courier New" w:eastAsia="Times New Roman" w:hAnsi="Courier New" w:cs="Courier New"/>
      <w:sz w:val="20"/>
      <w:szCs w:val="20"/>
      <w:lang w:eastAsia="es-ES"/>
    </w:rPr>
  </w:style>
  <w:style w:type="character" w:customStyle="1" w:styleId="y2iqfc">
    <w:name w:val="y2iqfc"/>
    <w:basedOn w:val="Fuentedeprrafopredeter"/>
    <w:rsid w:val="000D0E63"/>
  </w:style>
</w:styles>
</file>

<file path=word/webSettings.xml><?xml version="1.0" encoding="utf-8"?>
<w:webSettings xmlns:r="http://schemas.openxmlformats.org/officeDocument/2006/relationships" xmlns:w="http://schemas.openxmlformats.org/wordprocessingml/2006/main">
  <w:divs>
    <w:div w:id="397636607">
      <w:bodyDiv w:val="1"/>
      <w:marLeft w:val="0"/>
      <w:marRight w:val="0"/>
      <w:marTop w:val="0"/>
      <w:marBottom w:val="0"/>
      <w:divBdr>
        <w:top w:val="none" w:sz="0" w:space="0" w:color="auto"/>
        <w:left w:val="none" w:sz="0" w:space="0" w:color="auto"/>
        <w:bottom w:val="none" w:sz="0" w:space="0" w:color="auto"/>
        <w:right w:val="none" w:sz="0" w:space="0" w:color="auto"/>
      </w:divBdr>
    </w:div>
    <w:div w:id="516777901">
      <w:bodyDiv w:val="1"/>
      <w:marLeft w:val="0"/>
      <w:marRight w:val="0"/>
      <w:marTop w:val="0"/>
      <w:marBottom w:val="0"/>
      <w:divBdr>
        <w:top w:val="none" w:sz="0" w:space="0" w:color="auto"/>
        <w:left w:val="none" w:sz="0" w:space="0" w:color="auto"/>
        <w:bottom w:val="none" w:sz="0" w:space="0" w:color="auto"/>
        <w:right w:val="none" w:sz="0" w:space="0" w:color="auto"/>
      </w:divBdr>
    </w:div>
    <w:div w:id="661471007">
      <w:bodyDiv w:val="1"/>
      <w:marLeft w:val="0"/>
      <w:marRight w:val="0"/>
      <w:marTop w:val="0"/>
      <w:marBottom w:val="0"/>
      <w:divBdr>
        <w:top w:val="none" w:sz="0" w:space="0" w:color="auto"/>
        <w:left w:val="none" w:sz="0" w:space="0" w:color="auto"/>
        <w:bottom w:val="none" w:sz="0" w:space="0" w:color="auto"/>
        <w:right w:val="none" w:sz="0" w:space="0" w:color="auto"/>
      </w:divBdr>
    </w:div>
    <w:div w:id="715357081">
      <w:bodyDiv w:val="1"/>
      <w:marLeft w:val="0"/>
      <w:marRight w:val="0"/>
      <w:marTop w:val="0"/>
      <w:marBottom w:val="0"/>
      <w:divBdr>
        <w:top w:val="none" w:sz="0" w:space="0" w:color="auto"/>
        <w:left w:val="none" w:sz="0" w:space="0" w:color="auto"/>
        <w:bottom w:val="none" w:sz="0" w:space="0" w:color="auto"/>
        <w:right w:val="none" w:sz="0" w:space="0" w:color="auto"/>
      </w:divBdr>
    </w:div>
    <w:div w:id="770857463">
      <w:bodyDiv w:val="1"/>
      <w:marLeft w:val="0"/>
      <w:marRight w:val="0"/>
      <w:marTop w:val="0"/>
      <w:marBottom w:val="0"/>
      <w:divBdr>
        <w:top w:val="none" w:sz="0" w:space="0" w:color="auto"/>
        <w:left w:val="none" w:sz="0" w:space="0" w:color="auto"/>
        <w:bottom w:val="none" w:sz="0" w:space="0" w:color="auto"/>
        <w:right w:val="none" w:sz="0" w:space="0" w:color="auto"/>
      </w:divBdr>
    </w:div>
    <w:div w:id="865025375">
      <w:bodyDiv w:val="1"/>
      <w:marLeft w:val="0"/>
      <w:marRight w:val="0"/>
      <w:marTop w:val="0"/>
      <w:marBottom w:val="0"/>
      <w:divBdr>
        <w:top w:val="none" w:sz="0" w:space="0" w:color="auto"/>
        <w:left w:val="none" w:sz="0" w:space="0" w:color="auto"/>
        <w:bottom w:val="none" w:sz="0" w:space="0" w:color="auto"/>
        <w:right w:val="none" w:sz="0" w:space="0" w:color="auto"/>
      </w:divBdr>
    </w:div>
    <w:div w:id="1504199664">
      <w:bodyDiv w:val="1"/>
      <w:marLeft w:val="0"/>
      <w:marRight w:val="0"/>
      <w:marTop w:val="0"/>
      <w:marBottom w:val="0"/>
      <w:divBdr>
        <w:top w:val="none" w:sz="0" w:space="0" w:color="auto"/>
        <w:left w:val="none" w:sz="0" w:space="0" w:color="auto"/>
        <w:bottom w:val="none" w:sz="0" w:space="0" w:color="auto"/>
        <w:right w:val="none" w:sz="0" w:space="0" w:color="auto"/>
      </w:divBdr>
    </w:div>
    <w:div w:id="1532182323">
      <w:bodyDiv w:val="1"/>
      <w:marLeft w:val="0"/>
      <w:marRight w:val="0"/>
      <w:marTop w:val="0"/>
      <w:marBottom w:val="0"/>
      <w:divBdr>
        <w:top w:val="none" w:sz="0" w:space="0" w:color="auto"/>
        <w:left w:val="none" w:sz="0" w:space="0" w:color="auto"/>
        <w:bottom w:val="none" w:sz="0" w:space="0" w:color="auto"/>
        <w:right w:val="none" w:sz="0" w:space="0" w:color="auto"/>
      </w:divBdr>
    </w:div>
    <w:div w:id="209913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imib@uo.edu.cu" TargetMode="External"/><Relationship Id="rId3" Type="http://schemas.openxmlformats.org/officeDocument/2006/relationships/settings" Target="settings.xml"/><Relationship Id="rId7" Type="http://schemas.openxmlformats.org/officeDocument/2006/relationships/hyperlink" Target="mailto:leandri.zayas@uo.edu.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6188</Words>
  <Characters>34035</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40143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User</cp:lastModifiedBy>
  <cp:revision>2</cp:revision>
  <dcterms:created xsi:type="dcterms:W3CDTF">2021-10-15T17:08:00Z</dcterms:created>
  <dcterms:modified xsi:type="dcterms:W3CDTF">2021-10-15T17:08:00Z</dcterms:modified>
</cp:coreProperties>
</file>