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F2134" w14:textId="023A323C" w:rsidR="008A1C16" w:rsidRDefault="0077110E" w:rsidP="0077110E">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“HÁBITAT Y DESARROLLO COMUNITARIO SOSTENIBLE”</w:t>
      </w:r>
    </w:p>
    <w:p w14:paraId="63450669" w14:textId="77777777" w:rsidR="0077110E" w:rsidRDefault="0077110E" w:rsidP="0077110E">
      <w:pPr>
        <w:spacing w:after="0"/>
        <w:jc w:val="center"/>
        <w:rPr>
          <w:rFonts w:ascii="Times New Roman" w:hAnsi="Times New Roman" w:cs="Times New Roman"/>
          <w:b/>
          <w:sz w:val="28"/>
          <w:szCs w:val="28"/>
        </w:rPr>
      </w:pPr>
    </w:p>
    <w:p w14:paraId="1BC9A3AE" w14:textId="6A13D165" w:rsidR="00E912D0" w:rsidRPr="0077110E" w:rsidRDefault="0077110E" w:rsidP="0077110E">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w:t>
      </w:r>
      <w:r>
        <w:rPr>
          <w:rFonts w:ascii="Times New Roman" w:hAnsi="Times New Roman" w:cs="Times New Roman"/>
          <w:b/>
          <w:sz w:val="28"/>
          <w:szCs w:val="28"/>
        </w:rPr>
        <w:t>o</w:t>
      </w:r>
    </w:p>
    <w:p w14:paraId="2199113F" w14:textId="1C75216A" w:rsidR="008A1C16" w:rsidRPr="009D5E02" w:rsidRDefault="004B1893" w:rsidP="00667F10">
      <w:pPr>
        <w:spacing w:after="0"/>
        <w:jc w:val="center"/>
        <w:rPr>
          <w:rFonts w:ascii="Times New Roman" w:hAnsi="Times New Roman" w:cs="Times New Roman"/>
          <w:b/>
          <w:sz w:val="28"/>
          <w:szCs w:val="28"/>
        </w:rPr>
      </w:pPr>
      <w:r>
        <w:rPr>
          <w:rFonts w:ascii="Times New Roman" w:hAnsi="Times New Roman" w:cs="Times New Roman"/>
          <w:b/>
          <w:sz w:val="28"/>
          <w:szCs w:val="28"/>
        </w:rPr>
        <w:t>Resiliencia multidimensional para la adaptación al cambio climático. Propuesta conceptual</w:t>
      </w:r>
    </w:p>
    <w:p w14:paraId="4E58A186" w14:textId="77777777" w:rsidR="00E912D0" w:rsidRDefault="00E912D0" w:rsidP="00667F10">
      <w:pPr>
        <w:spacing w:after="0"/>
        <w:jc w:val="center"/>
        <w:rPr>
          <w:rFonts w:ascii="Times New Roman" w:hAnsi="Times New Roman" w:cs="Times New Roman"/>
          <w:b/>
          <w:i/>
          <w:sz w:val="24"/>
          <w:szCs w:val="24"/>
        </w:rPr>
      </w:pPr>
    </w:p>
    <w:p w14:paraId="59667BE6" w14:textId="77A76503" w:rsidR="009D5E02" w:rsidRDefault="00214296" w:rsidP="0077110E">
      <w:pPr>
        <w:spacing w:after="0"/>
        <w:jc w:val="center"/>
        <w:rPr>
          <w:rFonts w:ascii="Times New Roman" w:hAnsi="Times New Roman" w:cs="Times New Roman"/>
          <w:b/>
          <w:i/>
          <w:sz w:val="28"/>
          <w:szCs w:val="28"/>
        </w:rPr>
      </w:pPr>
      <w:r w:rsidRPr="0077110E">
        <w:rPr>
          <w:rFonts w:ascii="Times New Roman" w:hAnsi="Times New Roman" w:cs="Times New Roman"/>
          <w:b/>
          <w:i/>
          <w:sz w:val="28"/>
          <w:szCs w:val="28"/>
          <w:lang w:val="es-US"/>
        </w:rPr>
        <w:t xml:space="preserve">Multidimensional </w:t>
      </w:r>
      <w:proofErr w:type="spellStart"/>
      <w:r w:rsidRPr="008E00C7">
        <w:rPr>
          <w:rFonts w:ascii="Times New Roman" w:hAnsi="Times New Roman" w:cs="Times New Roman"/>
          <w:b/>
          <w:i/>
          <w:sz w:val="28"/>
          <w:szCs w:val="28"/>
          <w:lang w:val="es-US"/>
        </w:rPr>
        <w:t>resilience</w:t>
      </w:r>
      <w:proofErr w:type="spellEnd"/>
      <w:r w:rsidRPr="008E00C7">
        <w:rPr>
          <w:rFonts w:ascii="Times New Roman" w:hAnsi="Times New Roman" w:cs="Times New Roman"/>
          <w:b/>
          <w:i/>
          <w:sz w:val="28"/>
          <w:szCs w:val="28"/>
          <w:lang w:val="es-US"/>
        </w:rPr>
        <w:t xml:space="preserve"> </w:t>
      </w:r>
      <w:proofErr w:type="spellStart"/>
      <w:r w:rsidRPr="008E00C7">
        <w:rPr>
          <w:rFonts w:ascii="Times New Roman" w:hAnsi="Times New Roman" w:cs="Times New Roman"/>
          <w:b/>
          <w:i/>
          <w:sz w:val="28"/>
          <w:szCs w:val="28"/>
          <w:lang w:val="es-US"/>
        </w:rPr>
        <w:t>for</w:t>
      </w:r>
      <w:proofErr w:type="spellEnd"/>
      <w:r w:rsidRPr="008E00C7">
        <w:rPr>
          <w:rFonts w:ascii="Times New Roman" w:hAnsi="Times New Roman" w:cs="Times New Roman"/>
          <w:b/>
          <w:i/>
          <w:sz w:val="28"/>
          <w:szCs w:val="28"/>
          <w:lang w:val="es-US"/>
        </w:rPr>
        <w:t xml:space="preserve"> </w:t>
      </w:r>
      <w:proofErr w:type="spellStart"/>
      <w:r w:rsidRPr="008E00C7">
        <w:rPr>
          <w:rFonts w:ascii="Times New Roman" w:hAnsi="Times New Roman" w:cs="Times New Roman"/>
          <w:b/>
          <w:i/>
          <w:sz w:val="28"/>
          <w:szCs w:val="28"/>
          <w:lang w:val="es-US"/>
        </w:rPr>
        <w:t>adaptation</w:t>
      </w:r>
      <w:proofErr w:type="spellEnd"/>
      <w:r w:rsidRPr="008E00C7">
        <w:rPr>
          <w:rFonts w:ascii="Times New Roman" w:hAnsi="Times New Roman" w:cs="Times New Roman"/>
          <w:b/>
          <w:i/>
          <w:sz w:val="28"/>
          <w:szCs w:val="28"/>
          <w:lang w:val="es-US"/>
        </w:rPr>
        <w:t xml:space="preserve"> </w:t>
      </w:r>
      <w:proofErr w:type="spellStart"/>
      <w:r w:rsidRPr="008E00C7">
        <w:rPr>
          <w:rFonts w:ascii="Times New Roman" w:hAnsi="Times New Roman" w:cs="Times New Roman"/>
          <w:b/>
          <w:i/>
          <w:sz w:val="28"/>
          <w:szCs w:val="28"/>
          <w:lang w:val="es-US"/>
        </w:rPr>
        <w:t>to</w:t>
      </w:r>
      <w:proofErr w:type="spellEnd"/>
      <w:r w:rsidRPr="008E00C7">
        <w:rPr>
          <w:rFonts w:ascii="Times New Roman" w:hAnsi="Times New Roman" w:cs="Times New Roman"/>
          <w:b/>
          <w:i/>
          <w:sz w:val="28"/>
          <w:szCs w:val="28"/>
          <w:lang w:val="es-US"/>
        </w:rPr>
        <w:t xml:space="preserve"> </w:t>
      </w:r>
      <w:proofErr w:type="spellStart"/>
      <w:r w:rsidRPr="008E00C7">
        <w:rPr>
          <w:rFonts w:ascii="Times New Roman" w:hAnsi="Times New Roman" w:cs="Times New Roman"/>
          <w:b/>
          <w:i/>
          <w:sz w:val="28"/>
          <w:szCs w:val="28"/>
          <w:lang w:val="es-US"/>
        </w:rPr>
        <w:t>climate</w:t>
      </w:r>
      <w:proofErr w:type="spellEnd"/>
      <w:r w:rsidRPr="008E00C7">
        <w:rPr>
          <w:rFonts w:ascii="Times New Roman" w:hAnsi="Times New Roman" w:cs="Times New Roman"/>
          <w:b/>
          <w:i/>
          <w:sz w:val="28"/>
          <w:szCs w:val="28"/>
          <w:lang w:val="es-US"/>
        </w:rPr>
        <w:t xml:space="preserve"> </w:t>
      </w:r>
      <w:proofErr w:type="spellStart"/>
      <w:r w:rsidRPr="008E00C7">
        <w:rPr>
          <w:rFonts w:ascii="Times New Roman" w:hAnsi="Times New Roman" w:cs="Times New Roman"/>
          <w:b/>
          <w:i/>
          <w:sz w:val="28"/>
          <w:szCs w:val="28"/>
          <w:lang w:val="es-US"/>
        </w:rPr>
        <w:t>change</w:t>
      </w:r>
      <w:proofErr w:type="spellEnd"/>
      <w:r w:rsidRPr="0077110E">
        <w:rPr>
          <w:rFonts w:ascii="Times New Roman" w:hAnsi="Times New Roman" w:cs="Times New Roman"/>
          <w:b/>
          <w:i/>
          <w:sz w:val="28"/>
          <w:szCs w:val="28"/>
          <w:lang w:val="es-US"/>
        </w:rPr>
        <w:t xml:space="preserve">. </w:t>
      </w:r>
      <w:r w:rsidRPr="00214296">
        <w:rPr>
          <w:rFonts w:ascii="Times New Roman" w:hAnsi="Times New Roman" w:cs="Times New Roman"/>
          <w:b/>
          <w:i/>
          <w:sz w:val="28"/>
          <w:szCs w:val="28"/>
        </w:rPr>
        <w:t xml:space="preserve">Conceptual proposal </w:t>
      </w:r>
    </w:p>
    <w:p w14:paraId="6BDB0C2A" w14:textId="4D6E8CA3" w:rsidR="0077110E" w:rsidRDefault="0077110E" w:rsidP="0077110E">
      <w:pPr>
        <w:spacing w:after="0"/>
        <w:jc w:val="center"/>
        <w:rPr>
          <w:rFonts w:ascii="Times New Roman" w:hAnsi="Times New Roman" w:cs="Times New Roman"/>
          <w:b/>
          <w:i/>
          <w:sz w:val="28"/>
          <w:szCs w:val="28"/>
        </w:rPr>
      </w:pPr>
    </w:p>
    <w:p w14:paraId="251619EA" w14:textId="14D88E51" w:rsidR="0077110E" w:rsidRPr="0077110E" w:rsidRDefault="0077110E" w:rsidP="0077110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Autores:</w:t>
      </w:r>
      <w:r w:rsidRPr="009061A5">
        <w:rPr>
          <w:rFonts w:ascii="Times New Roman" w:hAnsi="Times New Roman" w:cs="Times New Roman"/>
          <w:sz w:val="24"/>
          <w:szCs w:val="24"/>
        </w:rPr>
        <w:t xml:space="preserve"> </w:t>
      </w:r>
    </w:p>
    <w:p w14:paraId="4BABFDFF" w14:textId="0DB41864"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B573B9">
        <w:rPr>
          <w:rFonts w:ascii="Times New Roman" w:hAnsi="Times New Roman" w:cs="Times New Roman"/>
          <w:sz w:val="24"/>
          <w:szCs w:val="24"/>
        </w:rPr>
        <w:t>Roberto José Castro Castelo</w:t>
      </w:r>
      <w:r w:rsidRPr="00E912D0">
        <w:rPr>
          <w:rFonts w:ascii="Times New Roman" w:hAnsi="Times New Roman" w:cs="Times New Roman"/>
          <w:sz w:val="24"/>
          <w:szCs w:val="24"/>
        </w:rPr>
        <w:t xml:space="preserve">. </w:t>
      </w:r>
      <w:r w:rsidR="00B573B9" w:rsidRPr="00B573B9">
        <w:rPr>
          <w:rFonts w:ascii="Times New Roman" w:hAnsi="Times New Roman" w:cs="Times New Roman"/>
          <w:sz w:val="24"/>
          <w:szCs w:val="24"/>
        </w:rPr>
        <w:t>Universidad Central “Marta Abreu” de Las Villas, Cuba</w:t>
      </w:r>
      <w:r w:rsidRPr="00E912D0">
        <w:rPr>
          <w:rFonts w:ascii="Times New Roman" w:hAnsi="Times New Roman" w:cs="Times New Roman"/>
          <w:sz w:val="24"/>
          <w:szCs w:val="24"/>
        </w:rPr>
        <w:t>. E-mail:</w:t>
      </w:r>
      <w:r w:rsidR="00B573B9">
        <w:rPr>
          <w:rFonts w:ascii="Times New Roman" w:hAnsi="Times New Roman" w:cs="Times New Roman"/>
          <w:sz w:val="24"/>
          <w:szCs w:val="24"/>
        </w:rPr>
        <w:t xml:space="preserve"> </w:t>
      </w:r>
      <w:hyperlink r:id="rId8" w:history="1">
        <w:r w:rsidR="00B573B9" w:rsidRPr="00316787">
          <w:rPr>
            <w:rStyle w:val="Hipervnculo"/>
            <w:rFonts w:ascii="Times New Roman" w:hAnsi="Times New Roman" w:cs="Times New Roman"/>
            <w:sz w:val="24"/>
            <w:szCs w:val="24"/>
          </w:rPr>
          <w:t>rcastro@uclv.cu</w:t>
        </w:r>
      </w:hyperlink>
    </w:p>
    <w:p w14:paraId="37B930AD" w14:textId="62A010E2" w:rsidR="00E912D0" w:rsidRDefault="00E912D0" w:rsidP="00FF3346">
      <w:pPr>
        <w:spacing w:after="0" w:line="360" w:lineRule="auto"/>
        <w:rPr>
          <w:rStyle w:val="Hipervnculo"/>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B573B9" w:rsidRPr="00B573B9">
        <w:rPr>
          <w:rFonts w:ascii="Times New Roman" w:hAnsi="Times New Roman" w:cs="Times New Roman"/>
          <w:sz w:val="24"/>
          <w:szCs w:val="24"/>
        </w:rPr>
        <w:t xml:space="preserve">Gonzalo González Camacho. Universidad Central “Marta Abreu” de Las Villas, Cuba. E-mail: </w:t>
      </w:r>
      <w:hyperlink r:id="rId9" w:history="1">
        <w:r w:rsidR="00B573B9" w:rsidRPr="00316787">
          <w:rPr>
            <w:rStyle w:val="Hipervnculo"/>
            <w:rFonts w:ascii="Times New Roman" w:hAnsi="Times New Roman" w:cs="Times New Roman"/>
            <w:sz w:val="24"/>
            <w:szCs w:val="24"/>
          </w:rPr>
          <w:t>ggcamacho@uclv.edu.cu</w:t>
        </w:r>
      </w:hyperlink>
    </w:p>
    <w:p w14:paraId="31B4943B" w14:textId="77777777" w:rsidR="0077110E" w:rsidRPr="0077110E" w:rsidRDefault="0077110E" w:rsidP="00FF3346">
      <w:pPr>
        <w:spacing w:after="0" w:line="360" w:lineRule="auto"/>
        <w:rPr>
          <w:rFonts w:ascii="Times New Roman" w:hAnsi="Times New Roman" w:cs="Times New Roman"/>
          <w:sz w:val="24"/>
          <w:szCs w:val="24"/>
        </w:rPr>
      </w:pPr>
    </w:p>
    <w:p w14:paraId="675DADAB" w14:textId="5E62DE40" w:rsidR="00B573B9" w:rsidRDefault="008A1C16" w:rsidP="004B1893">
      <w:pPr>
        <w:spacing w:after="0" w:line="360" w:lineRule="auto"/>
        <w:jc w:val="both"/>
        <w:rPr>
          <w:rFonts w:ascii="Times New Roman" w:hAnsi="Times New Roman" w:cs="Times New Roman"/>
          <w:sz w:val="24"/>
          <w:szCs w:val="24"/>
        </w:rPr>
      </w:pPr>
      <w:bookmarkStart w:id="0" w:name="_Hlk82554161"/>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bookmarkEnd w:id="0"/>
    <w:p w14:paraId="07CD1B61" w14:textId="52D88122" w:rsidR="0077110E" w:rsidRDefault="004B1893" w:rsidP="00FF3346">
      <w:pPr>
        <w:spacing w:after="0" w:line="360" w:lineRule="auto"/>
        <w:jc w:val="both"/>
        <w:rPr>
          <w:rFonts w:ascii="Times New Roman" w:hAnsi="Times New Roman" w:cs="Times New Roman"/>
          <w:sz w:val="24"/>
          <w:szCs w:val="24"/>
        </w:rPr>
      </w:pPr>
      <w:r w:rsidRPr="004B1893">
        <w:rPr>
          <w:rFonts w:ascii="Times New Roman" w:hAnsi="Times New Roman" w:cs="Times New Roman"/>
          <w:sz w:val="24"/>
          <w:szCs w:val="24"/>
        </w:rPr>
        <w:t xml:space="preserve">El cambio climático antropogénico, es el mayor reto que enfrenta la humanidad en la actualidad. En este contexto, se sitúa la resiliencia como una línea estratégica en la adaptación, respaldada por la comunidad científica y la institucionalidad. La relación de la resiliencia con el cambio climático es relativamente reciente, y puede ser considerada como un concepto unificador entre el planeamiento urbano y la adaptación. Esta relación de alta complejidad motiva la presente ponencia que propone el análisis de </w:t>
      </w:r>
      <w:bookmarkStart w:id="1" w:name="_Hlk82555063"/>
      <w:r w:rsidRPr="004B1893">
        <w:rPr>
          <w:rFonts w:ascii="Times New Roman" w:hAnsi="Times New Roman" w:cs="Times New Roman"/>
          <w:sz w:val="24"/>
          <w:szCs w:val="24"/>
        </w:rPr>
        <w:t>un enfoque multidimensional de la resiliencia para el desarrollo de estrategias de adaptación de las comunidades costeras cubanas</w:t>
      </w:r>
      <w:bookmarkEnd w:id="1"/>
      <w:r w:rsidRPr="004B1893">
        <w:rPr>
          <w:rFonts w:ascii="Times New Roman" w:hAnsi="Times New Roman" w:cs="Times New Roman"/>
          <w:sz w:val="24"/>
          <w:szCs w:val="24"/>
        </w:rPr>
        <w:t>.</w:t>
      </w:r>
      <w:r w:rsidR="00124DB9">
        <w:rPr>
          <w:rFonts w:ascii="Times New Roman" w:hAnsi="Times New Roman" w:cs="Times New Roman"/>
          <w:sz w:val="24"/>
          <w:szCs w:val="24"/>
        </w:rPr>
        <w:t xml:space="preserve"> Se emplean métodos </w:t>
      </w:r>
      <w:r w:rsidR="00214296">
        <w:rPr>
          <w:rFonts w:ascii="Times New Roman" w:hAnsi="Times New Roman" w:cs="Times New Roman"/>
          <w:sz w:val="24"/>
          <w:szCs w:val="24"/>
        </w:rPr>
        <w:t xml:space="preserve">analítico-sintético de </w:t>
      </w:r>
      <w:r w:rsidR="00124DB9">
        <w:rPr>
          <w:rFonts w:ascii="Times New Roman" w:hAnsi="Times New Roman" w:cs="Times New Roman"/>
          <w:sz w:val="24"/>
          <w:szCs w:val="24"/>
        </w:rPr>
        <w:t xml:space="preserve">investigación documental para establecer un marco teórico que relacione la problemática de estudio con el contexto cubano. Como resultado se </w:t>
      </w:r>
      <w:r w:rsidR="006B5925">
        <w:rPr>
          <w:rFonts w:ascii="Times New Roman" w:hAnsi="Times New Roman" w:cs="Times New Roman"/>
          <w:sz w:val="24"/>
          <w:szCs w:val="24"/>
        </w:rPr>
        <w:t>identifican</w:t>
      </w:r>
      <w:r w:rsidR="00B573B9">
        <w:rPr>
          <w:rFonts w:ascii="Times New Roman" w:hAnsi="Times New Roman" w:cs="Times New Roman"/>
          <w:sz w:val="24"/>
          <w:szCs w:val="24"/>
        </w:rPr>
        <w:t xml:space="preserve"> cinco dimensiones de la resiliencia, </w:t>
      </w:r>
      <w:r w:rsidR="00226383">
        <w:rPr>
          <w:rFonts w:ascii="Times New Roman" w:hAnsi="Times New Roman" w:cs="Times New Roman"/>
          <w:sz w:val="24"/>
          <w:szCs w:val="24"/>
        </w:rPr>
        <w:t>junto a</w:t>
      </w:r>
      <w:r w:rsidR="00B573B9">
        <w:rPr>
          <w:rFonts w:ascii="Times New Roman" w:hAnsi="Times New Roman" w:cs="Times New Roman"/>
          <w:sz w:val="24"/>
          <w:szCs w:val="24"/>
        </w:rPr>
        <w:t xml:space="preserve"> dieciocho criterios que profundizan en el funcionamiento de cada dimensión. </w:t>
      </w:r>
      <w:r w:rsidR="006B5925">
        <w:rPr>
          <w:rFonts w:ascii="Times New Roman" w:hAnsi="Times New Roman" w:cs="Times New Roman"/>
          <w:sz w:val="24"/>
          <w:szCs w:val="24"/>
        </w:rPr>
        <w:t>La ponencia concluye destacando</w:t>
      </w:r>
      <w:r w:rsidR="00226383">
        <w:rPr>
          <w:rFonts w:ascii="Times New Roman" w:hAnsi="Times New Roman" w:cs="Times New Roman"/>
          <w:sz w:val="24"/>
          <w:szCs w:val="24"/>
        </w:rPr>
        <w:t xml:space="preserve"> los vínculos </w:t>
      </w:r>
      <w:r w:rsidR="00B573B9" w:rsidRPr="00B573B9">
        <w:rPr>
          <w:rFonts w:ascii="Times New Roman" w:hAnsi="Times New Roman" w:cs="Times New Roman"/>
          <w:sz w:val="24"/>
          <w:szCs w:val="24"/>
        </w:rPr>
        <w:t>entre las dimensiones de la resiliencia</w:t>
      </w:r>
      <w:r w:rsidR="00226383">
        <w:rPr>
          <w:rFonts w:ascii="Times New Roman" w:hAnsi="Times New Roman" w:cs="Times New Roman"/>
          <w:sz w:val="24"/>
          <w:szCs w:val="24"/>
        </w:rPr>
        <w:t xml:space="preserve"> de manera específica en cada caso de estudio</w:t>
      </w:r>
      <w:r w:rsidR="00B573B9" w:rsidRPr="00B573B9">
        <w:rPr>
          <w:rFonts w:ascii="Times New Roman" w:hAnsi="Times New Roman" w:cs="Times New Roman"/>
          <w:sz w:val="24"/>
          <w:szCs w:val="24"/>
        </w:rPr>
        <w:t xml:space="preserve">. </w:t>
      </w:r>
      <w:r w:rsidR="006B5925">
        <w:rPr>
          <w:rFonts w:ascii="Times New Roman" w:hAnsi="Times New Roman" w:cs="Times New Roman"/>
          <w:sz w:val="24"/>
          <w:szCs w:val="24"/>
        </w:rPr>
        <w:t>Este enfoque ratifica la</w:t>
      </w:r>
      <w:r w:rsidR="00B573B9" w:rsidRPr="00B573B9">
        <w:rPr>
          <w:rFonts w:ascii="Times New Roman" w:hAnsi="Times New Roman" w:cs="Times New Roman"/>
          <w:sz w:val="24"/>
          <w:szCs w:val="24"/>
        </w:rPr>
        <w:t xml:space="preserve"> resiliencia </w:t>
      </w:r>
      <w:r w:rsidR="006B5925">
        <w:rPr>
          <w:rFonts w:ascii="Times New Roman" w:hAnsi="Times New Roman" w:cs="Times New Roman"/>
          <w:sz w:val="24"/>
          <w:szCs w:val="24"/>
        </w:rPr>
        <w:t xml:space="preserve">como </w:t>
      </w:r>
      <w:r w:rsidR="00B573B9" w:rsidRPr="00B573B9">
        <w:rPr>
          <w:rFonts w:ascii="Times New Roman" w:hAnsi="Times New Roman" w:cs="Times New Roman"/>
          <w:sz w:val="24"/>
          <w:szCs w:val="24"/>
        </w:rPr>
        <w:t xml:space="preserve">el proceso de adaptación exitoso que emana de la acción colectiva de gobiernos, empresas, organizaciones de la sociedad civil y comunidades e individuos </w:t>
      </w:r>
      <w:r w:rsidR="006B5925">
        <w:rPr>
          <w:rFonts w:ascii="Times New Roman" w:hAnsi="Times New Roman" w:cs="Times New Roman"/>
          <w:sz w:val="24"/>
          <w:szCs w:val="24"/>
        </w:rPr>
        <w:t>que desarrollen</w:t>
      </w:r>
      <w:r w:rsidR="00B573B9" w:rsidRPr="00B573B9">
        <w:rPr>
          <w:rFonts w:ascii="Times New Roman" w:hAnsi="Times New Roman" w:cs="Times New Roman"/>
          <w:sz w:val="24"/>
          <w:szCs w:val="24"/>
        </w:rPr>
        <w:t xml:space="preserve"> fuertes capacidades adaptativas.</w:t>
      </w:r>
    </w:p>
    <w:p w14:paraId="6CAC6C9B" w14:textId="30753142" w:rsidR="009061A5" w:rsidRPr="00214296" w:rsidRDefault="009061A5" w:rsidP="00FF3346">
      <w:pPr>
        <w:spacing w:after="0" w:line="360" w:lineRule="auto"/>
        <w:jc w:val="both"/>
        <w:rPr>
          <w:rFonts w:ascii="Times New Roman" w:hAnsi="Times New Roman" w:cs="Times New Roman"/>
          <w:sz w:val="24"/>
          <w:szCs w:val="24"/>
          <w:lang w:val="en-US"/>
        </w:rPr>
      </w:pPr>
      <w:r w:rsidRPr="00214296">
        <w:rPr>
          <w:rFonts w:ascii="Times New Roman" w:hAnsi="Times New Roman" w:cs="Times New Roman"/>
          <w:b/>
          <w:i/>
          <w:sz w:val="24"/>
          <w:szCs w:val="24"/>
          <w:lang w:val="en-US"/>
        </w:rPr>
        <w:lastRenderedPageBreak/>
        <w:t>Abstract:</w:t>
      </w:r>
      <w:r w:rsidRPr="00214296">
        <w:rPr>
          <w:rFonts w:ascii="Times New Roman" w:hAnsi="Times New Roman" w:cs="Times New Roman"/>
          <w:sz w:val="24"/>
          <w:szCs w:val="24"/>
          <w:lang w:val="en-US"/>
        </w:rPr>
        <w:t xml:space="preserve"> </w:t>
      </w:r>
      <w:r w:rsidR="00214296" w:rsidRPr="00214296">
        <w:rPr>
          <w:rFonts w:ascii="Times New Roman" w:hAnsi="Times New Roman" w:cs="Times New Roman"/>
          <w:sz w:val="24"/>
          <w:szCs w:val="24"/>
          <w:lang w:val="en-US"/>
        </w:rPr>
        <w:t>Anthropogenic climate change is the greatest challenge facing humanity today. In this context, resilience is situated as a strategic line in adaptation, supported by the scientific community and the institutions. The relationship of resilience to climate change is relatively recent, and can be considered as a unifying concept between urban planning and adaptation. This highly complex relationship motivates this paper that proposes the analysis of a multidimensional approach to resilience for the development of adaptation strategies of Cuban coastal communities. Analytical-synthetic methods of documentary research are used to establish a theoretical framework that relates the study problem with the Cuban context. As a result, five dimensions of resilience are identified, along with eighteen criteria that delve into the functioning of each dimension. The presentation concludes by highlighting the links between the dimensions of resilience in a specific way in each case study. This approach confirms resilience as the successful adaptation process that emanates from the collective action of governments, companies, civil society organizations, and communities and individuals that develop strong adaptive capacities.</w:t>
      </w:r>
    </w:p>
    <w:p w14:paraId="2DCF6F2B" w14:textId="1E0634EF"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6B5925">
        <w:rPr>
          <w:rFonts w:ascii="Times New Roman" w:hAnsi="Times New Roman" w:cs="Times New Roman"/>
          <w:sz w:val="24"/>
          <w:szCs w:val="24"/>
        </w:rPr>
        <w:t>Cambio Climático; Adaptación; Resiliencia; Dimensiones; Cuba.</w:t>
      </w:r>
    </w:p>
    <w:p w14:paraId="4CD99A2E" w14:textId="79A63B9C" w:rsidR="00A21A1F" w:rsidRDefault="009061A5" w:rsidP="00FF3346">
      <w:pPr>
        <w:spacing w:after="0" w:line="360" w:lineRule="auto"/>
        <w:jc w:val="both"/>
        <w:rPr>
          <w:rFonts w:ascii="Times New Roman" w:hAnsi="Times New Roman" w:cs="Times New Roman"/>
          <w:sz w:val="24"/>
          <w:szCs w:val="24"/>
          <w:lang w:val="en-US"/>
        </w:rPr>
      </w:pPr>
      <w:r w:rsidRPr="00214296">
        <w:rPr>
          <w:rFonts w:ascii="Times New Roman" w:hAnsi="Times New Roman" w:cs="Times New Roman"/>
          <w:b/>
          <w:i/>
          <w:sz w:val="24"/>
          <w:szCs w:val="24"/>
          <w:lang w:val="en-US"/>
        </w:rPr>
        <w:t>Keywords:</w:t>
      </w:r>
      <w:r w:rsidRPr="00214296">
        <w:rPr>
          <w:rFonts w:ascii="Times New Roman" w:hAnsi="Times New Roman" w:cs="Times New Roman"/>
          <w:sz w:val="24"/>
          <w:szCs w:val="24"/>
          <w:lang w:val="en-US"/>
        </w:rPr>
        <w:t xml:space="preserve"> </w:t>
      </w:r>
      <w:r w:rsidR="00214296" w:rsidRPr="00214296">
        <w:rPr>
          <w:rFonts w:ascii="Times New Roman" w:hAnsi="Times New Roman" w:cs="Times New Roman"/>
          <w:sz w:val="24"/>
          <w:szCs w:val="24"/>
          <w:lang w:val="en-US"/>
        </w:rPr>
        <w:t>Climate change; Adaptation; Resilience; Dimensions; Cuba.</w:t>
      </w:r>
    </w:p>
    <w:p w14:paraId="7949C9BA" w14:textId="77777777" w:rsidR="00214296" w:rsidRPr="00214296" w:rsidRDefault="00214296" w:rsidP="00FF3346">
      <w:pPr>
        <w:spacing w:after="0" w:line="360" w:lineRule="auto"/>
        <w:jc w:val="both"/>
        <w:rPr>
          <w:rFonts w:ascii="Times New Roman" w:hAnsi="Times New Roman" w:cs="Times New Roman"/>
          <w:sz w:val="24"/>
          <w:szCs w:val="24"/>
          <w:lang w:val="en-US"/>
        </w:rPr>
      </w:pPr>
    </w:p>
    <w:p w14:paraId="52FCA2B0"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5437A867" w14:textId="03D0F658" w:rsidR="0077110E" w:rsidRPr="0077110E" w:rsidRDefault="0077110E" w:rsidP="0077110E">
      <w:pPr>
        <w:spacing w:after="0" w:line="360" w:lineRule="auto"/>
        <w:jc w:val="both"/>
        <w:rPr>
          <w:rFonts w:ascii="Times New Roman" w:hAnsi="Times New Roman" w:cs="Times New Roman"/>
          <w:sz w:val="24"/>
          <w:szCs w:val="24"/>
        </w:rPr>
      </w:pPr>
      <w:r w:rsidRPr="0077110E">
        <w:rPr>
          <w:rFonts w:ascii="Times New Roman" w:hAnsi="Times New Roman" w:cs="Times New Roman"/>
          <w:sz w:val="24"/>
          <w:szCs w:val="24"/>
        </w:rPr>
        <w:t xml:space="preserve">Las modificaciones en el comportamiento climático global, provocadas por la actividad humana, evidencian el cambio climático contemporáneo y sus efectos implican el aumento de gases de efecto invernadero en la atmósfera, de la temperatura, cambios en la composición química de los océanos, en la criosfera terrestre y subida del nivel medio del mar. Estos efectos generan amenazas a los ecosistemas naturales, y en paralelo al hábitat humano, puntos críticos de vulnerabilidad a inundaciones, olas de calor y otros riesgos que se espera que el cambio climático intensifique. Estos riesgos dependen de la magnitud y la velocidad del calentamiento, la ubicación geográfica, los niveles de desarrollo y vulnerabilidad, y de las opciones e implementación de las alternativas de adaptación y mitigación </w:t>
      </w:r>
      <w:r w:rsidR="00E21C7A">
        <w:rPr>
          <w:rFonts w:ascii="Times New Roman" w:hAnsi="Times New Roman" w:cs="Times New Roman"/>
          <w:sz w:val="24"/>
          <w:szCs w:val="24"/>
        </w:rPr>
        <w:fldChar w:fldCharType="begin" w:fldLock="1"/>
      </w:r>
      <w:r w:rsidR="00E21C7A">
        <w:rPr>
          <w:rFonts w:ascii="Times New Roman" w:hAnsi="Times New Roman" w:cs="Times New Roman"/>
          <w:sz w:val="24"/>
          <w:szCs w:val="24"/>
        </w:rPr>
        <w:instrText>ADDIN CSL_CITATION {"citationItems":[{"id":"ITEM-1","itemData":{"DOI":"10.1002/9780470996621.ch50","ISBN":"9780470996621","author":[{"dropping-particle":"","family":"Intergovernmental Panel on Climate Change","given":"IPCC","non-dropping-particle":"","parse-names":false,"suffix":""}],"container-title":"A Companion to Applied Ethics","id":"ITEM-1","issued":{"date-parts":[["2019"]]},"number-of-pages":"674-684","title":"Global Warming of 1.5°C.","type":"report"},"uris":["http://www.mendeley.com/documents/?uuid=7311a6a9-e7cc-4320-9115-bc6adea90ea6"]}],"mendeley":{"formattedCitation":"(Intergovernmental Panel on Climate Change, 2019)","plainTextFormattedCitation":"(Intergovernmental Panel on Climate Change, 2019)","previouslyFormattedCitation":"(Intergovernmental Panel on Climate Change, 2019)"},"properties":{"noteIndex":0},"schema":"https://github.com/citation-style-language/schema/raw/master/csl-citation.json"}</w:instrText>
      </w:r>
      <w:r w:rsidR="00E21C7A">
        <w:rPr>
          <w:rFonts w:ascii="Times New Roman" w:hAnsi="Times New Roman" w:cs="Times New Roman"/>
          <w:sz w:val="24"/>
          <w:szCs w:val="24"/>
        </w:rPr>
        <w:fldChar w:fldCharType="separate"/>
      </w:r>
      <w:r w:rsidR="00E21C7A" w:rsidRPr="00E21C7A">
        <w:rPr>
          <w:rFonts w:ascii="Times New Roman" w:hAnsi="Times New Roman" w:cs="Times New Roman"/>
          <w:noProof/>
          <w:sz w:val="24"/>
          <w:szCs w:val="24"/>
        </w:rPr>
        <w:t>(Intergovernmental Panel on Climate Change, 2019)</w:t>
      </w:r>
      <w:r w:rsidR="00E21C7A">
        <w:rPr>
          <w:rFonts w:ascii="Times New Roman" w:hAnsi="Times New Roman" w:cs="Times New Roman"/>
          <w:sz w:val="24"/>
          <w:szCs w:val="24"/>
        </w:rPr>
        <w:fldChar w:fldCharType="end"/>
      </w:r>
      <w:r w:rsidR="00E21C7A">
        <w:rPr>
          <w:rFonts w:ascii="Times New Roman" w:hAnsi="Times New Roman" w:cs="Times New Roman"/>
          <w:sz w:val="24"/>
          <w:szCs w:val="24"/>
        </w:rPr>
        <w:t>.</w:t>
      </w:r>
    </w:p>
    <w:p w14:paraId="764448F0" w14:textId="65A22202" w:rsidR="0077110E" w:rsidRPr="0077110E" w:rsidRDefault="0077110E" w:rsidP="0077110E">
      <w:pPr>
        <w:spacing w:after="0" w:line="360" w:lineRule="auto"/>
        <w:jc w:val="both"/>
        <w:rPr>
          <w:rFonts w:ascii="Times New Roman" w:hAnsi="Times New Roman" w:cs="Times New Roman"/>
          <w:sz w:val="24"/>
          <w:szCs w:val="24"/>
        </w:rPr>
      </w:pPr>
      <w:r w:rsidRPr="0077110E">
        <w:rPr>
          <w:rFonts w:ascii="Times New Roman" w:hAnsi="Times New Roman" w:cs="Times New Roman"/>
          <w:sz w:val="24"/>
          <w:szCs w:val="24"/>
        </w:rPr>
        <w:t xml:space="preserve">La tendencia global es que se exacerben los niveles de exposición al riesgo de poblaciones y bienes materiales respecto a lo que disminuye la vulnerabilidad </w:t>
      </w:r>
      <w:r w:rsidR="00E21C7A">
        <w:rPr>
          <w:rFonts w:ascii="Times New Roman" w:hAnsi="Times New Roman" w:cs="Times New Roman"/>
          <w:sz w:val="24"/>
          <w:szCs w:val="24"/>
        </w:rPr>
        <w:fldChar w:fldCharType="begin" w:fldLock="1"/>
      </w:r>
      <w:r w:rsidR="00E21C7A">
        <w:rPr>
          <w:rFonts w:ascii="Times New Roman" w:hAnsi="Times New Roman" w:cs="Times New Roman"/>
          <w:sz w:val="24"/>
          <w:szCs w:val="24"/>
        </w:rPr>
        <w:instrText>ADDIN CSL_CITATION {"citationItems":[{"id":"ITEM-1","itemData":{"author":[{"dropping-particle":"","family":"United Nations Office for Disaster Risk Reduction","given":"UNISDR","non-dropping-particle":"","parse-names":false,"suffix":""}],"id":"ITEM-1","issued":{"date-parts":[["2015"]]},"number-of-pages":"37","publisher":"UNISDR/GE/2015 - ICLUX EN5000 1st edition","publisher-place":"9-11 Rue de Varembé CH 1202, Geneva Switzerland","title":"Sendai Framework for Disaster Risk Reduction 2015 - 2030","type":"book"},"uris":["http://www.mendeley.com/documents/?uuid=9fb2a920-288b-4fa0-aa9f-6d5ec6f59bf7"]}],"mendeley":{"formattedCitation":"(United Nations Office for Disaster Risk Reduction, 2015)","plainTextFormattedCitation":"(United Nations Office for Disaster Risk Reduction, 2015)","previouslyFormattedCitation":"(United Nations Office for Disaster Risk Reduction, 2015)"},"properties":{"noteIndex":0},"schema":"https://github.com/citation-style-language/schema/raw/master/csl-citation.json"}</w:instrText>
      </w:r>
      <w:r w:rsidR="00E21C7A">
        <w:rPr>
          <w:rFonts w:ascii="Times New Roman" w:hAnsi="Times New Roman" w:cs="Times New Roman"/>
          <w:sz w:val="24"/>
          <w:szCs w:val="24"/>
        </w:rPr>
        <w:fldChar w:fldCharType="separate"/>
      </w:r>
      <w:r w:rsidR="00E21C7A" w:rsidRPr="00E21C7A">
        <w:rPr>
          <w:rFonts w:ascii="Times New Roman" w:hAnsi="Times New Roman" w:cs="Times New Roman"/>
          <w:noProof/>
          <w:sz w:val="24"/>
          <w:szCs w:val="24"/>
        </w:rPr>
        <w:t>(United Nations Office for Disaster Risk Reduction, 2015)</w:t>
      </w:r>
      <w:r w:rsidR="00E21C7A">
        <w:rPr>
          <w:rFonts w:ascii="Times New Roman" w:hAnsi="Times New Roman" w:cs="Times New Roman"/>
          <w:sz w:val="24"/>
          <w:szCs w:val="24"/>
        </w:rPr>
        <w:fldChar w:fldCharType="end"/>
      </w:r>
      <w:r w:rsidRPr="0077110E">
        <w:rPr>
          <w:rFonts w:ascii="Times New Roman" w:hAnsi="Times New Roman" w:cs="Times New Roman"/>
          <w:sz w:val="24"/>
          <w:szCs w:val="24"/>
        </w:rPr>
        <w:t xml:space="preserve">. Las políticas internacionales para </w:t>
      </w:r>
      <w:r w:rsidRPr="0077110E">
        <w:rPr>
          <w:rFonts w:ascii="Times New Roman" w:hAnsi="Times New Roman" w:cs="Times New Roman"/>
          <w:sz w:val="24"/>
          <w:szCs w:val="24"/>
        </w:rPr>
        <w:lastRenderedPageBreak/>
        <w:t>enfrentar los efectos del cambio climático incluyen estrategias de mitigación con resultados esperados a largo plazo, mientras que para actuar en el corto plazo se promueven medidas de adaptación.</w:t>
      </w:r>
    </w:p>
    <w:p w14:paraId="34AF1101" w14:textId="1795A2F1" w:rsidR="0077110E" w:rsidRDefault="0077110E" w:rsidP="0077110E">
      <w:pPr>
        <w:spacing w:after="0" w:line="360" w:lineRule="auto"/>
        <w:jc w:val="both"/>
        <w:rPr>
          <w:rFonts w:ascii="Times New Roman" w:hAnsi="Times New Roman" w:cs="Times New Roman"/>
          <w:sz w:val="24"/>
          <w:szCs w:val="24"/>
        </w:rPr>
      </w:pPr>
      <w:r w:rsidRPr="0077110E">
        <w:rPr>
          <w:rFonts w:ascii="Times New Roman" w:hAnsi="Times New Roman" w:cs="Times New Roman"/>
          <w:sz w:val="24"/>
          <w:szCs w:val="24"/>
        </w:rPr>
        <w:t>Para Cuba, pequeño estado insular del mar Caribe, el cambio climático influye en la exacerbación de los riesgos de tormentas de viento severas, inundaciones excesivas, olas de calor, déficit en fuentes de agua dulce, mayor peligro de pérdida de vidas y propiedades, daños a la infraestructura, la erosión, fatiga del metal y el hormigón infestados de sal. Las comunidades costeras, de menor desarrollo y mayores vulnerabilidades, son más propensas a los peligros relacionados con el clima, incluidos los ciclones tropicales y la pérdida de terreno por la subida del nivel medio del mar. La magnitud de las posibles afectaciones se ha estudiado científicamente, definiendo los marcos legales y políticas para su regulación; el Decreto Ley 212 y el “Plan de Estado para el enfrentamiento al cambio climático”, también conocido como “Tarea Vida”, son parte de ello. En ambos casos se enfatiza en la necesidad y obligatoriedad de no permitir el crecimiento y consolidación de los asentamientos costeros ubicados en zonas vulnerables. La implementación estricta de estas regulaciones supone contradicciones con factores sociales del hábitat local, donde existe dependencia económica y modos de vida vinculados al mar</w:t>
      </w:r>
      <w:r w:rsidR="00E21C7A">
        <w:rPr>
          <w:rFonts w:ascii="Times New Roman" w:hAnsi="Times New Roman" w:cs="Times New Roman"/>
          <w:sz w:val="24"/>
          <w:szCs w:val="24"/>
        </w:rPr>
        <w:t xml:space="preserve"> </w:t>
      </w:r>
      <w:r w:rsidR="00E21C7A">
        <w:rPr>
          <w:rFonts w:ascii="Times New Roman" w:hAnsi="Times New Roman" w:cs="Times New Roman"/>
          <w:sz w:val="24"/>
          <w:szCs w:val="24"/>
        </w:rPr>
        <w:fldChar w:fldCharType="begin" w:fldLock="1"/>
      </w:r>
      <w:r w:rsidR="007C1D35">
        <w:rPr>
          <w:rFonts w:ascii="Times New Roman" w:hAnsi="Times New Roman" w:cs="Times New Roman"/>
          <w:sz w:val="24"/>
          <w:szCs w:val="24"/>
        </w:rPr>
        <w:instrText>ADDIN CSL_CITATION {"citationItems":[{"id":"ITEM-1","itemData":{"abstract":"The effects of climate change and extreme weather events are a growing threat to coastal settlements in Cuba. This paper proposes to address the challenge of disaster risk management based on the integration of policies and their contextualized implementation. A case study in the town of Carahatas, is used to demonstrate the tensions on recovery and adaptation after Hurricane Irma of 2017 and its influence on sustainability. The results show niches of opportunity to avoid consolidating habitats in risky conditions, as well as aspiring to interventions such as resettlement with greater social and multidimensional involvement. It emphasizes the search for alternatives that promote quality of life and resilience in safety.","author":[{"dropping-particle":"","family":"González","given":"Gonzalo","non-dropping-particle":"","parse-names":false,"suffix":""},{"dropping-particle":"","family":"Olivera","given":"Andrés","non-dropping-particle":"","parse-names":false,"suffix":""},{"dropping-particle":"","family":"Pando","given":"Daniela","non-dropping-particle":"","parse-names":false,"suffix":""},{"dropping-particle":"","family":"Martínez","given":"Gabriela","non-dropping-particle":"","parse-names":false,"suffix":""},{"dropping-particle":"","family":"Castro","given":"Roberto","non-dropping-particle":"","parse-names":false,"suffix":""}],"container-title":"Arquitectura y Urbanismo","id":"ITEM-1","issue":"2","issued":{"date-parts":[["2020"]]},"page":"5-16","title":"El desafío de la gestión del riesgo de desastre en la sostenibilidad de asentamientos costeros","type":"article-journal","volume":"41"},"uris":["http://www.mendeley.com/documents/?uuid=0ab72fd5-e40c-4cd8-b8db-1bea26070775"]}],"mendeley":{"formattedCitation":"(González et al., 2020)","plainTextFormattedCitation":"(González et al., 2020)","previouslyFormattedCitation":"(González et al., 2020)"},"properties":{"noteIndex":0},"schema":"https://github.com/citation-style-language/schema/raw/master/csl-citation.json"}</w:instrText>
      </w:r>
      <w:r w:rsidR="00E21C7A">
        <w:rPr>
          <w:rFonts w:ascii="Times New Roman" w:hAnsi="Times New Roman" w:cs="Times New Roman"/>
          <w:sz w:val="24"/>
          <w:szCs w:val="24"/>
        </w:rPr>
        <w:fldChar w:fldCharType="separate"/>
      </w:r>
      <w:r w:rsidR="00E21C7A" w:rsidRPr="00E21C7A">
        <w:rPr>
          <w:rFonts w:ascii="Times New Roman" w:hAnsi="Times New Roman" w:cs="Times New Roman"/>
          <w:noProof/>
          <w:sz w:val="24"/>
          <w:szCs w:val="24"/>
        </w:rPr>
        <w:t>(González et al., 2020)</w:t>
      </w:r>
      <w:r w:rsidR="00E21C7A">
        <w:rPr>
          <w:rFonts w:ascii="Times New Roman" w:hAnsi="Times New Roman" w:cs="Times New Roman"/>
          <w:sz w:val="24"/>
          <w:szCs w:val="24"/>
        </w:rPr>
        <w:fldChar w:fldCharType="end"/>
      </w:r>
      <w:r w:rsidRPr="0077110E">
        <w:rPr>
          <w:rFonts w:ascii="Times New Roman" w:hAnsi="Times New Roman" w:cs="Times New Roman"/>
          <w:sz w:val="24"/>
          <w:szCs w:val="24"/>
        </w:rPr>
        <w:t>.</w:t>
      </w:r>
    </w:p>
    <w:p w14:paraId="7C4A37D2" w14:textId="1190C87C" w:rsidR="00985F35" w:rsidRDefault="00985F35" w:rsidP="0077110E">
      <w:pPr>
        <w:spacing w:after="0" w:line="360" w:lineRule="auto"/>
        <w:jc w:val="both"/>
        <w:rPr>
          <w:rFonts w:ascii="Times New Roman" w:hAnsi="Times New Roman" w:cs="Times New Roman"/>
          <w:sz w:val="24"/>
          <w:szCs w:val="24"/>
        </w:rPr>
      </w:pPr>
      <w:r w:rsidRPr="00985F35">
        <w:rPr>
          <w:rFonts w:ascii="Times New Roman" w:hAnsi="Times New Roman" w:cs="Times New Roman"/>
          <w:sz w:val="24"/>
          <w:szCs w:val="24"/>
        </w:rPr>
        <w:t>Las mejores oportunidades para adaptarse al cambio climático están vinculadas con acciones que abordan las causas subyacentes de la vulnerabilidad y responden a más de un problema a la vez. La ciencia de la sostenibilidad se ha convertido en la herramienta para abordar los problemas del ser humano y el medio ambiente impulsado por comunidades de investigación estrechamente alineadas con el cambio climático. Un desarrollo sostenible garantiza abordar diversos problemas simultáneamente por las múltiples dimensiones que este implica. Dentro de la ciencia de la sostenibilidad, asistido por investigadores que trabajan múltiples perspectivas explicativas, los esfuerzos se destinan a mejorar la integración de la investigación de adaptación y resiliencia.</w:t>
      </w:r>
    </w:p>
    <w:p w14:paraId="0D6ED0F7" w14:textId="0040F955" w:rsidR="0077110E" w:rsidRDefault="00E21C7A"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investigación tiene como objetivo proponer </w:t>
      </w:r>
      <w:r w:rsidRPr="00E21C7A">
        <w:rPr>
          <w:rFonts w:ascii="Times New Roman" w:hAnsi="Times New Roman" w:cs="Times New Roman"/>
          <w:sz w:val="24"/>
          <w:szCs w:val="24"/>
        </w:rPr>
        <w:t>un enfoque multidimensional de la resiliencia para el desarrollo de estrategias de adaptación de las comunidades costeras cubanas</w:t>
      </w:r>
      <w:r>
        <w:rPr>
          <w:rFonts w:ascii="Times New Roman" w:hAnsi="Times New Roman" w:cs="Times New Roman"/>
          <w:sz w:val="24"/>
          <w:szCs w:val="24"/>
        </w:rPr>
        <w:t>.</w:t>
      </w:r>
      <w:r w:rsidR="00A23F15">
        <w:rPr>
          <w:rFonts w:ascii="Times New Roman" w:hAnsi="Times New Roman" w:cs="Times New Roman"/>
          <w:sz w:val="24"/>
          <w:szCs w:val="24"/>
        </w:rPr>
        <w:t xml:space="preserve"> Para conseguirlo, se aborda analíticamente la relación entre cambio climático, resiliencia y adaptación a partir de fuentes actuales que sintetizan el accionar </w:t>
      </w:r>
      <w:r w:rsidR="00A23F15">
        <w:rPr>
          <w:rFonts w:ascii="Times New Roman" w:hAnsi="Times New Roman" w:cs="Times New Roman"/>
          <w:sz w:val="24"/>
          <w:szCs w:val="24"/>
        </w:rPr>
        <w:lastRenderedPageBreak/>
        <w:t>gubernamental y académico y profundizan en sus dimensiones más significativas. Además, se contextualiza la información obtenida a la generalidad de las comunidades costeras cubanas, para obtener un enfoque abarcador y preciso para la adaptación de las mismas a los efectos adversos del cambio climático.</w:t>
      </w:r>
    </w:p>
    <w:p w14:paraId="57A9D0AC" w14:textId="77777777" w:rsidR="00985F35" w:rsidRDefault="00985F35" w:rsidP="00FF3346">
      <w:pPr>
        <w:spacing w:after="0" w:line="360" w:lineRule="auto"/>
        <w:jc w:val="both"/>
        <w:rPr>
          <w:rFonts w:ascii="Times New Roman" w:hAnsi="Times New Roman" w:cs="Times New Roman"/>
          <w:sz w:val="24"/>
          <w:szCs w:val="24"/>
        </w:rPr>
      </w:pPr>
    </w:p>
    <w:p w14:paraId="1D1BE0D8"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3DE299D9" w14:textId="4F104C73" w:rsidR="00A21A1F" w:rsidRDefault="000E4EDE"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investigación aplicó métodos de evaluación y análisis de fuentes documentales sobre la problemática del cambio climático y la resiliencia con fines adaptativos</w:t>
      </w:r>
      <w:r w:rsidR="008E00C7">
        <w:rPr>
          <w:rFonts w:ascii="Times New Roman" w:hAnsi="Times New Roman" w:cs="Times New Roman"/>
          <w:sz w:val="24"/>
          <w:szCs w:val="24"/>
        </w:rPr>
        <w:t>. Se trataron ampliamente las dinámicas internas de un concepto complejo como la resiliencia</w:t>
      </w:r>
      <w:r>
        <w:rPr>
          <w:rFonts w:ascii="Times New Roman" w:hAnsi="Times New Roman" w:cs="Times New Roman"/>
          <w:sz w:val="24"/>
          <w:szCs w:val="24"/>
        </w:rPr>
        <w:t xml:space="preserve"> </w:t>
      </w:r>
      <w:r w:rsidR="008E00C7">
        <w:rPr>
          <w:rFonts w:ascii="Times New Roman" w:hAnsi="Times New Roman" w:cs="Times New Roman"/>
          <w:sz w:val="24"/>
          <w:szCs w:val="24"/>
        </w:rPr>
        <w:t>que permitió establecer el marco de dimensiones que se ajusta a las comunidades costeras cubanas.</w:t>
      </w:r>
    </w:p>
    <w:p w14:paraId="3F51BB5B" w14:textId="25806CF0" w:rsidR="003B776F" w:rsidRDefault="003B776F"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proceso de investigación se desarrolló en tres niveles de análisis:</w:t>
      </w:r>
    </w:p>
    <w:p w14:paraId="4ADFEA42" w14:textId="2F81F168" w:rsidR="003B776F" w:rsidRDefault="003B776F"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-Cambio climático</w:t>
      </w:r>
    </w:p>
    <w:p w14:paraId="2716E52B" w14:textId="65E8B95D" w:rsidR="003B776F" w:rsidRDefault="003B776F"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-Resiliencia y adaptación </w:t>
      </w:r>
    </w:p>
    <w:p w14:paraId="2C1C0BAA" w14:textId="2991714B" w:rsidR="003B776F" w:rsidRDefault="003B776F"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-Adaptación de comunidades costeras cubanas</w:t>
      </w:r>
    </w:p>
    <w:p w14:paraId="58BA2E9F" w14:textId="6E11C49A" w:rsidR="000E4EDE" w:rsidRDefault="00076003" w:rsidP="00FF3346">
      <w:pPr>
        <w:spacing w:after="0" w:line="360" w:lineRule="auto"/>
        <w:jc w:val="both"/>
        <w:rPr>
          <w:rFonts w:ascii="Times New Roman" w:hAnsi="Times New Roman" w:cs="Times New Roman"/>
          <w:sz w:val="24"/>
          <w:szCs w:val="24"/>
        </w:rPr>
      </w:pPr>
      <w:r w:rsidRPr="00076003">
        <w:rPr>
          <w:rFonts w:ascii="Times New Roman" w:hAnsi="Times New Roman" w:cs="Times New Roman"/>
          <w:sz w:val="24"/>
          <w:szCs w:val="24"/>
        </w:rPr>
        <w:t xml:space="preserve">En cada uno de los niveles se manejó información actualizada, con </w:t>
      </w:r>
      <w:r>
        <w:rPr>
          <w:rFonts w:ascii="Times New Roman" w:hAnsi="Times New Roman" w:cs="Times New Roman"/>
          <w:sz w:val="24"/>
          <w:szCs w:val="24"/>
        </w:rPr>
        <w:t>énfasis</w:t>
      </w:r>
      <w:r w:rsidRPr="00076003">
        <w:rPr>
          <w:rFonts w:ascii="Times New Roman" w:hAnsi="Times New Roman" w:cs="Times New Roman"/>
          <w:sz w:val="24"/>
          <w:szCs w:val="24"/>
        </w:rPr>
        <w:t xml:space="preserve"> </w:t>
      </w:r>
      <w:r>
        <w:rPr>
          <w:rFonts w:ascii="Times New Roman" w:hAnsi="Times New Roman" w:cs="Times New Roman"/>
          <w:sz w:val="24"/>
          <w:szCs w:val="24"/>
        </w:rPr>
        <w:t>en</w:t>
      </w:r>
      <w:r w:rsidRPr="00076003">
        <w:rPr>
          <w:rFonts w:ascii="Times New Roman" w:hAnsi="Times New Roman" w:cs="Times New Roman"/>
          <w:sz w:val="24"/>
          <w:szCs w:val="24"/>
        </w:rPr>
        <w:t xml:space="preserve"> la procedente de organismos e instituciones de </w:t>
      </w:r>
      <w:r>
        <w:rPr>
          <w:rFonts w:ascii="Times New Roman" w:hAnsi="Times New Roman" w:cs="Times New Roman"/>
          <w:sz w:val="24"/>
          <w:szCs w:val="24"/>
        </w:rPr>
        <w:t>reconocimiento</w:t>
      </w:r>
      <w:r w:rsidRPr="00076003">
        <w:rPr>
          <w:rFonts w:ascii="Times New Roman" w:hAnsi="Times New Roman" w:cs="Times New Roman"/>
          <w:sz w:val="24"/>
          <w:szCs w:val="24"/>
        </w:rPr>
        <w:t xml:space="preserve"> internacional, lo que constituye antecedente y base para precisar </w:t>
      </w:r>
      <w:r w:rsidR="00CD4DE5">
        <w:rPr>
          <w:rFonts w:ascii="Times New Roman" w:hAnsi="Times New Roman" w:cs="Times New Roman"/>
          <w:sz w:val="24"/>
          <w:szCs w:val="24"/>
        </w:rPr>
        <w:t>el marco teórico de estas temáticas</w:t>
      </w:r>
      <w:r w:rsidRPr="00076003">
        <w:rPr>
          <w:rFonts w:ascii="Times New Roman" w:hAnsi="Times New Roman" w:cs="Times New Roman"/>
          <w:sz w:val="24"/>
          <w:szCs w:val="24"/>
        </w:rPr>
        <w:t>.</w:t>
      </w:r>
      <w:r w:rsidR="00985F35">
        <w:rPr>
          <w:rFonts w:ascii="Times New Roman" w:hAnsi="Times New Roman" w:cs="Times New Roman"/>
          <w:sz w:val="24"/>
          <w:szCs w:val="24"/>
        </w:rPr>
        <w:t xml:space="preserve"> </w:t>
      </w:r>
      <w:r w:rsidR="003B776F">
        <w:rPr>
          <w:rFonts w:ascii="Times New Roman" w:hAnsi="Times New Roman" w:cs="Times New Roman"/>
          <w:sz w:val="24"/>
          <w:szCs w:val="24"/>
        </w:rPr>
        <w:t xml:space="preserve">Basado en este marco teórico, la ponencia propone el enfoque multidimensional </w:t>
      </w:r>
      <w:r>
        <w:rPr>
          <w:rFonts w:ascii="Times New Roman" w:hAnsi="Times New Roman" w:cs="Times New Roman"/>
          <w:sz w:val="24"/>
          <w:szCs w:val="24"/>
        </w:rPr>
        <w:t xml:space="preserve">de resiliencia orientado a la adaptación al cambio climático de las comunidades costeras cubanas. </w:t>
      </w:r>
    </w:p>
    <w:p w14:paraId="3AB0430E" w14:textId="77777777" w:rsidR="00985F35" w:rsidRDefault="00985F35" w:rsidP="00FF3346">
      <w:pPr>
        <w:spacing w:after="0" w:line="360" w:lineRule="auto"/>
        <w:jc w:val="both"/>
        <w:rPr>
          <w:rFonts w:ascii="Times New Roman" w:hAnsi="Times New Roman" w:cs="Times New Roman"/>
          <w:sz w:val="24"/>
          <w:szCs w:val="24"/>
        </w:rPr>
      </w:pPr>
    </w:p>
    <w:p w14:paraId="3934F971" w14:textId="3422F0FB"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3B838CB9" w14:textId="45F52698" w:rsidR="008E00C7" w:rsidRPr="00985F35" w:rsidRDefault="00985F35" w:rsidP="00FF33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3.1 Cambio climático</w:t>
      </w:r>
    </w:p>
    <w:p w14:paraId="5375232A" w14:textId="7EE322DF" w:rsidR="003B1289" w:rsidRPr="00985F35" w:rsidRDefault="00985F35" w:rsidP="00985F35">
      <w:pPr>
        <w:spacing w:after="0" w:line="360" w:lineRule="auto"/>
        <w:jc w:val="both"/>
        <w:rPr>
          <w:rFonts w:ascii="Times New Roman" w:hAnsi="Times New Roman" w:cs="Times New Roman"/>
          <w:bCs/>
          <w:sz w:val="24"/>
          <w:szCs w:val="24"/>
        </w:rPr>
      </w:pPr>
      <w:r w:rsidRPr="00985F35">
        <w:rPr>
          <w:rFonts w:ascii="Times New Roman" w:hAnsi="Times New Roman" w:cs="Times New Roman"/>
          <w:bCs/>
          <w:sz w:val="24"/>
          <w:szCs w:val="24"/>
        </w:rPr>
        <w:t xml:space="preserve">El estudio del cambio climático antropogénico es una de las actividades científicas más divulgada en la actualidad. En este estudio, están inmersos diversos organismos académicos y gubernamentales que buscan determinar las modificaciones que ha provocado la actividad humana en el comportamiento climático global. Estas modificaciones evidencian el </w:t>
      </w:r>
      <w:r>
        <w:rPr>
          <w:rFonts w:ascii="Times New Roman" w:hAnsi="Times New Roman" w:cs="Times New Roman"/>
          <w:bCs/>
          <w:sz w:val="24"/>
          <w:szCs w:val="24"/>
        </w:rPr>
        <w:t>cambio climático</w:t>
      </w:r>
      <w:r w:rsidRPr="00985F35">
        <w:rPr>
          <w:rFonts w:ascii="Times New Roman" w:hAnsi="Times New Roman" w:cs="Times New Roman"/>
          <w:bCs/>
          <w:sz w:val="24"/>
          <w:szCs w:val="24"/>
        </w:rPr>
        <w:t xml:space="preserve"> contemporáneo y son consecuencias de variaciones en los indicadores del clima global; aumento de gases de efecto invernadero en la atmósfera, de la temperatura, cambios en la composición química de los océanos, en la criosfera terrestre y subida del nivel medio del mar.</w:t>
      </w:r>
      <w:r w:rsidR="00FC45E6">
        <w:rPr>
          <w:rFonts w:ascii="Times New Roman" w:hAnsi="Times New Roman" w:cs="Times New Roman"/>
          <w:bCs/>
          <w:sz w:val="24"/>
          <w:szCs w:val="24"/>
        </w:rPr>
        <w:t xml:space="preserve"> </w:t>
      </w:r>
      <w:r w:rsidR="003B1289">
        <w:rPr>
          <w:rFonts w:ascii="Times New Roman" w:hAnsi="Times New Roman" w:cs="Times New Roman"/>
          <w:bCs/>
          <w:sz w:val="24"/>
          <w:szCs w:val="24"/>
        </w:rPr>
        <w:t>El nivel medio del mar global aumentó en 0</w:t>
      </w:r>
      <w:r w:rsidR="00884301">
        <w:rPr>
          <w:rFonts w:ascii="Times New Roman" w:hAnsi="Times New Roman" w:cs="Times New Roman"/>
          <w:bCs/>
          <w:sz w:val="24"/>
          <w:szCs w:val="24"/>
        </w:rPr>
        <w:t>.</w:t>
      </w:r>
      <w:r w:rsidR="003B1289">
        <w:rPr>
          <w:rFonts w:ascii="Times New Roman" w:hAnsi="Times New Roman" w:cs="Times New Roman"/>
          <w:bCs/>
          <w:sz w:val="24"/>
          <w:szCs w:val="24"/>
        </w:rPr>
        <w:t xml:space="preserve">20m </w:t>
      </w:r>
      <w:r w:rsidR="00884301">
        <w:rPr>
          <w:rFonts w:ascii="Times New Roman" w:hAnsi="Times New Roman" w:cs="Times New Roman"/>
          <w:bCs/>
          <w:sz w:val="24"/>
          <w:szCs w:val="24"/>
        </w:rPr>
        <w:t xml:space="preserve">entre 1901 y 2018, con un promedio de aumento anual de 1.3mm </w:t>
      </w:r>
      <w:r w:rsidR="00884301">
        <w:rPr>
          <w:rFonts w:ascii="Times New Roman" w:hAnsi="Times New Roman" w:cs="Times New Roman"/>
          <w:bCs/>
          <w:sz w:val="24"/>
          <w:szCs w:val="24"/>
        </w:rPr>
        <w:lastRenderedPageBreak/>
        <w:t xml:space="preserve">(1901-1971), 1.9mm (1971-2006) y récord de 3.7mm entre 2006 y 2018 </w:t>
      </w:r>
      <w:r w:rsidR="00884301">
        <w:rPr>
          <w:rFonts w:ascii="Times New Roman" w:hAnsi="Times New Roman" w:cs="Times New Roman"/>
          <w:bCs/>
          <w:sz w:val="24"/>
          <w:szCs w:val="24"/>
        </w:rPr>
        <w:fldChar w:fldCharType="begin" w:fldLock="1"/>
      </w:r>
      <w:r w:rsidR="00884301">
        <w:rPr>
          <w:rFonts w:ascii="Times New Roman" w:hAnsi="Times New Roman" w:cs="Times New Roman"/>
          <w:bCs/>
          <w:sz w:val="24"/>
          <w:szCs w:val="24"/>
        </w:rPr>
        <w:instrText>ADDIN CSL_CITATION {"citationItems":[{"id":"ITEM-1","itemData":{"author":[{"dropping-particle":"","family":"Intergovernmental Panel on Climate Change","given":"IPCC","non-dropping-particle":"","parse-names":false,"suffix":""}],"id":"ITEM-1","issued":{"date-parts":[["2021"]]},"publisher-place":"Cambridge","title":"Climate Change 2021 The Physical Science Basis","type":"report"},"uris":["http://www.mendeley.com/documents/?uuid=4b720633-1eb1-444b-81f4-9c21e39d98ff"]}],"mendeley":{"formattedCitation":"(Intergovernmental Panel on Climate Change, 2021)","plainTextFormattedCitation":"(Intergovernmental Panel on Climate Change, 2021)","previouslyFormattedCitation":"(Intergovernmental Panel on Climate Change, 2021)"},"properties":{"noteIndex":0},"schema":"https://github.com/citation-style-language/schema/raw/master/csl-citation.json"}</w:instrText>
      </w:r>
      <w:r w:rsidR="00884301">
        <w:rPr>
          <w:rFonts w:ascii="Times New Roman" w:hAnsi="Times New Roman" w:cs="Times New Roman"/>
          <w:bCs/>
          <w:sz w:val="24"/>
          <w:szCs w:val="24"/>
        </w:rPr>
        <w:fldChar w:fldCharType="separate"/>
      </w:r>
      <w:r w:rsidR="00884301" w:rsidRPr="00884301">
        <w:rPr>
          <w:rFonts w:ascii="Times New Roman" w:hAnsi="Times New Roman" w:cs="Times New Roman"/>
          <w:bCs/>
          <w:noProof/>
          <w:sz w:val="24"/>
          <w:szCs w:val="24"/>
        </w:rPr>
        <w:t>(Intergovernmental Panel on Climate Change, 2021)</w:t>
      </w:r>
      <w:r w:rsidR="00884301">
        <w:rPr>
          <w:rFonts w:ascii="Times New Roman" w:hAnsi="Times New Roman" w:cs="Times New Roman"/>
          <w:bCs/>
          <w:sz w:val="24"/>
          <w:szCs w:val="24"/>
        </w:rPr>
        <w:fldChar w:fldCharType="end"/>
      </w:r>
      <w:r w:rsidR="00884301">
        <w:rPr>
          <w:rFonts w:ascii="Times New Roman" w:hAnsi="Times New Roman" w:cs="Times New Roman"/>
          <w:bCs/>
          <w:sz w:val="24"/>
          <w:szCs w:val="24"/>
        </w:rPr>
        <w:t>. Estos índices coinciden con la globalización en aumento de la sociedad humana que impone niveles más altos de emisiones a la atmósfera y el agravamiento del calentamiento global.</w:t>
      </w:r>
    </w:p>
    <w:p w14:paraId="3D77C799" w14:textId="0C8C8EAE" w:rsidR="007C1D35" w:rsidRDefault="00985F35" w:rsidP="00985F35">
      <w:pPr>
        <w:spacing w:after="0" w:line="360" w:lineRule="auto"/>
        <w:jc w:val="both"/>
        <w:rPr>
          <w:rFonts w:ascii="Times New Roman" w:hAnsi="Times New Roman" w:cs="Times New Roman"/>
          <w:bCs/>
          <w:sz w:val="24"/>
          <w:szCs w:val="24"/>
        </w:rPr>
      </w:pPr>
      <w:r w:rsidRPr="00985F35">
        <w:rPr>
          <w:rFonts w:ascii="Times New Roman" w:hAnsi="Times New Roman" w:cs="Times New Roman"/>
          <w:bCs/>
          <w:sz w:val="24"/>
          <w:szCs w:val="24"/>
        </w:rPr>
        <w:t xml:space="preserve">Los efectos del </w:t>
      </w:r>
      <w:r w:rsidR="00884301">
        <w:rPr>
          <w:rFonts w:ascii="Times New Roman" w:hAnsi="Times New Roman" w:cs="Times New Roman"/>
          <w:bCs/>
          <w:sz w:val="24"/>
          <w:szCs w:val="24"/>
        </w:rPr>
        <w:t>cambio climático</w:t>
      </w:r>
      <w:r w:rsidRPr="00985F35">
        <w:rPr>
          <w:rFonts w:ascii="Times New Roman" w:hAnsi="Times New Roman" w:cs="Times New Roman"/>
          <w:bCs/>
          <w:sz w:val="24"/>
          <w:szCs w:val="24"/>
        </w:rPr>
        <w:t xml:space="preserve"> junto a los riesgos que genera para los ecosistemas naturales, implican grandes amenazas para el hábitat humano. Los asentamientos son puntos críticos de vulnerabilidad a inundaciones, olas de calor y otros peligros que se espera que el </w:t>
      </w:r>
      <w:r w:rsidR="00884301">
        <w:rPr>
          <w:rFonts w:ascii="Times New Roman" w:hAnsi="Times New Roman" w:cs="Times New Roman"/>
          <w:bCs/>
          <w:sz w:val="24"/>
          <w:szCs w:val="24"/>
        </w:rPr>
        <w:t>cambio climático</w:t>
      </w:r>
      <w:r w:rsidRPr="00985F35">
        <w:rPr>
          <w:rFonts w:ascii="Times New Roman" w:hAnsi="Times New Roman" w:cs="Times New Roman"/>
          <w:bCs/>
          <w:sz w:val="24"/>
          <w:szCs w:val="24"/>
        </w:rPr>
        <w:t xml:space="preserve"> agrave</w:t>
      </w:r>
      <w:r w:rsidR="007C1D35">
        <w:rPr>
          <w:rFonts w:ascii="Times New Roman" w:hAnsi="Times New Roman" w:cs="Times New Roman"/>
          <w:bCs/>
          <w:sz w:val="24"/>
          <w:szCs w:val="24"/>
        </w:rPr>
        <w:t xml:space="preserve"> </w:t>
      </w:r>
      <w:r w:rsidR="007C1D35">
        <w:rPr>
          <w:rFonts w:ascii="Times New Roman" w:hAnsi="Times New Roman" w:cs="Times New Roman"/>
          <w:bCs/>
          <w:sz w:val="24"/>
          <w:szCs w:val="24"/>
        </w:rPr>
        <w:fldChar w:fldCharType="begin" w:fldLock="1"/>
      </w:r>
      <w:r w:rsidR="007C1D35">
        <w:rPr>
          <w:rFonts w:ascii="Times New Roman" w:hAnsi="Times New Roman" w:cs="Times New Roman"/>
          <w:bCs/>
          <w:sz w:val="24"/>
          <w:szCs w:val="24"/>
        </w:rPr>
        <w:instrText>ADDIN CSL_CITATION {"citationItems":[{"id":"ITEM-1","itemData":{"DOI":"10.1016/j.cosust.2011.01.004","ISSN":"18773435","abstract":"Although urban areas in Latin America and the Caribbean (LAC) are not major GHG emitters, they play crucial, yet understudied roles in the climate change arena. They are not only growing sources of greenhouse gases, but (in common with urban settlements in other regions) are also hotspots of vulnerability to floods, heat waves, and other hazards that climate change is expected to aggravate. This paper reviews the existing literature on the climate linkages and the relevance of urban development in LAC. It briefly describes research on existing mitigation and adaptation responses. It then explores why it is important to include a pro-poor perspective in adaptation actions. Although LAC cities have been the sources of many initiatives, policies and actions aimed at mitigating emissions and adapting to climate change, these have focused mostly on mitigation. It has been difficult to promote adaptation at the local level without the necessary support from higher levels of government and the international community. This has left a gap in the support and funding of locally determined, locally driven and necessary adaptation that serves and works with those most at risk. The best opportunities to adapt to climate change are linked with actions that address the underlying causes of vulnerability and respond to more than one problem at a time. © 2011 Elsevier B.V.","author":[{"dropping-particle":"","family":"Hardoy","given":"Jorgelina","non-dropping-particle":"","parse-names":false,"suffix":""},{"dropping-particle":"","family":"Romero Lankao","given":"Patricia","non-dropping-particle":"","parse-names":false,"suffix":""}],"container-title":"Current Opinion in Environmental Sustainability","id":"ITEM-1","issue":"3","issued":{"date-parts":[["2011"]]},"note":"mitigacion y adaptación dos caminos que deben tomarse simultáneamente","page":"158-163","title":"Latin American cities and climate change: Challenges and options to mitigation and adaptation responses","type":"article-journal","volume":"3"},"uris":["http://www.mendeley.com/documents/?uuid=eb442c9a-4d65-45f4-82d4-5c8526c1851c"]}],"mendeley":{"formattedCitation":"(Hardoy &amp; Romero Lankao, 2011)","plainTextFormattedCitation":"(Hardoy &amp; Romero Lankao, 2011)","previouslyFormattedCitation":"(Hardoy &amp; Romero Lankao, 2011)"},"properties":{"noteIndex":0},"schema":"https://github.com/citation-style-language/schema/raw/master/csl-citation.json"}</w:instrText>
      </w:r>
      <w:r w:rsidR="007C1D35">
        <w:rPr>
          <w:rFonts w:ascii="Times New Roman" w:hAnsi="Times New Roman" w:cs="Times New Roman"/>
          <w:bCs/>
          <w:sz w:val="24"/>
          <w:szCs w:val="24"/>
        </w:rPr>
        <w:fldChar w:fldCharType="separate"/>
      </w:r>
      <w:r w:rsidR="007C1D35" w:rsidRPr="007C1D35">
        <w:rPr>
          <w:rFonts w:ascii="Times New Roman" w:hAnsi="Times New Roman" w:cs="Times New Roman"/>
          <w:bCs/>
          <w:noProof/>
          <w:sz w:val="24"/>
          <w:szCs w:val="24"/>
        </w:rPr>
        <w:t>(Hardoy &amp; Romero Lankao, 2011)</w:t>
      </w:r>
      <w:r w:rsidR="007C1D35">
        <w:rPr>
          <w:rFonts w:ascii="Times New Roman" w:hAnsi="Times New Roman" w:cs="Times New Roman"/>
          <w:bCs/>
          <w:sz w:val="24"/>
          <w:szCs w:val="24"/>
        </w:rPr>
        <w:fldChar w:fldCharType="end"/>
      </w:r>
      <w:r w:rsidRPr="00985F35">
        <w:rPr>
          <w:rFonts w:ascii="Times New Roman" w:hAnsi="Times New Roman" w:cs="Times New Roman"/>
          <w:bCs/>
          <w:sz w:val="24"/>
          <w:szCs w:val="24"/>
        </w:rPr>
        <w:t xml:space="preserve">. Estos riesgos dependen de la magnitud y la velocidad del calentamiento, la ubicación geográfica, los niveles de desarrollo y vulnerabilidad, y de las opciones e implementación de las alternativas de adaptación y mitigación </w:t>
      </w:r>
      <w:r w:rsidR="007C1D35">
        <w:rPr>
          <w:rFonts w:ascii="Times New Roman" w:hAnsi="Times New Roman" w:cs="Times New Roman"/>
          <w:bCs/>
          <w:sz w:val="24"/>
          <w:szCs w:val="24"/>
        </w:rPr>
        <w:fldChar w:fldCharType="begin" w:fldLock="1"/>
      </w:r>
      <w:r w:rsidR="007C1D35">
        <w:rPr>
          <w:rFonts w:ascii="Times New Roman" w:hAnsi="Times New Roman" w:cs="Times New Roman"/>
          <w:bCs/>
          <w:sz w:val="24"/>
          <w:szCs w:val="24"/>
        </w:rPr>
        <w:instrText>ADDIN CSL_CITATION {"citationItems":[{"id":"ITEM-1","itemData":{"DOI":"10.1002/9780470996621.ch50","ISBN":"9780470996621","author":[{"dropping-particle":"","family":"Intergovernmental Panel on Climate Change","given":"IPCC","non-dropping-particle":"","parse-names":false,"suffix":""}],"container-title":"A Companion to Applied Ethics","id":"ITEM-1","issued":{"date-parts":[["2019"]]},"number-of-pages":"674-684","title":"Global Warming of 1.5°C.","type":"report"},"uris":["http://www.mendeley.com/documents/?uuid=7311a6a9-e7cc-4320-9115-bc6adea90ea6"]}],"mendeley":{"formattedCitation":"(Intergovernmental Panel on Climate Change, 2019)","plainTextFormattedCitation":"(Intergovernmental Panel on Climate Change, 2019)","previouslyFormattedCitation":"(Intergovernmental Panel on Climate Change, 2019)"},"properties":{"noteIndex":0},"schema":"https://github.com/citation-style-language/schema/raw/master/csl-citation.json"}</w:instrText>
      </w:r>
      <w:r w:rsidR="007C1D35">
        <w:rPr>
          <w:rFonts w:ascii="Times New Roman" w:hAnsi="Times New Roman" w:cs="Times New Roman"/>
          <w:bCs/>
          <w:sz w:val="24"/>
          <w:szCs w:val="24"/>
        </w:rPr>
        <w:fldChar w:fldCharType="separate"/>
      </w:r>
      <w:r w:rsidR="007C1D35" w:rsidRPr="007C1D35">
        <w:rPr>
          <w:rFonts w:ascii="Times New Roman" w:hAnsi="Times New Roman" w:cs="Times New Roman"/>
          <w:bCs/>
          <w:noProof/>
          <w:sz w:val="24"/>
          <w:szCs w:val="24"/>
        </w:rPr>
        <w:t>(Intergovernmental Panel on Climate Change, 2019)</w:t>
      </w:r>
      <w:r w:rsidR="007C1D35">
        <w:rPr>
          <w:rFonts w:ascii="Times New Roman" w:hAnsi="Times New Roman" w:cs="Times New Roman"/>
          <w:bCs/>
          <w:sz w:val="24"/>
          <w:szCs w:val="24"/>
        </w:rPr>
        <w:fldChar w:fldCharType="end"/>
      </w:r>
      <w:r w:rsidR="007C1D35">
        <w:rPr>
          <w:rFonts w:ascii="Times New Roman" w:hAnsi="Times New Roman" w:cs="Times New Roman"/>
          <w:bCs/>
          <w:sz w:val="24"/>
          <w:szCs w:val="24"/>
        </w:rPr>
        <w:t>.</w:t>
      </w:r>
    </w:p>
    <w:p w14:paraId="7DC976A6" w14:textId="77777777" w:rsidR="000D7B39" w:rsidRDefault="000D7B39" w:rsidP="00985F35">
      <w:pPr>
        <w:spacing w:after="0" w:line="360" w:lineRule="auto"/>
        <w:jc w:val="both"/>
        <w:rPr>
          <w:rFonts w:ascii="Times New Roman" w:hAnsi="Times New Roman" w:cs="Times New Roman"/>
          <w:bCs/>
          <w:sz w:val="24"/>
          <w:szCs w:val="24"/>
        </w:rPr>
      </w:pPr>
    </w:p>
    <w:p w14:paraId="7279B56F" w14:textId="64039129" w:rsidR="007C1D35" w:rsidRDefault="007C1D35" w:rsidP="00985F3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3.2 Vínculo resiliencia-adaptación</w:t>
      </w:r>
    </w:p>
    <w:p w14:paraId="734FECC9" w14:textId="09BEDD47" w:rsidR="008622E1" w:rsidRPr="008622E1" w:rsidRDefault="007C1D35" w:rsidP="008622E1">
      <w:pPr>
        <w:spacing w:after="0" w:line="360" w:lineRule="auto"/>
        <w:jc w:val="both"/>
        <w:rPr>
          <w:rFonts w:ascii="Times New Roman" w:hAnsi="Times New Roman" w:cs="Times New Roman"/>
          <w:bCs/>
          <w:sz w:val="24"/>
          <w:szCs w:val="24"/>
        </w:rPr>
      </w:pPr>
      <w:r w:rsidRPr="007C1D35">
        <w:rPr>
          <w:rFonts w:ascii="Times New Roman" w:hAnsi="Times New Roman" w:cs="Times New Roman"/>
          <w:bCs/>
          <w:sz w:val="24"/>
          <w:szCs w:val="24"/>
        </w:rPr>
        <w:t>En la literatura científica, la relación de la resiliencia con la adaptación al cambio climático es reciente, y puede ser considerada como un concepto unificador entre el planeamiento urbano y la adaptación</w:t>
      </w:r>
      <w:r w:rsidR="008622E1">
        <w:rPr>
          <w:rFonts w:ascii="Times New Roman" w:hAnsi="Times New Roman" w:cs="Times New Roman"/>
          <w:bCs/>
          <w:sz w:val="24"/>
          <w:szCs w:val="24"/>
        </w:rPr>
        <w:t xml:space="preserve"> </w:t>
      </w:r>
      <w:r w:rsidR="008622E1">
        <w:rPr>
          <w:rFonts w:ascii="Times New Roman" w:hAnsi="Times New Roman" w:cs="Times New Roman"/>
          <w:bCs/>
          <w:sz w:val="24"/>
          <w:szCs w:val="24"/>
        </w:rPr>
        <w:fldChar w:fldCharType="begin" w:fldLock="1"/>
      </w:r>
      <w:r w:rsidR="004960E7">
        <w:rPr>
          <w:rFonts w:ascii="Times New Roman" w:hAnsi="Times New Roman" w:cs="Times New Roman"/>
          <w:bCs/>
          <w:sz w:val="24"/>
          <w:szCs w:val="24"/>
        </w:rPr>
        <w:instrText>ADDIN CSL_CITATION {"citationItems":[{"id":"ITEM-1","itemData":{"DOI":"10.1080/14649357.2012.677124","ISSN":"1470000X","author":[{"dropping-particle":"","family":"Davoudi","given":"Simin","non-dropping-particle":"","parse-names":false,"suffix":""},{"dropping-particle":"","family":"Shaw","given":"Keith","non-dropping-particle":"","parse-names":false,"suffix":""},{"dropping-particle":"","family":"Haider","given":"L. Jamila","non-dropping-particle":"","parse-names":false,"suffix":""},{"dropping-particle":"","family":"Quinlan","given":"Allyson E.","non-dropping-particle":"","parse-names":false,"suffix":""},{"dropping-particle":"","family":"Peterson","given":"Garry D.","non-dropping-particle":"","parse-names":false,"suffix":""},{"dropping-particle":"","family":"Wilkinson","given":"Cathy","non-dropping-particle":"","parse-names":false,"suffix":""},{"dropping-particle":"","family":"Fünfgeld","given":"Hartmut","non-dropping-particle":"","parse-names":false,"suffix":""},{"dropping-particle":"","family":"McEvoy","given":"Darryn","non-dropping-particle":"","parse-names":false,"suffix":""},{"dropping-particle":"","family":"Porter","given":"Libby","non-dropping-particle":"","parse-names":false,"suffix":""}],"container-title":"Planning Theory and Practice","id":"ITEM-1","issue":"2","issued":{"date-parts":[["2012"]]},"page":"299-333","title":"Resilience: A Bridging Concept or a Dead End? \"Reframing\" Resilience: Challenges for Planning Theory and Practice Interacting Traps: Resilience Assessment of a Pasture Management System in Northern Afghanistan Urban Resilience: What Does it Mean in Planni","type":"article-journal","volume":"13"},"uris":["http://www.mendeley.com/documents/?uuid=d7b76a47-a738-400f-9f13-a8edbeba83b1"]}],"mendeley":{"formattedCitation":"(Davoudi et al., 2012)","plainTextFormattedCitation":"(Davoudi et al., 2012)","previouslyFormattedCitation":"(Davoudi et al., 2012)"},"properties":{"noteIndex":0},"schema":"https://github.com/citation-style-language/schema/raw/master/csl-citation.json"}</w:instrText>
      </w:r>
      <w:r w:rsidR="008622E1">
        <w:rPr>
          <w:rFonts w:ascii="Times New Roman" w:hAnsi="Times New Roman" w:cs="Times New Roman"/>
          <w:bCs/>
          <w:sz w:val="24"/>
          <w:szCs w:val="24"/>
        </w:rPr>
        <w:fldChar w:fldCharType="separate"/>
      </w:r>
      <w:r w:rsidR="008622E1" w:rsidRPr="008622E1">
        <w:rPr>
          <w:rFonts w:ascii="Times New Roman" w:hAnsi="Times New Roman" w:cs="Times New Roman"/>
          <w:bCs/>
          <w:noProof/>
          <w:sz w:val="24"/>
          <w:szCs w:val="24"/>
        </w:rPr>
        <w:t>(Davoudi et al., 2012)</w:t>
      </w:r>
      <w:r w:rsidR="008622E1">
        <w:rPr>
          <w:rFonts w:ascii="Times New Roman" w:hAnsi="Times New Roman" w:cs="Times New Roman"/>
          <w:bCs/>
          <w:sz w:val="24"/>
          <w:szCs w:val="24"/>
        </w:rPr>
        <w:fldChar w:fldCharType="end"/>
      </w:r>
      <w:r w:rsidRPr="007C1D35">
        <w:rPr>
          <w:rFonts w:ascii="Times New Roman" w:hAnsi="Times New Roman" w:cs="Times New Roman"/>
          <w:bCs/>
          <w:sz w:val="24"/>
          <w:szCs w:val="24"/>
        </w:rPr>
        <w:t>. La resiliencia se ha convertido en un objetivo importante para las ciudades, particularmente frente al cambio climático</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{"citationItems":[{"id":"ITEM-1","itemData":{"DOI":"10.1016/j.landurbplan.2015.11.011","ISSN":"01692046","abstract":"Fostering resilience in the face of environmental, socioeconomic, and political uncertainty and risk has captured the attention of academics and decision makers across disciplines, sectors, and scales. Resilience has become an important goal for cities, particularly in the face of climate change. Urban areas house the majority of the world's population, and, in addition to functioning as nodes of resource consumption and as sites for innovation, have become laboratories for resilience, both in theory and in practice. This paper reviews the scholarly literature on urban resilience and concludes that the term has not been well defined. Existing definitions are inconsistent and underdeveloped with respect to incorporation of crucial concepts found in both resilience theory and urban theory. Based on this literature review, and aided by bibliometric analysis, the paper identifies six conceptual tensions fundamental to urban resilience: (1) definition of 'urban'; (2) understanding of system equilibrium; (3) positive vs. neutral (or negative) conceptualizations of resilience; (4) mechanisms for system change; (5) adaptation versus general adaptability; and (6) timescale of action. To advance this burgeoning field, more conceptual clarity is needed. This paper, therefore, proposes a new definition of urban resilience. This definition takes explicit positions on these tensions, but remains inclusive and flexible enough to enable uptake by, and collaboration among, varying disciplines. The paper concludes with a discussion of how the definition might serve as a boundary object, with the acknowledgement that applying resilience in different contexts requires answering: Resilience for whom and to what? When? Where? And why?.","author":[{"dropping-particle":"","family":"Meerow","given":"Sara","non-dropping-particle":"","parse-names":false,"suffix":""},{"dropping-particle":"","family":"Newell","given":"Joshua P.","non-dropping-particle":"","parse-names":false,"suffix":""},{"dropping-particle":"","family":"Stults","given":"Melissa","non-dropping-particle":"","parse-names":false,"suffix":""}],"container-title":"Landscape and Urban Planning","id":"ITEM-1","issued":{"date-parts":[["2016"]]},"page":"38-49","publisher":"Elsevier B.V.","title":"Defining urban resilience: A review","type":"article-journal","volume":"147"},"uris":["http://www.mendeley.com/documents/?uuid=45b5c5fb-8198-41f6-8566-2d418d7d03bb"]}],"mendeley":{"formattedCitation":"(Meerow et al., 2016)","plainTextFormattedCitation":"(Meerow et al., 2016)","previouslyFormattedCitation":"(Meerow et al., 2016)"},"properties":{"noteIndex":0},"schema":"https://github.com/citation-style-language/schema/raw/master/csl-citation.json"}</w:instrText>
      </w:r>
      <w:r>
        <w:rPr>
          <w:rFonts w:ascii="Times New Roman" w:hAnsi="Times New Roman" w:cs="Times New Roman"/>
          <w:bCs/>
          <w:sz w:val="24"/>
          <w:szCs w:val="24"/>
        </w:rPr>
        <w:fldChar w:fldCharType="separate"/>
      </w:r>
      <w:r w:rsidRPr="007C1D35">
        <w:rPr>
          <w:rFonts w:ascii="Times New Roman" w:hAnsi="Times New Roman" w:cs="Times New Roman"/>
          <w:bCs/>
          <w:noProof/>
          <w:sz w:val="24"/>
          <w:szCs w:val="24"/>
        </w:rPr>
        <w:t>(Meerow et al., 2016)</w:t>
      </w:r>
      <w:r>
        <w:rPr>
          <w:rFonts w:ascii="Times New Roman" w:hAnsi="Times New Roman" w:cs="Times New Roman"/>
          <w:bCs/>
          <w:sz w:val="24"/>
          <w:szCs w:val="24"/>
        </w:rPr>
        <w:fldChar w:fldCharType="end"/>
      </w:r>
      <w:r w:rsidRPr="007C1D35">
        <w:rPr>
          <w:rFonts w:ascii="Times New Roman" w:hAnsi="Times New Roman" w:cs="Times New Roman"/>
          <w:bCs/>
          <w:sz w:val="24"/>
          <w:szCs w:val="24"/>
        </w:rPr>
        <w:t xml:space="preserve">.  </w:t>
      </w:r>
      <w:r w:rsidR="008622E1" w:rsidRPr="008622E1">
        <w:rPr>
          <w:rFonts w:ascii="Times New Roman" w:hAnsi="Times New Roman" w:cs="Times New Roman"/>
          <w:bCs/>
          <w:sz w:val="24"/>
          <w:szCs w:val="24"/>
        </w:rPr>
        <w:t>Si la adaptación se trata de dar forma al futuro a través de juicios sobre qué mejorar, retener y descartar, entonces, la resiliencia ayuda a establecer el marco de referencia para legitimar estas decisiones</w:t>
      </w:r>
      <w:r w:rsidR="008622E1">
        <w:rPr>
          <w:rFonts w:ascii="Times New Roman" w:hAnsi="Times New Roman" w:cs="Times New Roman"/>
          <w:bCs/>
          <w:sz w:val="24"/>
          <w:szCs w:val="24"/>
        </w:rPr>
        <w:t xml:space="preserve"> </w:t>
      </w:r>
      <w:r w:rsidR="008622E1">
        <w:rPr>
          <w:rFonts w:ascii="Times New Roman" w:hAnsi="Times New Roman" w:cs="Times New Roman"/>
          <w:bCs/>
          <w:sz w:val="24"/>
          <w:szCs w:val="24"/>
        </w:rPr>
        <w:fldChar w:fldCharType="begin" w:fldLock="1"/>
      </w:r>
      <w:r w:rsidR="008622E1">
        <w:rPr>
          <w:rFonts w:ascii="Times New Roman" w:hAnsi="Times New Roman" w:cs="Times New Roman"/>
          <w:bCs/>
          <w:sz w:val="24"/>
          <w:szCs w:val="24"/>
        </w:rPr>
        <w:instrText>ADDIN CSL_CITATION {"citationItems":[{"id":"ITEM-1","itemData":{"DOI":"10.1016/j.gloenvcha.2019.01.001","ISSN":"09593780","abstract":"In the context of global environmental change much hope is placed in the ability of resilience thinking to help address environment-related risks. Numerous initiatives aim at incorporating resilience into urban planning practices. The purpose of this paper is to open up a conversation on urban resilience by unpacking how diverse science methods contribute to the production of different narratives of urban resilience mobilizing different experts and forms of evidence. A number of scholars have cautioned against uncritical approaches to resilience and asked what resilience means and for whom, also pointing out the normative dimension of the concept. Building on this emerging scholarship we use insights from science and technology studies (STS) and critical social sciences to look at the knowledge infrastructures and networks of actors involved in the development of resilience strategies. Drawing on fieldwork in Manila, Nairobi, and Cape Town, we map different narratives of urban resilience identifying the ways in which science serves to legitimate or alienate particular perspectives on what should be done. We discuss the multiple roles that science methods have for resilience planning. Whereas urban resilience is often portrayed as consensual, we show that a range of narratives, with diverse socio-material implications, exist at the city level. In this way we unearth the conflict that lies beneath an apparent consensus for resilience policy and outline future research directions for urban sustainability.","author":[{"dropping-particle":"","family":"Borie","given":"Maud","non-dropping-particle":"","parse-names":false,"suffix":""},{"dropping-particle":"","family":"Pelling","given":"Mark","non-dropping-particle":"","parse-names":false,"suffix":""},{"dropping-particle":"","family":"Ziervogel","given":"Gina","non-dropping-particle":"","parse-names":false,"suffix":""},{"dropping-particle":"","family":"Hyams","given":"Keith","non-dropping-particle":"","parse-names":false,"suffix":""}],"container-title":"Global Environmental Change","id":"ITEM-1","issue":"December 2018","issued":{"date-parts":[["2019"]]},"page":"203-213","publisher":"Elsevier Ltd","title":"Mapping narratives of urban resilience in the global south","type":"article-journal","volume":"54"},"uris":["http://www.mendeley.com/documents/?uuid=446faa57-b77d-4cb4-b6ca-979e3f512b8f"]}],"mendeley":{"formattedCitation":"(Borie et al., 2019)","plainTextFormattedCitation":"(Borie et al., 2019)","previouslyFormattedCitation":"(Borie et al., 2019)"},"properties":{"noteIndex":0},"schema":"https://github.com/citation-style-language/schema/raw/master/csl-citation.json"}</w:instrText>
      </w:r>
      <w:r w:rsidR="008622E1">
        <w:rPr>
          <w:rFonts w:ascii="Times New Roman" w:hAnsi="Times New Roman" w:cs="Times New Roman"/>
          <w:bCs/>
          <w:sz w:val="24"/>
          <w:szCs w:val="24"/>
        </w:rPr>
        <w:fldChar w:fldCharType="separate"/>
      </w:r>
      <w:r w:rsidR="008622E1" w:rsidRPr="008622E1">
        <w:rPr>
          <w:rFonts w:ascii="Times New Roman" w:hAnsi="Times New Roman" w:cs="Times New Roman"/>
          <w:bCs/>
          <w:noProof/>
          <w:sz w:val="24"/>
          <w:szCs w:val="24"/>
        </w:rPr>
        <w:t>(Borie et al., 2019)</w:t>
      </w:r>
      <w:r w:rsidR="008622E1">
        <w:rPr>
          <w:rFonts w:ascii="Times New Roman" w:hAnsi="Times New Roman" w:cs="Times New Roman"/>
          <w:bCs/>
          <w:sz w:val="24"/>
          <w:szCs w:val="24"/>
        </w:rPr>
        <w:fldChar w:fldCharType="end"/>
      </w:r>
      <w:r w:rsidR="008622E1" w:rsidRPr="008622E1">
        <w:rPr>
          <w:rFonts w:ascii="Times New Roman" w:hAnsi="Times New Roman" w:cs="Times New Roman"/>
          <w:bCs/>
          <w:sz w:val="24"/>
          <w:szCs w:val="24"/>
        </w:rPr>
        <w:t>. En este contexto es una estrategia efectiva para facilitar la transición de comunidades vulnerables a seguras.</w:t>
      </w:r>
    </w:p>
    <w:p w14:paraId="0681936C" w14:textId="06A7D5D0" w:rsidR="007C1D35" w:rsidRPr="007C1D35" w:rsidRDefault="007C1D35" w:rsidP="007C1D35">
      <w:pPr>
        <w:spacing w:after="0" w:line="360" w:lineRule="auto"/>
        <w:jc w:val="both"/>
        <w:rPr>
          <w:rFonts w:ascii="Times New Roman" w:hAnsi="Times New Roman" w:cs="Times New Roman"/>
          <w:bCs/>
          <w:sz w:val="24"/>
          <w:szCs w:val="24"/>
        </w:rPr>
      </w:pPr>
      <w:r w:rsidRPr="007C1D35">
        <w:rPr>
          <w:rFonts w:ascii="Times New Roman" w:hAnsi="Times New Roman" w:cs="Times New Roman"/>
          <w:bCs/>
          <w:sz w:val="24"/>
          <w:szCs w:val="24"/>
        </w:rPr>
        <w:t>Por su carácter multidimensional, es fundamental para comprender la interacción entre persistencia y cambio, adaptabilidad y transformabilidad</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{"citationItems":[{"id":"ITEM-1","itemData":{"DOI":"10.5751/ES-03610-150420","ISSN":"17083087","abstract":"Resilience thinking addresses the dynamics and development of complex social-ecological systems (SES). Three aspects are central: resilience, adaptability and transformability. These aspects interrelate across multiple scales. Resilience in this context is the capacity of a SES to continually change and adapt yet remain within critical thresholds. Adaptability is part of resilience. It represents the capacity to adjust responses to changing external drivers and internal processes and thereby allow for development along the current trajectory (stability domain). Transformability is the capacity to cross thresholds into new development trajectories. Transformational change at smaller scales enables resilience at larger scales. The capacity to transform at smaller scales draws on resilience from multiple scales, making use of crises as windows of opportunity for novelty and innovation, and recombining sources of experience and knowledge to navigate social-ecological transitions. Society must seriously consider ways to foster resilience of smaller more manageable SESs that contribute to Earth System resilience and to explore options for deliberate transformation of SESs that threaten Earth System resilience. © 2010 by the author(s).","author":[{"dropping-particle":"","family":"Folke","given":"Carl","non-dropping-particle":"","parse-names":false,"suffix":""},{"dropping-particle":"","family":"Carpenter","given":"Stephen R.","non-dropping-particle":"","parse-names":false,"suffix":""},{"dropping-particle":"","family":"Walker","given":"Brian","non-dropping-particle":"","parse-names":false,"suffix":""},{"dropping-particle":"","family":"Scheffer","given":"Marten","non-dropping-particle":"","parse-names":false,"suffix":""},{"dropping-particle":"","family":"Chapin","given":"Terry","non-dropping-particle":"","parse-names":false,"suffix":""},{"dropping-particle":"","family":"Rockström","given":"Johan","non-dropping-particle":"","parse-names":false,"suffix":""}],"container-title":"Ecology and Society","id":"ITEM-1","issue":"4","issued":{"date-parts":[["2010"]]},"title":"Resilience thinking: Integrating resilience, adaptability and transformability","type":"article-journal","volume":"15"},"uris":["http://www.mendeley.com/documents/?uuid=540f3bc8-8b8f-4246-b2b5-53849efe761a"]}],"mendeley":{"formattedCitation":"(Folke et al., 2010)","plainTextFormattedCitation":"(Folke et al., 2010)","previouslyFormattedCitation":"(Folke et al., 2010)"},"properties":{"noteIndex":0},"schema":"https://github.com/citation-style-language/schema/raw/master/csl-citation.json"}</w:instrText>
      </w:r>
      <w:r>
        <w:rPr>
          <w:rFonts w:ascii="Times New Roman" w:hAnsi="Times New Roman" w:cs="Times New Roman"/>
          <w:bCs/>
          <w:sz w:val="24"/>
          <w:szCs w:val="24"/>
        </w:rPr>
        <w:fldChar w:fldCharType="separate"/>
      </w:r>
      <w:r w:rsidRPr="007C1D35">
        <w:rPr>
          <w:rFonts w:ascii="Times New Roman" w:hAnsi="Times New Roman" w:cs="Times New Roman"/>
          <w:bCs/>
          <w:noProof/>
          <w:sz w:val="24"/>
          <w:szCs w:val="24"/>
        </w:rPr>
        <w:t>(Folke et al., 2010)</w:t>
      </w:r>
      <w:r>
        <w:rPr>
          <w:rFonts w:ascii="Times New Roman" w:hAnsi="Times New Roman" w:cs="Times New Roman"/>
          <w:bCs/>
          <w:sz w:val="24"/>
          <w:szCs w:val="24"/>
        </w:rPr>
        <w:fldChar w:fldCharType="end"/>
      </w:r>
      <w:r w:rsidRPr="007C1D35">
        <w:rPr>
          <w:rFonts w:ascii="Times New Roman" w:hAnsi="Times New Roman" w:cs="Times New Roman"/>
          <w:bCs/>
          <w:sz w:val="24"/>
          <w:szCs w:val="24"/>
        </w:rPr>
        <w:t xml:space="preserve">. La vulnerabilidad es considerada en el marco de la resiliencia como un impacto temporal que debe incorporarse al funcionamiento del sistema para desencadenar procesos transformativos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{"citationItems":[{"id":"ITEM-1","itemData":{"DOI":"10.1016/j.uclim.2016.12.004","ISSN":"22120955","abstract":"Currently, both the planning and climate change literature highlight the concept of resilience to facilitate long-term adaptation strategies. Yet, decades before the onset of climate change science, uncertainty was dealt with in the urban planning and design literature since the latter half of the 20th century through various notions analogous to resilience. Through a review of these notions that presently remain isolated from the contemporary mainstream resilience and climate change discourses, this paper proposes an urban morphological theoretical framework that establishes theoretical and empirical links between urban form on the one hand, and climate change adaptation and resilience on the other. With urban morphology as its underpinning, the proposed theoretical framework identifies a set of variables that could potentially influence the resilience of urban form, hence, are proposed to measure its resilience to climate change. These variables underscore urban form's physical, spatial, and functional characteristics and their changes over time.","author":[{"dropping-particle":"","family":"Dhar","given":"Tapan K.","non-dropping-particle":"","parse-names":false,"suffix":""},{"dropping-particle":"","family":"Khirfan","given":"Luna","non-dropping-particle":"","parse-names":false,"suffix":""}],"container-title":"Urban Climate","id":"ITEM-1","issued":{"date-parts":[["2017"]]},"page":"72-91","publisher":"Elsevier B.V.","title":"A multi-scale and multi-dimensional framework for enhancing the resilience of urban form to climate change","type":"article-journal","volume":"19"},"uris":["http://www.mendeley.com/documents/?uuid=b2650925-5a65-4c7a-85bb-6662fee5f3c4"]}],"mendeley":{"formattedCitation":"(Dhar &amp; Khirfan, 2017)","plainTextFormattedCitation":"(Dhar &amp; Khirfan, 2017)","previouslyFormattedCitation":"(Dhar &amp; Khirfan, 2017)"},"properties":{"noteIndex":0},"schema":"https://github.com/citation-style-language/schema/raw/master/csl-citation.json"}</w:instrText>
      </w:r>
      <w:r>
        <w:rPr>
          <w:rFonts w:ascii="Times New Roman" w:hAnsi="Times New Roman" w:cs="Times New Roman"/>
          <w:bCs/>
          <w:sz w:val="24"/>
          <w:szCs w:val="24"/>
        </w:rPr>
        <w:fldChar w:fldCharType="separate"/>
      </w:r>
      <w:r w:rsidRPr="007C1D35">
        <w:rPr>
          <w:rFonts w:ascii="Times New Roman" w:hAnsi="Times New Roman" w:cs="Times New Roman"/>
          <w:bCs/>
          <w:noProof/>
          <w:sz w:val="24"/>
          <w:szCs w:val="24"/>
        </w:rPr>
        <w:t>(Dhar &amp; Khirfan, 2017)</w:t>
      </w:r>
      <w:r>
        <w:rPr>
          <w:rFonts w:ascii="Times New Roman" w:hAnsi="Times New Roman" w:cs="Times New Roman"/>
          <w:bCs/>
          <w:sz w:val="24"/>
          <w:szCs w:val="24"/>
        </w:rPr>
        <w:fldChar w:fldCharType="end"/>
      </w:r>
      <w:r w:rsidRPr="007C1D35">
        <w:rPr>
          <w:rFonts w:ascii="Times New Roman" w:hAnsi="Times New Roman" w:cs="Times New Roman"/>
          <w:bCs/>
          <w:sz w:val="24"/>
          <w:szCs w:val="24"/>
        </w:rPr>
        <w:t>. Específicamente en el diseño urbano, la resiliencia permite a las comunidades transformar sus formas y funciones para adaptarse al cambio climático y sus crecientes incertidumbres. Las comunidades costeras sometidas a los efectos del calentamiento global y eventos climáticos extremos, son puntos de atención por su necesidad urgente de opciones de adaptación.</w:t>
      </w:r>
    </w:p>
    <w:p w14:paraId="6C73E5D7" w14:textId="77777777" w:rsidR="008622E1" w:rsidRDefault="007C1D35" w:rsidP="007C1D35">
      <w:pPr>
        <w:spacing w:after="0" w:line="360" w:lineRule="auto"/>
        <w:jc w:val="both"/>
        <w:rPr>
          <w:rFonts w:ascii="Times New Roman" w:hAnsi="Times New Roman" w:cs="Times New Roman"/>
          <w:bCs/>
          <w:sz w:val="24"/>
          <w:szCs w:val="24"/>
        </w:rPr>
      </w:pPr>
      <w:r w:rsidRPr="007C1D35">
        <w:rPr>
          <w:rFonts w:ascii="Times New Roman" w:hAnsi="Times New Roman" w:cs="Times New Roman"/>
          <w:bCs/>
          <w:sz w:val="24"/>
          <w:szCs w:val="24"/>
        </w:rPr>
        <w:lastRenderedPageBreak/>
        <w:t xml:space="preserve"> La resiliencia en la mayor parte de los casos se aplica a problemas relacionados con aspectos particulares de un sistema que pueden surgir de un conjunto particular de fuentes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{"citationItems":[{"id":"ITEM-1","itemData":{"DOI":"10.5751/ES-03610-150420","ISSN":"17083087","abstract":"Resilience thinking addresses the dynamics and development of complex social-ecological systems (SES). Three aspects are central: resilience, adaptability and transformability. These aspects interrelate across multiple scales. Resilience in this context is the capacity of a SES to continually change and adapt yet remain within critical thresholds. Adaptability is part of resilience. It represents the capacity to adjust responses to changing external drivers and internal processes and thereby allow for development along the current trajectory (stability domain). Transformability is the capacity to cross thresholds into new development trajectories. Transformational change at smaller scales enables resilience at larger scales. The capacity to transform at smaller scales draws on resilience from multiple scales, making use of crises as windows of opportunity for novelty and innovation, and recombining sources of experience and knowledge to navigate social-ecological transitions. Society must seriously consider ways to foster resilience of smaller more manageable SESs that contribute to Earth System resilience and to explore options for deliberate transformation of SESs that threaten Earth System resilience. © 2010 by the author(s).","author":[{"dropping-particle":"","family":"Folke","given":"Carl","non-dropping-particle":"","parse-names":false,"suffix":""},{"dropping-particle":"","family":"Carpenter","given":"Stephen R.","non-dropping-particle":"","parse-names":false,"suffix":""},{"dropping-particle":"","family":"Walker","given":"Brian","non-dropping-particle":"","parse-names":false,"suffix":""},{"dropping-particle":"","family":"Scheffer","given":"Marten","non-dropping-particle":"","parse-names":false,"suffix":""},{"dropping-particle":"","family":"Chapin","given":"Terry","non-dropping-particle":"","parse-names":false,"suffix":""},{"dropping-particle":"","family":"Rockström","given":"Johan","non-dropping-particle":"","parse-names":false,"suffix":""}],"container-title":"Ecology and Society","id":"ITEM-1","issue":"4","issued":{"date-parts":[["2010"]]},"title":"Resilience thinking: Integrating resilience, adaptability and transformability","type":"article-journal","volume":"15"},"uris":["http://www.mendeley.com/documents/?uuid=540f3bc8-8b8f-4246-b2b5-53849efe761a"]}],"mendeley":{"formattedCitation":"(Folke et al., 2010)","plainTextFormattedCitation":"(Folke et al., 2010)","previouslyFormattedCitation":"(Folke et al., 2010)"},"properties":{"noteIndex":0},"schema":"https://github.com/citation-style-language/schema/raw/master/csl-citation.json"}</w:instrText>
      </w:r>
      <w:r>
        <w:rPr>
          <w:rFonts w:ascii="Times New Roman" w:hAnsi="Times New Roman" w:cs="Times New Roman"/>
          <w:bCs/>
          <w:sz w:val="24"/>
          <w:szCs w:val="24"/>
        </w:rPr>
        <w:fldChar w:fldCharType="separate"/>
      </w:r>
      <w:r w:rsidRPr="007C1D35">
        <w:rPr>
          <w:rFonts w:ascii="Times New Roman" w:hAnsi="Times New Roman" w:cs="Times New Roman"/>
          <w:bCs/>
          <w:noProof/>
          <w:sz w:val="24"/>
          <w:szCs w:val="24"/>
        </w:rPr>
        <w:t>(Folke et al., 2010)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
    <w:p w14:paraId="34014DD5" w14:textId="221EC4AF" w:rsidR="007C1D35" w:rsidRPr="007C1D35" w:rsidRDefault="008622E1" w:rsidP="007C1D35">
      <w:pPr>
        <w:spacing w:after="0" w:line="360" w:lineRule="auto"/>
        <w:jc w:val="both"/>
        <w:rPr>
          <w:rFonts w:ascii="Times New Roman" w:hAnsi="Times New Roman" w:cs="Times New Roman"/>
          <w:bCs/>
          <w:sz w:val="24"/>
          <w:szCs w:val="24"/>
        </w:rPr>
      </w:pPr>
      <w:r w:rsidRPr="008622E1">
        <w:rPr>
          <w:rFonts w:ascii="Times New Roman" w:hAnsi="Times New Roman" w:cs="Times New Roman"/>
          <w:bCs/>
          <w:sz w:val="24"/>
          <w:szCs w:val="24"/>
        </w:rPr>
        <w:t>Los asentamientos humanos, de acuerdo a su complejidad tienen toda una gama de clasificaciones de características específicas, esta particularidad hace que cada enfoque adaptativo sea diferente. La presente investigación se dirige a comunidades costeras de pequeñas dimensiones y propiedades urbanas menos avanzadas.</w:t>
      </w:r>
      <w:r w:rsidR="00FC45E6">
        <w:rPr>
          <w:rFonts w:ascii="Times New Roman" w:hAnsi="Times New Roman" w:cs="Times New Roman"/>
          <w:bCs/>
          <w:sz w:val="24"/>
          <w:szCs w:val="24"/>
        </w:rPr>
        <w:t xml:space="preserve"> </w:t>
      </w:r>
      <w:r w:rsidR="007C1D35" w:rsidRPr="007C1D35">
        <w:rPr>
          <w:rFonts w:ascii="Times New Roman" w:hAnsi="Times New Roman" w:cs="Times New Roman"/>
          <w:bCs/>
          <w:sz w:val="24"/>
          <w:szCs w:val="24"/>
        </w:rPr>
        <w:t xml:space="preserve">En el caso de </w:t>
      </w:r>
      <w:r w:rsidR="00FC45E6">
        <w:rPr>
          <w:rFonts w:ascii="Times New Roman" w:hAnsi="Times New Roman" w:cs="Times New Roman"/>
          <w:bCs/>
          <w:sz w:val="24"/>
          <w:szCs w:val="24"/>
        </w:rPr>
        <w:t>estas</w:t>
      </w:r>
      <w:r w:rsidR="007C1D35" w:rsidRPr="007C1D35">
        <w:rPr>
          <w:rFonts w:ascii="Times New Roman" w:hAnsi="Times New Roman" w:cs="Times New Roman"/>
          <w:bCs/>
          <w:sz w:val="24"/>
          <w:szCs w:val="24"/>
        </w:rPr>
        <w:t xml:space="preserve"> comunidades costeras, las amenazas no se limitan a las relacionadas con el mar, el cambio climático genera la pérdida de la biodiversidad marina y afecta la actividad económica fundamental de estas comunidades; la pesca. En estas, es necesario estar preocupado por la resiliencia a todo tipo de amenazas, incluidas las completamente nuevas</w:t>
      </w:r>
      <w:r w:rsidR="007C1D35">
        <w:rPr>
          <w:rFonts w:ascii="Times New Roman" w:hAnsi="Times New Roman" w:cs="Times New Roman"/>
          <w:bCs/>
          <w:sz w:val="24"/>
          <w:szCs w:val="24"/>
        </w:rPr>
        <w:t xml:space="preserve"> </w:t>
      </w:r>
      <w:r w:rsidR="007C1D35">
        <w:rPr>
          <w:rFonts w:ascii="Times New Roman" w:hAnsi="Times New Roman" w:cs="Times New Roman"/>
          <w:bCs/>
          <w:sz w:val="24"/>
          <w:szCs w:val="24"/>
        </w:rPr>
        <w:fldChar w:fldCharType="begin" w:fldLock="1"/>
      </w:r>
      <w:r w:rsidR="007C1D35">
        <w:rPr>
          <w:rFonts w:ascii="Times New Roman" w:hAnsi="Times New Roman" w:cs="Times New Roman"/>
          <w:bCs/>
          <w:sz w:val="24"/>
          <w:szCs w:val="24"/>
        </w:rPr>
        <w:instrText>ADDIN CSL_CITATION {"citationItems":[{"id":"ITEM-1","itemData":{"DOI":"10.5751/ES-03610-150420","ISSN":"17083087","abstract":"Resilience thinking addresses the dynamics and development of complex social-ecological systems (SES). Three aspects are central: resilience, adaptability and transformability. These aspects interrelate across multiple scales. Resilience in this context is the capacity of a SES to continually change and adapt yet remain within critical thresholds. Adaptability is part of resilience. It represents the capacity to adjust responses to changing external drivers and internal processes and thereby allow for development along the current trajectory (stability domain). Transformability is the capacity to cross thresholds into new development trajectories. Transformational change at smaller scales enables resilience at larger scales. The capacity to transform at smaller scales draws on resilience from multiple scales, making use of crises as windows of opportunity for novelty and innovation, and recombining sources of experience and knowledge to navigate social-ecological transitions. Society must seriously consider ways to foster resilience of smaller more manageable SESs that contribute to Earth System resilience and to explore options for deliberate transformation of SESs that threaten Earth System resilience. © 2010 by the author(s).","author":[{"dropping-particle":"","family":"Folke","given":"Carl","non-dropping-particle":"","parse-names":false,"suffix":""},{"dropping-particle":"","family":"Carpenter","given":"Stephen R.","non-dropping-particle":"","parse-names":false,"suffix":""},{"dropping-particle":"","family":"Walker","given":"Brian","non-dropping-particle":"","parse-names":false,"suffix":""},{"dropping-particle":"","family":"Scheffer","given":"Marten","non-dropping-particle":"","parse-names":false,"suffix":""},{"dropping-particle":"","family":"Chapin","given":"Terry","non-dropping-particle":"","parse-names":false,"suffix":""},{"dropping-particle":"","family":"Rockström","given":"Johan","non-dropping-particle":"","parse-names":false,"suffix":""}],"container-title":"Ecology and Society","id":"ITEM-1","issue":"4","issued":{"date-parts":[["2010"]]},"title":"Resilience thinking: Integrating resilience, adaptability and transformability","type":"article-journal","volume":"15"},"uris":["http://www.mendeley.com/documents/?uuid=540f3bc8-8b8f-4246-b2b5-53849efe761a"]}],"mendeley":{"formattedCitation":"(Folke et al., 2010)","plainTextFormattedCitation":"(Folke et al., 2010)","previouslyFormattedCitation":"(Folke et al., 2010)"},"properties":{"noteIndex":0},"schema":"https://github.com/citation-style-language/schema/raw/master/csl-citation.json"}</w:instrText>
      </w:r>
      <w:r w:rsidR="007C1D35">
        <w:rPr>
          <w:rFonts w:ascii="Times New Roman" w:hAnsi="Times New Roman" w:cs="Times New Roman"/>
          <w:bCs/>
          <w:sz w:val="24"/>
          <w:szCs w:val="24"/>
        </w:rPr>
        <w:fldChar w:fldCharType="separate"/>
      </w:r>
      <w:r w:rsidR="007C1D35" w:rsidRPr="007C1D35">
        <w:rPr>
          <w:rFonts w:ascii="Times New Roman" w:hAnsi="Times New Roman" w:cs="Times New Roman"/>
          <w:bCs/>
          <w:noProof/>
          <w:sz w:val="24"/>
          <w:szCs w:val="24"/>
        </w:rPr>
        <w:t>(Folke et al., 2010)</w:t>
      </w:r>
      <w:r w:rsidR="007C1D35">
        <w:rPr>
          <w:rFonts w:ascii="Times New Roman" w:hAnsi="Times New Roman" w:cs="Times New Roman"/>
          <w:bCs/>
          <w:sz w:val="24"/>
          <w:szCs w:val="24"/>
        </w:rPr>
        <w:fldChar w:fldCharType="end"/>
      </w:r>
      <w:r w:rsidR="007C1D35" w:rsidRPr="007C1D35">
        <w:rPr>
          <w:rFonts w:ascii="Times New Roman" w:hAnsi="Times New Roman" w:cs="Times New Roman"/>
          <w:bCs/>
          <w:sz w:val="24"/>
          <w:szCs w:val="24"/>
        </w:rPr>
        <w:t xml:space="preserve">. </w:t>
      </w:r>
    </w:p>
    <w:p w14:paraId="2306F972" w14:textId="01615ECC" w:rsidR="007C1D35" w:rsidRDefault="007C1D35" w:rsidP="007C1D35">
      <w:pPr>
        <w:spacing w:after="0" w:line="360" w:lineRule="auto"/>
        <w:jc w:val="both"/>
        <w:rPr>
          <w:rFonts w:ascii="Times New Roman" w:hAnsi="Times New Roman" w:cs="Times New Roman"/>
          <w:bCs/>
          <w:sz w:val="24"/>
          <w:szCs w:val="24"/>
        </w:rPr>
      </w:pPr>
      <w:r w:rsidRPr="007C1D35">
        <w:rPr>
          <w:rFonts w:ascii="Times New Roman" w:hAnsi="Times New Roman" w:cs="Times New Roman"/>
          <w:bCs/>
          <w:sz w:val="24"/>
          <w:szCs w:val="24"/>
        </w:rPr>
        <w:t xml:space="preserve">Un aspecto importante de la resiliencia es la capacidad de transformabilidad que aporta al sistema urbano para modificar sus componentes. Las comunidades pueden aprovechar la ventana de oportunidad creada por los desastres inducidos por el clima para generar una mejora socioecológica sostenida. Esto que implica que la gestión debe fomentar las capacidades locales para el cambio institucional endógeno y mejorar la resiliencia comunitaria a los impactos climáticos </w:t>
      </w:r>
      <w:r>
        <w:rPr>
          <w:rFonts w:ascii="Times New Roman" w:hAnsi="Times New Roman" w:cs="Times New Roman"/>
          <w:bCs/>
          <w:sz w:val="24"/>
          <w:szCs w:val="24"/>
        </w:rPr>
        <w:fldChar w:fldCharType="begin" w:fldLock="1"/>
      </w:r>
      <w:r w:rsidR="00D93A69">
        <w:rPr>
          <w:rFonts w:ascii="Times New Roman" w:hAnsi="Times New Roman" w:cs="Times New Roman"/>
          <w:bCs/>
          <w:sz w:val="24"/>
          <w:szCs w:val="24"/>
        </w:rPr>
        <w:instrText>ADDIN CSL_CITATION {"citationItems":[{"id":"ITEM-1","itemData":{"DOI":"10.1073/pnas.1014123108","ISSN":"10916490","abstract":"Two distinct views are evident in research on how rural communities in developing countries cope with extreme weather events brought by climate change: (i) that the resource-reliant poor are acutely vulnerable and need external assistance to prepare for such events, and (ii) that climate-related shocks can offer windows of opportunity in which latent local adaptive capacities are triggered, leading to systemic improvement. Results from a longitudinal study in a Tawahka community in Honduras before and after Hurricane Mitch (1994-2002) indicate that residents were highly vulnerable to the hurricane-due in part to previous development assistance-and that the poorest households were the hardest hit. Surprisingly, however, the disaster enabled the poor to initiate an institutional change that led to more equitable land distribution, slowed primary forest conversion, and positioned the community well to cope with comparable flooding occurring 10 y later. The study provides compelling evidence that communities can seize on the window of opportunity created by climate-induced shocks to generate sustained social-ecological improvement, and suggests that future interventions should foster local capacities for endogenous institutional change to enhance community resilience to climate shocks.","author":[{"dropping-particle":"","family":"McSweeney","given":"Kendra","non-dropping-particle":"","parse-names":false,"suffix":""},{"dropping-particle":"","family":"Coomes","given":"Oliver T.","non-dropping-particle":"","parse-names":false,"suffix":""}],"container-title":"Proceedings of the National Academy of Sciences of the United States of America","id":"ITEM-1","issue":"13","issued":{"date-parts":[["2011"]]},"page":"5203-5208","title":"Climate-related disaster opens a window of opportunity for rural poor in northeastern Honduras","type":"article-journal","volume":"108"},"uris":["http://www.mendeley.com/documents/?uuid=2996145d-359b-42c7-99c9-7eddfe01f302"]}],"mendeley":{"formattedCitation":"(McSweeney &amp; Coomes, 2011)","plainTextFormattedCitation":"(McSweeney &amp; Coomes, 2011)","previouslyFormattedCitation":"(McSweeney &amp; Coomes, 2011)"},"properties":{"noteIndex":0},"schema":"https://github.com/citation-style-language/schema/raw/master/csl-citation.json"}</w:instrText>
      </w:r>
      <w:r>
        <w:rPr>
          <w:rFonts w:ascii="Times New Roman" w:hAnsi="Times New Roman" w:cs="Times New Roman"/>
          <w:bCs/>
          <w:sz w:val="24"/>
          <w:szCs w:val="24"/>
        </w:rPr>
        <w:fldChar w:fldCharType="separate"/>
      </w:r>
      <w:r w:rsidRPr="007C1D35">
        <w:rPr>
          <w:rFonts w:ascii="Times New Roman" w:hAnsi="Times New Roman" w:cs="Times New Roman"/>
          <w:bCs/>
          <w:noProof/>
          <w:sz w:val="24"/>
          <w:szCs w:val="24"/>
        </w:rPr>
        <w:t>(McSweeney &amp; Coomes, 2011)</w:t>
      </w:r>
      <w:r>
        <w:rPr>
          <w:rFonts w:ascii="Times New Roman" w:hAnsi="Times New Roman" w:cs="Times New Roman"/>
          <w:bCs/>
          <w:sz w:val="24"/>
          <w:szCs w:val="24"/>
        </w:rPr>
        <w:fldChar w:fldCharType="end"/>
      </w:r>
      <w:r w:rsidRPr="007C1D35">
        <w:rPr>
          <w:rFonts w:ascii="Times New Roman" w:hAnsi="Times New Roman" w:cs="Times New Roman"/>
          <w:bCs/>
          <w:sz w:val="24"/>
          <w:szCs w:val="24"/>
        </w:rPr>
        <w:t>.</w:t>
      </w:r>
    </w:p>
    <w:p w14:paraId="22AA4707" w14:textId="79739DE6" w:rsidR="002F3EED" w:rsidRDefault="002F3EED" w:rsidP="007C1D35">
      <w:pPr>
        <w:spacing w:after="0" w:line="360" w:lineRule="auto"/>
        <w:jc w:val="both"/>
        <w:rPr>
          <w:rFonts w:ascii="Times New Roman" w:hAnsi="Times New Roman" w:cs="Times New Roman"/>
          <w:bCs/>
          <w:sz w:val="24"/>
          <w:szCs w:val="24"/>
        </w:rPr>
      </w:pPr>
    </w:p>
    <w:p w14:paraId="637D6FE5" w14:textId="503668A7" w:rsidR="002F3EED" w:rsidRDefault="002F3EED" w:rsidP="007C1D3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0560" behindDoc="0" locked="0" layoutInCell="1" allowOverlap="1" wp14:anchorId="7D7356DA" wp14:editId="679B21BB">
            <wp:simplePos x="0" y="0"/>
            <wp:positionH relativeFrom="column">
              <wp:posOffset>386715</wp:posOffset>
            </wp:positionH>
            <wp:positionV relativeFrom="paragraph">
              <wp:posOffset>568325</wp:posOffset>
            </wp:positionV>
            <wp:extent cx="4629150" cy="2606675"/>
            <wp:effectExtent l="0" t="0" r="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26066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 xml:space="preserve">3.3 </w:t>
      </w:r>
      <w:r w:rsidRPr="002F3EED">
        <w:rPr>
          <w:rFonts w:ascii="Times New Roman" w:hAnsi="Times New Roman" w:cs="Times New Roman"/>
          <w:bCs/>
          <w:sz w:val="24"/>
          <w:szCs w:val="24"/>
        </w:rPr>
        <w:t>Riesgos de desastres y adaptación al cambio climático en comunidades costeras cubanas</w:t>
      </w:r>
      <w:r w:rsidR="00884301">
        <w:rPr>
          <w:rFonts w:ascii="Times New Roman" w:hAnsi="Times New Roman" w:cs="Times New Roman"/>
          <w:bCs/>
          <w:sz w:val="24"/>
          <w:szCs w:val="24"/>
        </w:rPr>
        <w:t xml:space="preserve"> (ver Figura 1)</w:t>
      </w:r>
    </w:p>
    <w:p w14:paraId="133E8B74" w14:textId="4569EF48" w:rsidR="008622E1" w:rsidRPr="00FC45E6" w:rsidRDefault="002F3EED" w:rsidP="00FC45E6">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1. </w:t>
      </w:r>
      <w:r>
        <w:rPr>
          <w:rFonts w:ascii="Times New Roman" w:hAnsi="Times New Roman" w:cs="Times New Roman"/>
          <w:sz w:val="20"/>
        </w:rPr>
        <w:t>Vivienda vulnerable a inundaciones costeras. Fuente: Elaboración Propia</w:t>
      </w:r>
    </w:p>
    <w:p w14:paraId="514F1F59" w14:textId="1FE0EF06" w:rsidR="007C1D35" w:rsidRDefault="002F3EED" w:rsidP="00985F35">
      <w:pPr>
        <w:spacing w:after="0" w:line="360" w:lineRule="auto"/>
        <w:jc w:val="both"/>
        <w:rPr>
          <w:rFonts w:ascii="Times New Roman" w:hAnsi="Times New Roman" w:cs="Times New Roman"/>
          <w:bCs/>
          <w:sz w:val="24"/>
          <w:szCs w:val="24"/>
        </w:rPr>
      </w:pPr>
      <w:r w:rsidRPr="002F3EED">
        <w:rPr>
          <w:rFonts w:ascii="Times New Roman" w:hAnsi="Times New Roman" w:cs="Times New Roman"/>
          <w:bCs/>
          <w:sz w:val="24"/>
          <w:szCs w:val="24"/>
        </w:rPr>
        <w:lastRenderedPageBreak/>
        <w:t>En Cuba a partir del año 1996 se inició un período muy activo en número de huracanes originados en el Mar Caribe y el Atlántico tropical, coincidiendo con el calentamiento abrupto de las temperaturas marinas en la zona. Entre el 2001 y el 2008 el país fue afectado por nueve huracanes de gran intensidad provocando los mayores daños en los asentamientos humanos. La tendencia de incremento de los huracanes de gran intensidad se mantiene en la actualidad y los pronósticos apuntan al comportamiento igual o superior en el futuro. Este comportamiento a escala mundial, impuso en la agenda intergubernamental la rúbrica de estrategias y protocolos para la mitigación de desastres de origen natural y la adaptación al cambio climático.</w:t>
      </w:r>
    </w:p>
    <w:p w14:paraId="0D266B06" w14:textId="083CB901" w:rsidR="002F3EED" w:rsidRPr="002F3EED" w:rsidRDefault="002F3EED" w:rsidP="002F3EED">
      <w:pPr>
        <w:spacing w:after="0" w:line="360" w:lineRule="auto"/>
        <w:jc w:val="both"/>
        <w:rPr>
          <w:rFonts w:ascii="Times New Roman" w:hAnsi="Times New Roman" w:cs="Times New Roman"/>
          <w:bCs/>
          <w:sz w:val="24"/>
          <w:szCs w:val="24"/>
        </w:rPr>
      </w:pPr>
      <w:r w:rsidRPr="002F3EED">
        <w:rPr>
          <w:rFonts w:ascii="Times New Roman" w:hAnsi="Times New Roman" w:cs="Times New Roman"/>
          <w:bCs/>
          <w:sz w:val="24"/>
          <w:szCs w:val="24"/>
        </w:rPr>
        <w:t xml:space="preserve">Las comunidades costeras en Cuba resultan puntos interesantes para analizar sus capacidades adaptativas. Como política del país, se busca proteger a todos los asentamientos vulnerables, por lo que las intervenciones encaminadas a su protección son prioridad en el contexto actual. Esta tarea resulta de alta complejidad por la variedad de características específicas que se presentan en cada comunidad. Se demanda un análisis exhaustivo y un monitoreo sistemático de las intervenciones regidas por el “Plan de Estado para el Enfrentamiento al Cambio Climático en la República de Cuba: Tarea Vida” </w:t>
      </w:r>
      <w:r>
        <w:rPr>
          <w:rFonts w:ascii="Times New Roman" w:hAnsi="Times New Roman" w:cs="Times New Roman"/>
          <w:bCs/>
          <w:sz w:val="24"/>
          <w:szCs w:val="24"/>
        </w:rPr>
        <w:fldChar w:fldCharType="begin" w:fldLock="1"/>
      </w:r>
      <w:r w:rsidR="000D7B39">
        <w:rPr>
          <w:rFonts w:ascii="Times New Roman" w:hAnsi="Times New Roman" w:cs="Times New Roman"/>
          <w:bCs/>
          <w:sz w:val="24"/>
          <w:szCs w:val="24"/>
        </w:rPr>
        <w:instrText>ADDIN CSL_CITATION {"citationItems":[{"id":"ITEM-1","itemData":{"author":[{"dropping-particle":"","family":"Ministerio de Ciencia Tecnología y Medio Ambiente;","given":"","non-dropping-particle":"","parse-names":false,"suffix":""},{"dropping-particle":"","family":"Consejo de Ministros de Cuba;","given":"","non-dropping-particle":"","parse-names":false,"suffix":""}],"id":"ITEM-1","issued":{"date-parts":[["2017"]]},"page":"12","publisher-place":"Cuba","title":"Enfrentamiento al Cambio Climático en la República de Cuba: Tarea Vida","type":"legislation"},"uris":["http://www.mendeley.com/documents/?uuid=e39ab968-fe08-445b-9fc9-b7e7c1083c51"]}],"mendeley":{"formattedCitation":"(Enfrentamiento Al Cambio Climático En La República de Cuba: Tarea Vida, 2017)","manualFormatting":"(Consejo de Ministros de Cuba, 2017)","plainTextFormattedCitation":"(Enfrentamiento Al Cambio Climático En La República de Cuba: Tarea Vida, 2017)","previouslyFormattedCitation":"(Enfrentamiento Al Cambio Climático En La República de Cuba: Tarea Vida, 2017)"},"properties":{"noteIndex":0},"schema":"https://github.com/citation-style-language/schema/raw/master/csl-citation.json"}</w:instrText>
      </w:r>
      <w:r>
        <w:rPr>
          <w:rFonts w:ascii="Times New Roman" w:hAnsi="Times New Roman" w:cs="Times New Roman"/>
          <w:bCs/>
          <w:sz w:val="24"/>
          <w:szCs w:val="24"/>
        </w:rPr>
        <w:fldChar w:fldCharType="separate"/>
      </w:r>
      <w:r w:rsidR="000D7B39">
        <w:rPr>
          <w:rFonts w:ascii="Times New Roman" w:hAnsi="Times New Roman" w:cs="Times New Roman"/>
          <w:bCs/>
          <w:noProof/>
          <w:sz w:val="24"/>
          <w:szCs w:val="24"/>
        </w:rPr>
        <w:t>(C</w:t>
      </w:r>
      <w:r>
        <w:rPr>
          <w:rFonts w:ascii="Times New Roman" w:hAnsi="Times New Roman" w:cs="Times New Roman"/>
          <w:bCs/>
          <w:noProof/>
          <w:sz w:val="24"/>
          <w:szCs w:val="24"/>
        </w:rPr>
        <w:t>onsejo de Ministros de Cuba</w:t>
      </w:r>
      <w:r w:rsidRPr="002F3EED">
        <w:rPr>
          <w:rFonts w:ascii="Times New Roman" w:hAnsi="Times New Roman" w:cs="Times New Roman"/>
          <w:bCs/>
          <w:noProof/>
          <w:sz w:val="24"/>
          <w:szCs w:val="24"/>
        </w:rPr>
        <w:t>, 2017)</w:t>
      </w:r>
      <w:r>
        <w:rPr>
          <w:rFonts w:ascii="Times New Roman" w:hAnsi="Times New Roman" w:cs="Times New Roman"/>
          <w:bCs/>
          <w:sz w:val="24"/>
          <w:szCs w:val="24"/>
        </w:rPr>
        <w:fldChar w:fldCharType="end"/>
      </w:r>
    </w:p>
    <w:p w14:paraId="15E48E9D" w14:textId="77777777" w:rsidR="002F3EED" w:rsidRPr="002F3EED" w:rsidRDefault="002F3EED" w:rsidP="002F3EED">
      <w:pPr>
        <w:spacing w:after="0" w:line="360" w:lineRule="auto"/>
        <w:jc w:val="both"/>
        <w:rPr>
          <w:rFonts w:ascii="Times New Roman" w:hAnsi="Times New Roman" w:cs="Times New Roman"/>
          <w:bCs/>
          <w:sz w:val="24"/>
          <w:szCs w:val="24"/>
        </w:rPr>
      </w:pPr>
      <w:r w:rsidRPr="002F3EED">
        <w:rPr>
          <w:rFonts w:ascii="Times New Roman" w:hAnsi="Times New Roman" w:cs="Times New Roman"/>
          <w:bCs/>
          <w:sz w:val="24"/>
          <w:szCs w:val="24"/>
        </w:rPr>
        <w:t>Este plan tiene su origen en octubre del 2007 cuando el Consejo de Ministros analizó por primera vez el tema del cambio climático y aprobó un programa de enfrentamiento compuesto por seis tareas generales, que priorizó la adaptación en los sectores económicos y sociales, enfocado hacia la zona costera y vinculado con la reducción de desastres en el futuro. En 2017 se aprueba la estrategia integral del país para actuar frente a los efectos del cambio climático, se definen prioridades y acciones a ejecutar en el corto, mediano, largo y muy largo plazo. Este plan busca crear conciencia y generar soluciones para las consecuencias del cambio climático en las zonas costeras y la economía del país.</w:t>
      </w:r>
    </w:p>
    <w:p w14:paraId="47E563D1" w14:textId="77777777" w:rsidR="000D7B39" w:rsidRDefault="002F3EED" w:rsidP="002F3EED">
      <w:pPr>
        <w:spacing w:after="0" w:line="360" w:lineRule="auto"/>
        <w:jc w:val="both"/>
        <w:rPr>
          <w:rFonts w:ascii="Times New Roman" w:hAnsi="Times New Roman" w:cs="Times New Roman"/>
          <w:bCs/>
          <w:sz w:val="24"/>
          <w:szCs w:val="24"/>
        </w:rPr>
      </w:pPr>
      <w:r w:rsidRPr="002F3EED">
        <w:rPr>
          <w:rFonts w:ascii="Times New Roman" w:hAnsi="Times New Roman" w:cs="Times New Roman"/>
          <w:bCs/>
          <w:sz w:val="24"/>
          <w:szCs w:val="24"/>
        </w:rPr>
        <w:t xml:space="preserve">En su línea 5 se plantea la necesidad de la adaptación al cambio climático de 94 municipios costeros en el país. Esta planificación requiere trabajar de acuerdo a grados de prioridad y disponibilidad de recursos, a la vez que garantiza el menor impacto negativo en el factor social. En el proceso de adaptación, las comunidades necesitan mecanismos que faciliten la transición y posibiliten resultados satisfactorios. La </w:t>
      </w:r>
      <w:r w:rsidRPr="002F3EED">
        <w:rPr>
          <w:rFonts w:ascii="Times New Roman" w:hAnsi="Times New Roman" w:cs="Times New Roman"/>
          <w:bCs/>
          <w:sz w:val="24"/>
          <w:szCs w:val="24"/>
        </w:rPr>
        <w:lastRenderedPageBreak/>
        <w:t>resiliencia comunitaria se posiciona como una de las alternativas más utilizadas para intervenir en los asentamientos humanos amenazados por el cambio climático.</w:t>
      </w:r>
      <w:r w:rsidR="000D7B39">
        <w:rPr>
          <w:rFonts w:ascii="Times New Roman" w:hAnsi="Times New Roman" w:cs="Times New Roman"/>
          <w:bCs/>
          <w:sz w:val="24"/>
          <w:szCs w:val="24"/>
        </w:rPr>
        <w:t xml:space="preserve"> </w:t>
      </w:r>
    </w:p>
    <w:p w14:paraId="32B28BE9" w14:textId="77777777" w:rsidR="000D7B39" w:rsidRDefault="000D7B39" w:rsidP="002F3EED">
      <w:pPr>
        <w:spacing w:after="0" w:line="360" w:lineRule="auto"/>
        <w:jc w:val="both"/>
        <w:rPr>
          <w:rFonts w:ascii="Times New Roman" w:hAnsi="Times New Roman" w:cs="Times New Roman"/>
          <w:bCs/>
          <w:sz w:val="24"/>
          <w:szCs w:val="24"/>
        </w:rPr>
      </w:pPr>
    </w:p>
    <w:p w14:paraId="3AF38D67" w14:textId="382EBFBA" w:rsidR="002F3EED" w:rsidRPr="00985F35" w:rsidRDefault="000D7B39" w:rsidP="002F3EE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3.4 </w:t>
      </w:r>
      <w:r w:rsidRPr="000D7B39">
        <w:rPr>
          <w:rFonts w:ascii="Times New Roman" w:hAnsi="Times New Roman" w:cs="Times New Roman"/>
          <w:bCs/>
          <w:sz w:val="24"/>
          <w:szCs w:val="24"/>
        </w:rPr>
        <w:t>Enfoque multidimensional de resiliencia</w:t>
      </w:r>
    </w:p>
    <w:p w14:paraId="7D25CB8A" w14:textId="16B4C520" w:rsidR="000D7B39" w:rsidRDefault="000D7B39" w:rsidP="000D7B39">
      <w:pPr>
        <w:spacing w:after="0" w:line="360" w:lineRule="auto"/>
        <w:jc w:val="both"/>
        <w:rPr>
          <w:rFonts w:ascii="Times New Roman" w:hAnsi="Times New Roman" w:cs="Times New Roman"/>
          <w:bCs/>
          <w:sz w:val="24"/>
          <w:szCs w:val="24"/>
        </w:rPr>
      </w:pPr>
      <w:r w:rsidRPr="000D7B39">
        <w:rPr>
          <w:rFonts w:ascii="Times New Roman" w:hAnsi="Times New Roman" w:cs="Times New Roman"/>
          <w:bCs/>
          <w:sz w:val="24"/>
          <w:szCs w:val="24"/>
        </w:rPr>
        <w:t xml:space="preserve">Al ser un concepto complejo y con múltiples acercamientos, </w:t>
      </w:r>
      <w:r>
        <w:rPr>
          <w:rFonts w:ascii="Times New Roman" w:hAnsi="Times New Roman" w:cs="Times New Roman"/>
          <w:bCs/>
          <w:sz w:val="24"/>
          <w:szCs w:val="24"/>
        </w:rPr>
        <w:t>la investigación propone un análisis</w:t>
      </w:r>
      <w:r w:rsidRPr="000D7B39">
        <w:rPr>
          <w:rFonts w:ascii="Times New Roman" w:hAnsi="Times New Roman" w:cs="Times New Roman"/>
          <w:bCs/>
          <w:sz w:val="24"/>
          <w:szCs w:val="24"/>
        </w:rPr>
        <w:t xml:space="preserve"> en dimensiones para garantizar un entendimiento acertado de su alcance. El estudio sobre esta materia expone las principales áreas que abarca este concepto, según</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{"citationItems":[{"id":"ITEM-1","itemData":{"DOI":"10.1016/j.cosust.2010.12.014","ISSN":"18773435","abstract":"The notion of resilience is gaining increasing prominence across a diverse set of literatures on cities and climate change. Although there is some disagreement among these different literatures about how to define and measure resilience, there is broad consensus that: (1) cities must become resilient to a wider range of shocks and stresses in order to be prepared for climate change; and (2) efforts to foster climate change resilience must be bundled with efforts to promote urban development and sustainability. Emerging issues for future study highlight some of the challenges associated with practical application of resilience approaches. These include responding to equity concerns associated with uneven patterns of resilience both within and across cities, assessing the costs of implementing resilience strategies, and identifying options for harnessing the innovation potential in cities as a means to foster resilience and sustainability. © 2011 Elsevier B.V.","author":[{"dropping-particle":"","family":"Leichenko","given":"Robin","non-dropping-particle":"","parse-names":false,"suffix":""}],"container-title":"Current Opinion in Environmental Sustainability","id":"ITEM-1","issue":"3","issued":{"date-parts":[["2011"]]},"page":"164-168","title":"Climate change and urban resilience","type":"article-journal","volume":"3"},"uris":["http://www.mendeley.com/documents/?uuid=2fd91ee4-071a-4674-81d7-8be797d20c6a"]}],"mendeley":{"formattedCitation":"(Leichenko, 2011)","manualFormatting":"Leichenko (2011)","plainTextFormattedCitation":"(Leichenko, 2011)","previouslyFormattedCitation":"(Leichenko, 2011)"},"properties":{"noteIndex":0},"schema":"https://github.com/citation-style-language/schema/raw/master/csl-citation.json"}</w:instrText>
      </w:r>
      <w:r>
        <w:rPr>
          <w:rFonts w:ascii="Times New Roman" w:hAnsi="Times New Roman" w:cs="Times New Roman"/>
          <w:bCs/>
          <w:sz w:val="24"/>
          <w:szCs w:val="24"/>
        </w:rPr>
        <w:fldChar w:fldCharType="separate"/>
      </w:r>
      <w:r w:rsidRPr="000D7B39">
        <w:rPr>
          <w:rFonts w:ascii="Times New Roman" w:hAnsi="Times New Roman" w:cs="Times New Roman"/>
          <w:bCs/>
          <w:noProof/>
          <w:sz w:val="24"/>
          <w:szCs w:val="24"/>
        </w:rPr>
        <w:t xml:space="preserve">Leichenko </w:t>
      </w:r>
      <w:r>
        <w:rPr>
          <w:rFonts w:ascii="Times New Roman" w:hAnsi="Times New Roman" w:cs="Times New Roman"/>
          <w:bCs/>
          <w:noProof/>
          <w:sz w:val="24"/>
          <w:szCs w:val="24"/>
        </w:rPr>
        <w:t>(</w:t>
      </w:r>
      <w:r w:rsidRPr="000D7B39">
        <w:rPr>
          <w:rFonts w:ascii="Times New Roman" w:hAnsi="Times New Roman" w:cs="Times New Roman"/>
          <w:bCs/>
          <w:noProof/>
          <w:sz w:val="24"/>
          <w:szCs w:val="24"/>
        </w:rPr>
        <w:t>2011)</w:t>
      </w:r>
      <w:r>
        <w:rPr>
          <w:rFonts w:ascii="Times New Roman" w:hAnsi="Times New Roman" w:cs="Times New Roman"/>
          <w:bCs/>
          <w:sz w:val="24"/>
          <w:szCs w:val="24"/>
        </w:rPr>
        <w:fldChar w:fldCharType="end"/>
      </w:r>
      <w:r w:rsidRPr="000D7B39">
        <w:rPr>
          <w:rFonts w:ascii="Times New Roman" w:hAnsi="Times New Roman" w:cs="Times New Roman"/>
          <w:bCs/>
          <w:sz w:val="24"/>
          <w:szCs w:val="24"/>
        </w:rPr>
        <w:t xml:space="preserve">, los estudios de resiliencia comunitaria se basan en una amplia gama de literatura, que se puede clasificar en cuatro categorías; resiliencia ecológica urbana, riesgos urbanos y reducción del riesgo de desastres, resiliencia de las economías urbanas y regionales y promoción de la resiliencia a través de la gobernanza urbana y las instituciones. </w:t>
      </w:r>
    </w:p>
    <w:p w14:paraId="54808BE6" w14:textId="231EB709" w:rsidR="008E00C7" w:rsidRDefault="008622E1" w:rsidP="00FF3346">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7728" behindDoc="0" locked="0" layoutInCell="1" allowOverlap="1" wp14:anchorId="3AE687CB" wp14:editId="2ACF938D">
            <wp:simplePos x="0" y="0"/>
            <wp:positionH relativeFrom="column">
              <wp:posOffset>-3810</wp:posOffset>
            </wp:positionH>
            <wp:positionV relativeFrom="paragraph">
              <wp:posOffset>1609725</wp:posOffset>
            </wp:positionV>
            <wp:extent cx="5429250" cy="1193532"/>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1193532"/>
                    </a:xfrm>
                    <a:prstGeom prst="rect">
                      <a:avLst/>
                    </a:prstGeom>
                    <a:noFill/>
                  </pic:spPr>
                </pic:pic>
              </a:graphicData>
            </a:graphic>
          </wp:anchor>
        </w:drawing>
      </w:r>
      <w:r w:rsidR="000D7B39" w:rsidRPr="000D7B39">
        <w:rPr>
          <w:rFonts w:ascii="Times New Roman" w:hAnsi="Times New Roman" w:cs="Times New Roman"/>
          <w:bCs/>
          <w:sz w:val="24"/>
          <w:szCs w:val="24"/>
        </w:rPr>
        <w:t>De estas cuatro categorías se derivan las dimensiones que tienen acción en la resiliencia, y que son necesarias comprenderlas individualmente para proyectar su incidencia en el resultado final.</w:t>
      </w:r>
      <w:r w:rsidR="00C36EB6">
        <w:rPr>
          <w:rFonts w:ascii="Times New Roman" w:hAnsi="Times New Roman" w:cs="Times New Roman"/>
          <w:bCs/>
          <w:sz w:val="24"/>
          <w:szCs w:val="24"/>
        </w:rPr>
        <w:t xml:space="preserve"> </w:t>
      </w:r>
      <w:r w:rsidR="00C36EB6" w:rsidRPr="00C36EB6">
        <w:rPr>
          <w:rFonts w:ascii="Times New Roman" w:hAnsi="Times New Roman" w:cs="Times New Roman"/>
          <w:bCs/>
          <w:sz w:val="24"/>
          <w:szCs w:val="24"/>
        </w:rPr>
        <w:t xml:space="preserve">En la investigación “La resiliencia comunitaria para la adaptación al Cambio Climático. Caso de estudio Carahatas” </w:t>
      </w:r>
      <w:r w:rsidR="00E5001E">
        <w:rPr>
          <w:rFonts w:ascii="Times New Roman" w:hAnsi="Times New Roman" w:cs="Times New Roman"/>
          <w:bCs/>
          <w:sz w:val="24"/>
          <w:szCs w:val="24"/>
        </w:rPr>
        <w:fldChar w:fldCharType="begin" w:fldLock="1"/>
      </w:r>
      <w:r w:rsidR="00E5001E">
        <w:rPr>
          <w:rFonts w:ascii="Times New Roman" w:hAnsi="Times New Roman" w:cs="Times New Roman"/>
          <w:bCs/>
          <w:sz w:val="24"/>
          <w:szCs w:val="24"/>
        </w:rPr>
        <w:instrText>ADDIN CSL_CITATION {"citationItems":[{"id":"ITEM-1","itemData":{"ISBN":"4228150314","abstract":"El cambio climático antropogénico, es el mayor reto que enfrenta la humanidad en la actualidad. En este contexto, se sitúa la resiliencia como una línea estratégica en la adaptación, respaldada por la comunidad científica e institucional. La relación de la resiliencia con el cambio climático es reciente, y puede ser considerada como un concepto unificador entre el planeamiento urbano y la adaptación. Cuba, país insular ubicado en un archipiélago del mar Caribe experimenta los efectos adversos del cambio climático. La comunidad costera Carahatas ha sido afectada por eventos climáticos extremos que han reducido sus capacidades de desarrollo y enfrenta la amenaza de inundación permanente por la subida del nivel medio del mar. Su adaptación es un proceso complejo, que implica el reasentamiento hacia zona segura. La Evaluación de la Resiliencia Comunitaria puede ayudar a identificar las potencialidades para un uso eficiente de los esfuerzos y recursos en el proceso de adaptación. En la investigación, se evalúa mediante una herramienta con enfoque multidimensional la resiliencia de esta comunidad, para detectar sus vulnerabilidades y oportunidades. Con esta base, se diseña una propuesta alineada con los planes de adaptación existentes para Carahatas, que incluye dos variantes de viviendas progresivas destinadas a fortalecer los criterios de resiliencia y brinden alternativas de desarrollo sostenible.","author":[{"dropping-particle":"","family":"Castro","given":"Roberto","non-dropping-particle":"","parse-names":false,"suffix":""}],"id":"ITEM-1","issued":{"date-parts":[["2020"]]},"number-of-pages":"130","publisher":"Universidad Central “Marta Abreu” de Las Villas","title":"La resiliencia comunitaria para la adaptación al Cambio Climático. Caso de estudio Carahatas","type":"thesis"},"uris":["http://www.mendeley.com/documents/?uuid=218cf714-1808-43a5-8979-80108edd2093"]}],"mendeley":{"formattedCitation":"(Castro, 2020)","plainTextFormattedCitation":"(Castro, 2020)","previouslyFormattedCitation":"(Castro, 2020)"},"properties":{"noteIndex":0},"schema":"https://github.com/citation-style-language/schema/raw/master/csl-citation.json"}</w:instrText>
      </w:r>
      <w:r w:rsidR="00E5001E">
        <w:rPr>
          <w:rFonts w:ascii="Times New Roman" w:hAnsi="Times New Roman" w:cs="Times New Roman"/>
          <w:bCs/>
          <w:sz w:val="24"/>
          <w:szCs w:val="24"/>
        </w:rPr>
        <w:fldChar w:fldCharType="separate"/>
      </w:r>
      <w:r w:rsidR="00E5001E" w:rsidRPr="00E5001E">
        <w:rPr>
          <w:rFonts w:ascii="Times New Roman" w:hAnsi="Times New Roman" w:cs="Times New Roman"/>
          <w:bCs/>
          <w:noProof/>
          <w:sz w:val="24"/>
          <w:szCs w:val="24"/>
        </w:rPr>
        <w:t>(Castro, 2020)</w:t>
      </w:r>
      <w:r w:rsidR="00E5001E">
        <w:rPr>
          <w:rFonts w:ascii="Times New Roman" w:hAnsi="Times New Roman" w:cs="Times New Roman"/>
          <w:bCs/>
          <w:sz w:val="24"/>
          <w:szCs w:val="24"/>
        </w:rPr>
        <w:fldChar w:fldCharType="end"/>
      </w:r>
      <w:r w:rsidR="00E5001E">
        <w:rPr>
          <w:rFonts w:ascii="Times New Roman" w:hAnsi="Times New Roman" w:cs="Times New Roman"/>
          <w:bCs/>
          <w:sz w:val="24"/>
          <w:szCs w:val="24"/>
        </w:rPr>
        <w:t xml:space="preserve">, </w:t>
      </w:r>
      <w:r w:rsidR="00C36EB6" w:rsidRPr="00C36EB6">
        <w:rPr>
          <w:rFonts w:ascii="Times New Roman" w:hAnsi="Times New Roman" w:cs="Times New Roman"/>
          <w:bCs/>
          <w:sz w:val="24"/>
          <w:szCs w:val="24"/>
        </w:rPr>
        <w:t xml:space="preserve">el autor </w:t>
      </w:r>
      <w:r w:rsidR="00C36EB6">
        <w:rPr>
          <w:rFonts w:ascii="Times New Roman" w:hAnsi="Times New Roman" w:cs="Times New Roman"/>
          <w:bCs/>
          <w:sz w:val="24"/>
          <w:szCs w:val="24"/>
        </w:rPr>
        <w:t>analiza</w:t>
      </w:r>
      <w:r w:rsidR="00C36EB6" w:rsidRPr="00C36EB6">
        <w:rPr>
          <w:rFonts w:ascii="Times New Roman" w:hAnsi="Times New Roman" w:cs="Times New Roman"/>
          <w:bCs/>
          <w:sz w:val="24"/>
          <w:szCs w:val="24"/>
        </w:rPr>
        <w:t xml:space="preserve"> las cinco dimensiones de la resiliencia en una comunidad costera cubana</w:t>
      </w:r>
      <w:r w:rsidR="00C36EB6">
        <w:rPr>
          <w:rFonts w:ascii="Times New Roman" w:hAnsi="Times New Roman" w:cs="Times New Roman"/>
          <w:bCs/>
          <w:sz w:val="24"/>
          <w:szCs w:val="24"/>
        </w:rPr>
        <w:t xml:space="preserve"> (ver Figura 2)</w:t>
      </w:r>
      <w:r w:rsidR="00C36EB6" w:rsidRPr="00C36EB6">
        <w:rPr>
          <w:rFonts w:ascii="Times New Roman" w:hAnsi="Times New Roman" w:cs="Times New Roman"/>
          <w:bCs/>
          <w:sz w:val="24"/>
          <w:szCs w:val="24"/>
        </w:rPr>
        <w:t>, demostrando su influencia positiva en las intervenciones de adaptación.</w:t>
      </w:r>
    </w:p>
    <w:p w14:paraId="4DA0675C" w14:textId="291C641D" w:rsidR="00C36EB6" w:rsidRDefault="00C36EB6" w:rsidP="00C36EB6">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Pr>
          <w:rFonts w:ascii="Times New Roman" w:hAnsi="Times New Roman" w:cs="Times New Roman"/>
          <w:sz w:val="20"/>
        </w:rPr>
        <w:t>2</w:t>
      </w:r>
      <w:r w:rsidRPr="00FF3346">
        <w:rPr>
          <w:rFonts w:ascii="Times New Roman" w:hAnsi="Times New Roman" w:cs="Times New Roman"/>
          <w:sz w:val="20"/>
        </w:rPr>
        <w:t xml:space="preserve">. </w:t>
      </w:r>
      <w:r>
        <w:rPr>
          <w:rFonts w:ascii="Times New Roman" w:hAnsi="Times New Roman" w:cs="Times New Roman"/>
          <w:sz w:val="20"/>
        </w:rPr>
        <w:t>Dimensiones de la resiliencia. Fuente: Elaboración Propia</w:t>
      </w:r>
    </w:p>
    <w:p w14:paraId="41396242" w14:textId="77777777" w:rsidR="00E5001E" w:rsidRPr="00FF3346" w:rsidRDefault="00E5001E" w:rsidP="00C36EB6">
      <w:pPr>
        <w:spacing w:after="0" w:line="360" w:lineRule="auto"/>
        <w:jc w:val="center"/>
        <w:rPr>
          <w:rFonts w:ascii="Times New Roman" w:hAnsi="Times New Roman" w:cs="Times New Roman"/>
          <w:sz w:val="20"/>
        </w:rPr>
      </w:pPr>
    </w:p>
    <w:p w14:paraId="286550EE" w14:textId="77777777" w:rsidR="00C36EB6" w:rsidRPr="00C36EB6" w:rsidRDefault="00C36EB6" w:rsidP="00C36EB6">
      <w:pPr>
        <w:spacing w:after="0" w:line="360" w:lineRule="auto"/>
        <w:jc w:val="both"/>
        <w:rPr>
          <w:rFonts w:ascii="Times New Roman" w:hAnsi="Times New Roman" w:cs="Times New Roman"/>
          <w:bCs/>
          <w:sz w:val="24"/>
          <w:szCs w:val="24"/>
        </w:rPr>
      </w:pPr>
      <w:r w:rsidRPr="00C36EB6">
        <w:rPr>
          <w:rFonts w:ascii="Times New Roman" w:hAnsi="Times New Roman" w:cs="Times New Roman"/>
          <w:bCs/>
          <w:sz w:val="24"/>
          <w:szCs w:val="24"/>
        </w:rPr>
        <w:t>-Dimensión Ecológica</w:t>
      </w:r>
    </w:p>
    <w:p w14:paraId="7EE7D47C" w14:textId="34C7A397" w:rsidR="00C36EB6" w:rsidRDefault="00C36EB6" w:rsidP="00C36EB6">
      <w:pPr>
        <w:spacing w:after="0" w:line="360" w:lineRule="auto"/>
        <w:jc w:val="both"/>
        <w:rPr>
          <w:rFonts w:ascii="Times New Roman" w:hAnsi="Times New Roman" w:cs="Times New Roman"/>
          <w:bCs/>
          <w:sz w:val="24"/>
          <w:szCs w:val="24"/>
        </w:rPr>
      </w:pPr>
      <w:r w:rsidRPr="00C36EB6">
        <w:rPr>
          <w:rFonts w:ascii="Times New Roman" w:hAnsi="Times New Roman" w:cs="Times New Roman"/>
          <w:bCs/>
          <w:sz w:val="24"/>
          <w:szCs w:val="24"/>
        </w:rPr>
        <w:t xml:space="preserve">El mantenimiento de los ecosistemas naturales y su salud es imprescindible para la resiliencia de las sociedades humanas. Los ecosistemas naturales son portadores de recursos necesarios, y muchas veces sobrexplotados, para el desarrollo y estabilidad de las comunidades humanas. Mediante su uso para el desarrollo de los asentamientos humanos, los recursos ambientales juegan un papel importante en la mejora de la resiliencia de las comunidades. Algunos recursos como grandes manglares tienen un papel determinante al absorber los impactos de inundaciones y controlar la intrusión </w:t>
      </w:r>
      <w:r w:rsidRPr="00C36EB6">
        <w:rPr>
          <w:rFonts w:ascii="Times New Roman" w:hAnsi="Times New Roman" w:cs="Times New Roman"/>
          <w:bCs/>
          <w:sz w:val="24"/>
          <w:szCs w:val="24"/>
        </w:rPr>
        <w:lastRenderedPageBreak/>
        <w:t xml:space="preserve">salina en aguas subterráneas. La existencia y accesibilidad de estos recursos son fundamentales para la subsistencia y prosperidad de comunidades humanas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{"citationItems":[{"id":"ITEM-1","itemData":{"ISBN":"4228150314","abstract":"El cambio climático antropogénico, es el mayor reto que enfrenta la humanidad en la actualidad. En este contexto, se sitúa la resiliencia como una línea estratégica en la adaptación, respaldada por la comunidad científica e institucional. La relación de la resiliencia con el cambio climático es reciente, y puede ser considerada como un concepto unificador entre el planeamiento urbano y la adaptación. Cuba, país insular ubicado en un archipiélago del mar Caribe experimenta los efectos adversos del cambio climático. La comunidad costera Carahatas ha sido afectada por eventos climáticos extremos que han reducido sus capacidades de desarrollo y enfrenta la amenaza de inundación permanente por la subida del nivel medio del mar. Su adaptación es un proceso complejo, que implica el reasentamiento hacia zona segura. La Evaluación de la Resiliencia Comunitaria puede ayudar a identificar las potencialidades para un uso eficiente de los esfuerzos y recursos en el proceso de adaptación. En la investigación, se evalúa mediante una herramienta con enfoque multidimensional la resiliencia de esta comunidad, para detectar sus vulnerabilidades y oportunidades. Con esta base, se diseña una propuesta alineada con los planes de adaptación existentes para Carahatas, que incluye dos variantes de viviendas progresivas destinadas a fortalecer los criterios de resiliencia y brinden alternativas de desarrollo sostenible.","author":[{"dropping-particle":"","family":"Castro","given":"Roberto","non-dropping-particle":"","parse-names":false,"suffix":""}],"id":"ITEM-1","issued":{"date-parts":[["2020"]]},"number-of-pages":"130","publisher":"Universidad Central “Marta Abreu” de Las Villas","title":"La resiliencia comunitaria para la adaptación al Cambio Climático. Caso de estudio Carahatas","type":"thesis"},"uris":["http://www.mendeley.com/documents/?uuid=218cf714-1808-43a5-8979-80108edd2093"]}],"mendeley":{"formattedCitation":"(Castro, 2020)","plainTextFormattedCitation":"(Castro, 2020)","previouslyFormattedCitation":"(Castro, 2020)"},"properties":{"noteIndex":0},"schema":"https://github.com/citation-style-language/schema/raw/master/csl-citation.json"}</w:instrText>
      </w:r>
      <w:r>
        <w:rPr>
          <w:rFonts w:ascii="Times New Roman" w:hAnsi="Times New Roman" w:cs="Times New Roman"/>
          <w:bCs/>
          <w:sz w:val="24"/>
          <w:szCs w:val="24"/>
        </w:rPr>
        <w:fldChar w:fldCharType="separate"/>
      </w:r>
      <w:r w:rsidRPr="00C36EB6">
        <w:rPr>
          <w:rFonts w:ascii="Times New Roman" w:hAnsi="Times New Roman" w:cs="Times New Roman"/>
          <w:bCs/>
          <w:noProof/>
          <w:sz w:val="24"/>
          <w:szCs w:val="24"/>
        </w:rPr>
        <w:t>(Castro, 2020)</w:t>
      </w:r>
      <w:r>
        <w:rPr>
          <w:rFonts w:ascii="Times New Roman" w:hAnsi="Times New Roman" w:cs="Times New Roman"/>
          <w:bCs/>
          <w:sz w:val="24"/>
          <w:szCs w:val="24"/>
        </w:rPr>
        <w:fldChar w:fldCharType="end"/>
      </w:r>
      <w:r w:rsidR="00E5001E">
        <w:rPr>
          <w:rFonts w:ascii="Times New Roman" w:hAnsi="Times New Roman" w:cs="Times New Roman"/>
          <w:bCs/>
          <w:sz w:val="24"/>
          <w:szCs w:val="24"/>
        </w:rPr>
        <w:t>.</w:t>
      </w:r>
    </w:p>
    <w:p w14:paraId="1A5A9F2B" w14:textId="77777777"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-Dimensión Entorno Construido</w:t>
      </w:r>
    </w:p>
    <w:p w14:paraId="2198E58D" w14:textId="068ABEF0"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 xml:space="preserve">Vincular el entorno urbano construido y la comunidad a través de capacidades de resiliencia, se relaciona con la construcción de resistencia a los golpes (robustez a través de códigos de construcción) y capacidad para funcionar en caso de emergencia. La robustez del entorno construido es un punto inicial para garantizar la resiliencia de la comunidad. Alinear la forma urbana y los códigos de construcción con los principios de resiliencia puede minimizar la exposición a amenazas y mejorar la solidez del sistema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{"citationItems":[{"id":"ITEM-1","itemData":{"ISBN":"4228150314","abstract":"El cambio climático antropogénico, es el mayor reto que enfrenta la humanidad en la actualidad. En este contexto, se sitúa la resiliencia como una línea estratégica en la adaptación, respaldada por la comunidad científica e institucional. La relación de la resiliencia con el cambio climático es reciente, y puede ser considerada como un concepto unificador entre el planeamiento urbano y la adaptación. Cuba, país insular ubicado en un archipiélago del mar Caribe experimenta los efectos adversos del cambio climático. La comunidad costera Carahatas ha sido afectada por eventos climáticos extremos que han reducido sus capacidades de desarrollo y enfrenta la amenaza de inundación permanente por la subida del nivel medio del mar. Su adaptación es un proceso complejo, que implica el reasentamiento hacia zona segura. La Evaluación de la Resiliencia Comunitaria puede ayudar a identificar las potencialidades para un uso eficiente de los esfuerzos y recursos en el proceso de adaptación. En la investigación, se evalúa mediante una herramienta con enfoque multidimensional la resiliencia de esta comunidad, para detectar sus vulnerabilidades y oportunidades. Con esta base, se diseña una propuesta alineada con los planes de adaptación existentes para Carahatas, que incluye dos variantes de viviendas progresivas destinadas a fortalecer los criterios de resiliencia y brinden alternativas de desarrollo sostenible.","author":[{"dropping-particle":"","family":"Castro","given":"Roberto","non-dropping-particle":"","parse-names":false,"suffix":""}],"id":"ITEM-1","issued":{"date-parts":[["2020"]]},"number-of-pages":"130","publisher":"Universidad Central “Marta Abreu” de Las Villas","title":"La resiliencia comunitaria para la adaptación al Cambio Climático. Caso de estudio Carahatas","type":"thesis"},"uris":["http://www.mendeley.com/documents/?uuid=218cf714-1808-43a5-8979-80108edd2093"]}],"mendeley":{"formattedCitation":"(Castro, 2020)","plainTextFormattedCitation":"(Castro, 2020)","previouslyFormattedCitation":"(Castro, 2020)"},"properties":{"noteIndex":0},"schema":"https://github.com/citation-style-language/schema/raw/master/csl-citation.json"}</w:instrText>
      </w:r>
      <w:r>
        <w:rPr>
          <w:rFonts w:ascii="Times New Roman" w:hAnsi="Times New Roman" w:cs="Times New Roman"/>
          <w:bCs/>
          <w:sz w:val="24"/>
          <w:szCs w:val="24"/>
        </w:rPr>
        <w:fldChar w:fldCharType="separate"/>
      </w:r>
      <w:r w:rsidRPr="00E5001E">
        <w:rPr>
          <w:rFonts w:ascii="Times New Roman" w:hAnsi="Times New Roman" w:cs="Times New Roman"/>
          <w:bCs/>
          <w:noProof/>
          <w:sz w:val="24"/>
          <w:szCs w:val="24"/>
        </w:rPr>
        <w:t>(Castro, 2020)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E5001E">
        <w:rPr>
          <w:rFonts w:ascii="Times New Roman" w:hAnsi="Times New Roman" w:cs="Times New Roman"/>
          <w:bCs/>
          <w:sz w:val="24"/>
          <w:szCs w:val="24"/>
        </w:rPr>
        <w:t>contribuyendo así a la seguridad de la comunidad.</w:t>
      </w:r>
    </w:p>
    <w:p w14:paraId="69DBB151" w14:textId="01AB1D28" w:rsid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En esta dimensión son importantes las redes de infraestructuras técnicas encargadas del funcionamiento interno de las comunidades. La accesibilidad a las infraestructuras y los servicios urbanos es, de hecho, un factor clave, desde el punto de vista físico (tener las infraestructuras en su lugar y ser resistente / robusto a diferentes impactos potenciales).</w:t>
      </w:r>
    </w:p>
    <w:p w14:paraId="4518675F" w14:textId="77777777"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-Dimensión Social</w:t>
      </w:r>
    </w:p>
    <w:p w14:paraId="1A8DBCB9" w14:textId="7631FF28" w:rsidR="00C36EB6"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Esta dimensión ha recibido considerable atención en la literatura, se considera que tiene una fuerte influencia en la resiliencia de la comunidad. Significa el reconocimiento al hecho de que las medidas físicas y de ingeniería por sí solas no serán suficientes para crear comunidades resilientes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{"citationItems":[{"id":"ITEM-1","itemData":{"ISBN":"4228150314","abstract":"El cambio climático antropogénico, es el mayor reto que enfrenta la humanidad en la actualidad. En este contexto, se sitúa la resiliencia como una línea estratégica en la adaptación, respaldada por la comunidad científica e institucional. La relación de la resiliencia con el cambio climático es reciente, y puede ser considerada como un concepto unificador entre el planeamiento urbano y la adaptación. Cuba, país insular ubicado en un archipiélago del mar Caribe experimenta los efectos adversos del cambio climático. La comunidad costera Carahatas ha sido afectada por eventos climáticos extremos que han reducido sus capacidades de desarrollo y enfrenta la amenaza de inundación permanente por la subida del nivel medio del mar. Su adaptación es un proceso complejo, que implica el reasentamiento hacia zona segura. La Evaluación de la Resiliencia Comunitaria puede ayudar a identificar las potencialidades para un uso eficiente de los esfuerzos y recursos en el proceso de adaptación. En la investigación, se evalúa mediante una herramienta con enfoque multidimensional la resiliencia de esta comunidad, para detectar sus vulnerabilidades y oportunidades. Con esta base, se diseña una propuesta alineada con los planes de adaptación existentes para Carahatas, que incluye dos variantes de viviendas progresivas destinadas a fortalecer los criterios de resiliencia y brinden alternativas de desarrollo sostenible.","author":[{"dropping-particle":"","family":"Castro","given":"Roberto","non-dropping-particle":"","parse-names":false,"suffix":""}],"id":"ITEM-1","issued":{"date-parts":[["2020"]]},"number-of-pages":"130","publisher":"Universidad Central “Marta Abreu” de Las Villas","title":"La resiliencia comunitaria para la adaptación al Cambio Climático. Caso de estudio Carahatas","type":"thesis"},"uris":["http://www.mendeley.com/documents/?uuid=218cf714-1808-43a5-8979-80108edd2093"]}],"mendeley":{"formattedCitation":"(Castro, 2020)","plainTextFormattedCitation":"(Castro, 2020)","previouslyFormattedCitation":"(Castro, 2020)"},"properties":{"noteIndex":0},"schema":"https://github.com/citation-style-language/schema/raw/master/csl-citation.json"}</w:instrText>
      </w:r>
      <w:r>
        <w:rPr>
          <w:rFonts w:ascii="Times New Roman" w:hAnsi="Times New Roman" w:cs="Times New Roman"/>
          <w:bCs/>
          <w:sz w:val="24"/>
          <w:szCs w:val="24"/>
        </w:rPr>
        <w:fldChar w:fldCharType="separate"/>
      </w:r>
      <w:r w:rsidRPr="00E5001E">
        <w:rPr>
          <w:rFonts w:ascii="Times New Roman" w:hAnsi="Times New Roman" w:cs="Times New Roman"/>
          <w:bCs/>
          <w:noProof/>
          <w:sz w:val="24"/>
          <w:szCs w:val="24"/>
        </w:rPr>
        <w:t>(Castro, 2020)</w:t>
      </w:r>
      <w:r>
        <w:rPr>
          <w:rFonts w:ascii="Times New Roman" w:hAnsi="Times New Roman" w:cs="Times New Roman"/>
          <w:bCs/>
          <w:sz w:val="24"/>
          <w:szCs w:val="24"/>
        </w:rPr>
        <w:fldChar w:fldCharType="end"/>
      </w:r>
      <w:r w:rsidRPr="00E5001E">
        <w:rPr>
          <w:rFonts w:ascii="Times New Roman" w:hAnsi="Times New Roman" w:cs="Times New Roman"/>
          <w:bCs/>
          <w:sz w:val="24"/>
          <w:szCs w:val="24"/>
        </w:rPr>
        <w:t>. El factor social es catalizador de las dinámicas dentro de la comunidad para generar capacidades adaptativas y de transformabilidad. Un núcleo social con mayor preparación, instrucción y asesoramiento muestra mejores resultados en el enfrentamiento y recuperación a impactos negativos en su comunidad.</w:t>
      </w:r>
    </w:p>
    <w:p w14:paraId="5FB08CF4" w14:textId="77777777"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-Dimensión Institucional</w:t>
      </w:r>
    </w:p>
    <w:p w14:paraId="131C57A4" w14:textId="3EED87A2"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 xml:space="preserve">Dado que el cambio climático afecta a las ciudades y sus procesos ambientales, sociales y económicos, la gobernanza adaptativa funciona en condiciones de incertidumbre y es esencial para desarrollar la resiliencia urbana. La dimensión Institucional abarca la capacidad de las organizaciones responsables de la planificación y desarrollo de todos los asentamientos humanos e incluye la escala internacional, nacional y local. El desarrollo de la resiliencia se basa en la capacidad institucional para comprender y anticipar eventos futuros, planificar y administrar recursos para enfrentar estos desafíos </w:t>
      </w:r>
      <w:r w:rsidRPr="00E5001E">
        <w:rPr>
          <w:rFonts w:ascii="Times New Roman" w:hAnsi="Times New Roman" w:cs="Times New Roman"/>
          <w:bCs/>
          <w:sz w:val="24"/>
          <w:szCs w:val="24"/>
        </w:rPr>
        <w:lastRenderedPageBreak/>
        <w:t xml:space="preserve">y mejorar las capacidades institucionales para entregar los resultados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{"citationItems":[{"id":"ITEM-1","itemData":{"ISBN":"4228150314","abstract":"El cambio climático antropogénico, es el mayor reto que enfrenta la humanidad en la actualidad. En este contexto, se sitúa la resiliencia como una línea estratégica en la adaptación, respaldada por la comunidad científica e institucional. La relación de la resiliencia con el cambio climático es reciente, y puede ser considerada como un concepto unificador entre el planeamiento urbano y la adaptación. Cuba, país insular ubicado en un archipiélago del mar Caribe experimenta los efectos adversos del cambio climático. La comunidad costera Carahatas ha sido afectada por eventos climáticos extremos que han reducido sus capacidades de desarrollo y enfrenta la amenaza de inundación permanente por la subida del nivel medio del mar. Su adaptación es un proceso complejo, que implica el reasentamiento hacia zona segura. La Evaluación de la Resiliencia Comunitaria puede ayudar a identificar las potencialidades para un uso eficiente de los esfuerzos y recursos en el proceso de adaptación. En la investigación, se evalúa mediante una herramienta con enfoque multidimensional la resiliencia de esta comunidad, para detectar sus vulnerabilidades y oportunidades. Con esta base, se diseña una propuesta alineada con los planes de adaptación existentes para Carahatas, que incluye dos variantes de viviendas progresivas destinadas a fortalecer los criterios de resiliencia y brinden alternativas de desarrollo sostenible.","author":[{"dropping-particle":"","family":"Castro","given":"Roberto","non-dropping-particle":"","parse-names":false,"suffix":""}],"id":"ITEM-1","issued":{"date-parts":[["2020"]]},"number-of-pages":"130","publisher":"Universidad Central “Marta Abreu” de Las Villas","title":"La resiliencia comunitaria para la adaptación al Cambio Climático. Caso de estudio Carahatas","type":"thesis"},"uris":["http://www.mendeley.com/documents/?uuid=218cf714-1808-43a5-8979-80108edd2093"]}],"mendeley":{"formattedCitation":"(Castro, 2020)","plainTextFormattedCitation":"(Castro, 2020)","previouslyFormattedCitation":"(Castro, 2020)"},"properties":{"noteIndex":0},"schema":"https://github.com/citation-style-language/schema/raw/master/csl-citation.json"}</w:instrText>
      </w:r>
      <w:r>
        <w:rPr>
          <w:rFonts w:ascii="Times New Roman" w:hAnsi="Times New Roman" w:cs="Times New Roman"/>
          <w:bCs/>
          <w:sz w:val="24"/>
          <w:szCs w:val="24"/>
        </w:rPr>
        <w:fldChar w:fldCharType="separate"/>
      </w:r>
      <w:r w:rsidRPr="00E5001E">
        <w:rPr>
          <w:rFonts w:ascii="Times New Roman" w:hAnsi="Times New Roman" w:cs="Times New Roman"/>
          <w:bCs/>
          <w:noProof/>
          <w:sz w:val="24"/>
          <w:szCs w:val="24"/>
        </w:rPr>
        <w:t>(Castro, 2020)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E5001E">
        <w:rPr>
          <w:rFonts w:ascii="Times New Roman" w:hAnsi="Times New Roman" w:cs="Times New Roman"/>
          <w:bCs/>
          <w:sz w:val="24"/>
          <w:szCs w:val="24"/>
        </w:rPr>
        <w:t>Esto implica decisiones sobre el uso de la tierra y los recursos, la calidad del suministro y la cobertura de infraestructura y servicios. También la prioridad de nuevas inversiones y la integración de las necesidades de las comunidades presentes y futuras en los planes y políticas locales.</w:t>
      </w:r>
    </w:p>
    <w:p w14:paraId="797F3B64" w14:textId="0C0D69A9" w:rsid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Dado que las estrategias de resiliencia involucran a múltiples instituciones y agencias, una comprensión clara de los roles y responsabilidades a diferentes niveles es necesario para la implementación de acciones. En los casos en que las jurisdicciones se superponen, la falta de claridad podría retrasar las respuestas y socavar la resiliencia, este énfasis indica la existencia de múltiples agentes y fuerzas que influyen en los esfuerzos de fortalecer la resiliencia comunitaria.</w:t>
      </w:r>
    </w:p>
    <w:p w14:paraId="334D5452" w14:textId="6850A963"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-Dimensión económica</w:t>
      </w:r>
    </w:p>
    <w:p w14:paraId="38A88D41" w14:textId="3EE5DE17"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La dimensión económica de la resiliencia urbana incluye criterios relacionados con la estructura de la economía, su seguridad, estabilidad y dinamismo. Esta dimensión es muy influida por la social, al depender directamente de las capacidades y habilidades de la población productora de bienes y servicios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884301">
        <w:rPr>
          <w:rFonts w:ascii="Times New Roman" w:hAnsi="Times New Roman" w:cs="Times New Roman"/>
          <w:bCs/>
          <w:sz w:val="24"/>
          <w:szCs w:val="24"/>
        </w:rPr>
        <w:instrText>ADDIN CSL_CITATION {"citationItems":[{"id":"ITEM-1","itemData":{"ISBN":"4228150314","abstract":"El cambio climático antropogénico, es el mayor reto que enfrenta la humanidad en la actualidad. En este contexto, se sitúa la resiliencia como una línea estratégica en la adaptación, respaldada por la comunidad científica e institucional. La relación de la resiliencia con el cambio climático es reciente, y puede ser considerada como un concepto unificador entre el planeamiento urbano y la adaptación. Cuba, país insular ubicado en un archipiélago del mar Caribe experimenta los efectos adversos del cambio climático. La comunidad costera Carahatas ha sido afectada por eventos climáticos extremos que han reducido sus capacidades de desarrollo y enfrenta la amenaza de inundación permanente por la subida del nivel medio del mar. Su adaptación es un proceso complejo, que implica el reasentamiento hacia zona segura. La Evaluación de la Resiliencia Comunitaria puede ayudar a identificar las potencialidades para un uso eficiente de los esfuerzos y recursos en el proceso de adaptación. En la investigación, se evalúa mediante una herramienta con enfoque multidimensional la resiliencia de esta comunidad, para detectar sus vulnerabilidades y oportunidades. Con esta base, se diseña una propuesta alineada con los planes de adaptación existentes para Carahatas, que incluye dos variantes de viviendas progresivas destinadas a fortalecer los criterios de resiliencia y brinden alternativas de desarrollo sostenible.","author":[{"dropping-particle":"","family":"Castro","given":"Roberto","non-dropping-particle":"","parse-names":false,"suffix":""}],"id":"ITEM-1","issued":{"date-parts":[["2020"]]},"number-of-pages":"130","publisher":"Universidad Central “Marta Abreu” de Las Villas","title":"La resiliencia comunitaria para la adaptación al Cambio Climático. Caso de estudio Carahatas","type":"thesis"},"uris":["http://www.mendeley.com/documents/?uuid=218cf714-1808-43a5-8979-80108edd2093"]}],"mendeley":{"formattedCitation":"(Castro, 2020)","plainTextFormattedCitation":"(Castro, 2020)","previouslyFormattedCitation":"(Castro, 2020)"},"properties":{"noteIndex":0},"schema":"https://github.com/citation-style-language/schema/raw/master/csl-citation.json"}</w:instrText>
      </w:r>
      <w:r>
        <w:rPr>
          <w:rFonts w:ascii="Times New Roman" w:hAnsi="Times New Roman" w:cs="Times New Roman"/>
          <w:bCs/>
          <w:sz w:val="24"/>
          <w:szCs w:val="24"/>
        </w:rPr>
        <w:fldChar w:fldCharType="separate"/>
      </w:r>
      <w:r w:rsidRPr="00E5001E">
        <w:rPr>
          <w:rFonts w:ascii="Times New Roman" w:hAnsi="Times New Roman" w:cs="Times New Roman"/>
          <w:bCs/>
          <w:noProof/>
          <w:sz w:val="24"/>
          <w:szCs w:val="24"/>
        </w:rPr>
        <w:t>(Castro, 2020)</w:t>
      </w:r>
      <w:r>
        <w:rPr>
          <w:rFonts w:ascii="Times New Roman" w:hAnsi="Times New Roman" w:cs="Times New Roman"/>
          <w:bCs/>
          <w:sz w:val="24"/>
          <w:szCs w:val="24"/>
        </w:rPr>
        <w:fldChar w:fldCharType="end"/>
      </w:r>
      <w:r w:rsidRPr="00E5001E">
        <w:rPr>
          <w:rFonts w:ascii="Times New Roman" w:hAnsi="Times New Roman" w:cs="Times New Roman"/>
          <w:bCs/>
          <w:sz w:val="24"/>
          <w:szCs w:val="24"/>
        </w:rPr>
        <w:t>.  También tiene peso la dimensión Institucional, principal responsable de planificar y dirigir el desarrollo de la economía de las comunidades.</w:t>
      </w:r>
    </w:p>
    <w:p w14:paraId="353FCAAF" w14:textId="77777777"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El estado de la economía nacional influye en las economías regionales y locales. Una recesión nacional puede afectar negativamente las condiciones en diferentes escalas de la economía. También las políticas nacionales para promover el desarrollo empresarial y la formación de nuevos negocios pueden afectar la estructura económica de una localidad. Una correcta planificación por escalas posibilita el fortalecimiento de economías locales y por consiguiente su resiliencia.</w:t>
      </w:r>
    </w:p>
    <w:p w14:paraId="6B4F6DC5" w14:textId="7EB0736D" w:rsid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En el contexto actual es relevante la adaptación de las economías a los efectos del cambio climático, que modifican todos los patrones y comportamientos naturales que a su vez son el punto de partida de los sistemas económicos.</w:t>
      </w:r>
    </w:p>
    <w:p w14:paraId="52491575" w14:textId="58C902E4" w:rsidR="009B7F12" w:rsidRDefault="009B7F12" w:rsidP="00E5001E">
      <w:pPr>
        <w:spacing w:after="0" w:line="360" w:lineRule="auto"/>
        <w:jc w:val="both"/>
        <w:rPr>
          <w:rFonts w:ascii="Times New Roman" w:hAnsi="Times New Roman" w:cs="Times New Roman"/>
          <w:bCs/>
          <w:sz w:val="24"/>
          <w:szCs w:val="24"/>
        </w:rPr>
      </w:pPr>
    </w:p>
    <w:p w14:paraId="3280D96B" w14:textId="47593BC6" w:rsidR="009B7F12" w:rsidRPr="00E5001E" w:rsidRDefault="009B7F12" w:rsidP="00E5001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3.5 Criterios de resiliencia para las comunidades costeras cubanas</w:t>
      </w:r>
    </w:p>
    <w:p w14:paraId="6133025F" w14:textId="77777777"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 xml:space="preserve">Las capacidades adaptativas de comunidades humanas son las enfocadas a aumentar (o por lo menos mantener), la calidad de vida de sus miembros individuales en un ambiente dado o en rango de ambientes distintos. En el contexto del cambio climático </w:t>
      </w:r>
      <w:r w:rsidRPr="00E5001E">
        <w:rPr>
          <w:rFonts w:ascii="Times New Roman" w:hAnsi="Times New Roman" w:cs="Times New Roman"/>
          <w:bCs/>
          <w:sz w:val="24"/>
          <w:szCs w:val="24"/>
        </w:rPr>
        <w:lastRenderedPageBreak/>
        <w:t>se le incluye la habilidad de ajustarse a sus efectos (clima variable y extremo), para moderar daños potenciales, aprovechar las oportunidades y hacer frente a sus consecuencias.</w:t>
      </w:r>
    </w:p>
    <w:p w14:paraId="7CEECE40" w14:textId="77777777" w:rsidR="00E5001E" w:rsidRP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Las dimensiones de la resiliencia ayudan a materializar un concepto muchas veces subjetivizado</w:t>
      </w:r>
      <w:bookmarkStart w:id="2" w:name="_GoBack"/>
      <w:bookmarkEnd w:id="2"/>
      <w:r w:rsidRPr="00E5001E">
        <w:rPr>
          <w:rFonts w:ascii="Times New Roman" w:hAnsi="Times New Roman" w:cs="Times New Roman"/>
          <w:bCs/>
          <w:sz w:val="24"/>
          <w:szCs w:val="24"/>
        </w:rPr>
        <w:t xml:space="preserve"> en distintos campos de la ciencia. Orientar el análisis de las dinámicas urbanas hacia aspectos específicos del funcionamiento de la comunidad visibiliza las potencialidades y debilidades para el diseño de intervenciones que aumenten la resiliencia.</w:t>
      </w:r>
    </w:p>
    <w:p w14:paraId="706B61FC" w14:textId="201A1D72" w:rsidR="00E5001E" w:rsidRDefault="009B7F12" w:rsidP="00E5001E">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8992" behindDoc="0" locked="0" layoutInCell="1" allowOverlap="1" wp14:anchorId="3D54B533" wp14:editId="75370993">
            <wp:simplePos x="0" y="0"/>
            <wp:positionH relativeFrom="column">
              <wp:posOffset>-6350</wp:posOffset>
            </wp:positionH>
            <wp:positionV relativeFrom="paragraph">
              <wp:posOffset>1113790</wp:posOffset>
            </wp:positionV>
            <wp:extent cx="5390515" cy="3035935"/>
            <wp:effectExtent l="0" t="0" r="63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3035935"/>
                    </a:xfrm>
                    <a:prstGeom prst="rect">
                      <a:avLst/>
                    </a:prstGeom>
                    <a:noFill/>
                  </pic:spPr>
                </pic:pic>
              </a:graphicData>
            </a:graphic>
            <wp14:sizeRelH relativeFrom="margin">
              <wp14:pctWidth>0</wp14:pctWidth>
            </wp14:sizeRelH>
            <wp14:sizeRelV relativeFrom="margin">
              <wp14:pctHeight>0</wp14:pctHeight>
            </wp14:sizeRelV>
          </wp:anchor>
        </w:drawing>
      </w:r>
      <w:r w:rsidR="00E5001E" w:rsidRPr="00E5001E">
        <w:rPr>
          <w:rFonts w:ascii="Times New Roman" w:hAnsi="Times New Roman" w:cs="Times New Roman"/>
          <w:bCs/>
          <w:sz w:val="24"/>
          <w:szCs w:val="24"/>
        </w:rPr>
        <w:t>A su vez cada dimensión puede desglosarse en distintos criterios que describen con mayor detalle la composición de capacidades resilientes. Este acercamiento permite profundizar en el comportamiento de cada dimensión, y facilita las acciones de evaluación y diseño de intervenciones en la resiliencia.</w:t>
      </w:r>
    </w:p>
    <w:p w14:paraId="0DC02E13" w14:textId="6504BD40" w:rsidR="00FC45E6" w:rsidRPr="00FC45E6" w:rsidRDefault="00FC45E6" w:rsidP="00FC45E6">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Pr>
          <w:rFonts w:ascii="Times New Roman" w:hAnsi="Times New Roman" w:cs="Times New Roman"/>
          <w:sz w:val="20"/>
        </w:rPr>
        <w:t>3</w:t>
      </w:r>
      <w:r w:rsidRPr="00FF3346">
        <w:rPr>
          <w:rFonts w:ascii="Times New Roman" w:hAnsi="Times New Roman" w:cs="Times New Roman"/>
          <w:sz w:val="20"/>
        </w:rPr>
        <w:t xml:space="preserve">. </w:t>
      </w:r>
      <w:r>
        <w:rPr>
          <w:rFonts w:ascii="Times New Roman" w:hAnsi="Times New Roman" w:cs="Times New Roman"/>
          <w:sz w:val="20"/>
        </w:rPr>
        <w:t>Comunidad Costera “El Castillo”, Cienfuegos. Fuente: Elaboración Propia</w:t>
      </w:r>
    </w:p>
    <w:p w14:paraId="522E330B" w14:textId="01A1BA04" w:rsidR="00E5001E" w:rsidRDefault="00E5001E" w:rsidP="00E5001E">
      <w:pPr>
        <w:spacing w:after="0" w:line="360" w:lineRule="auto"/>
        <w:jc w:val="both"/>
        <w:rPr>
          <w:rFonts w:ascii="Times New Roman" w:hAnsi="Times New Roman" w:cs="Times New Roman"/>
          <w:bCs/>
          <w:sz w:val="24"/>
          <w:szCs w:val="24"/>
        </w:rPr>
      </w:pPr>
      <w:r w:rsidRPr="00E5001E">
        <w:rPr>
          <w:rFonts w:ascii="Times New Roman" w:hAnsi="Times New Roman" w:cs="Times New Roman"/>
          <w:bCs/>
          <w:sz w:val="24"/>
          <w:szCs w:val="24"/>
        </w:rPr>
        <w:t xml:space="preserve">La presente ponencia propone un </w:t>
      </w:r>
      <w:r>
        <w:rPr>
          <w:rFonts w:ascii="Times New Roman" w:hAnsi="Times New Roman" w:cs="Times New Roman"/>
          <w:bCs/>
          <w:sz w:val="24"/>
          <w:szCs w:val="24"/>
        </w:rPr>
        <w:t>desarrollo</w:t>
      </w:r>
      <w:r w:rsidRPr="00E5001E">
        <w:rPr>
          <w:rFonts w:ascii="Times New Roman" w:hAnsi="Times New Roman" w:cs="Times New Roman"/>
          <w:bCs/>
          <w:sz w:val="24"/>
          <w:szCs w:val="24"/>
        </w:rPr>
        <w:t xml:space="preserve"> en este enfoque que permit</w:t>
      </w:r>
      <w:r>
        <w:rPr>
          <w:rFonts w:ascii="Times New Roman" w:hAnsi="Times New Roman" w:cs="Times New Roman"/>
          <w:bCs/>
          <w:sz w:val="24"/>
          <w:szCs w:val="24"/>
        </w:rPr>
        <w:t>a</w:t>
      </w:r>
      <w:r w:rsidRPr="00E5001E">
        <w:rPr>
          <w:rFonts w:ascii="Times New Roman" w:hAnsi="Times New Roman" w:cs="Times New Roman"/>
          <w:bCs/>
          <w:sz w:val="24"/>
          <w:szCs w:val="24"/>
        </w:rPr>
        <w:t xml:space="preserve"> generalizar su aplicación a todas las comunidades costeras cubanas</w:t>
      </w:r>
      <w:r w:rsidR="00FC45E6">
        <w:rPr>
          <w:rFonts w:ascii="Times New Roman" w:hAnsi="Times New Roman" w:cs="Times New Roman"/>
          <w:bCs/>
          <w:sz w:val="24"/>
          <w:szCs w:val="24"/>
        </w:rPr>
        <w:t xml:space="preserve"> (ver Figura 3)</w:t>
      </w:r>
      <w:r w:rsidRPr="00E5001E">
        <w:rPr>
          <w:rFonts w:ascii="Times New Roman" w:hAnsi="Times New Roman" w:cs="Times New Roman"/>
          <w:bCs/>
          <w:sz w:val="24"/>
          <w:szCs w:val="24"/>
        </w:rPr>
        <w:t>.</w:t>
      </w:r>
      <w:r>
        <w:rPr>
          <w:rFonts w:ascii="Times New Roman" w:hAnsi="Times New Roman" w:cs="Times New Roman"/>
          <w:bCs/>
          <w:sz w:val="24"/>
          <w:szCs w:val="24"/>
        </w:rPr>
        <w:t xml:space="preserve"> Con este objetivo, el</w:t>
      </w:r>
      <w:r w:rsidRPr="00E5001E">
        <w:rPr>
          <w:rFonts w:ascii="Times New Roman" w:hAnsi="Times New Roman" w:cs="Times New Roman"/>
          <w:bCs/>
          <w:sz w:val="24"/>
          <w:szCs w:val="24"/>
        </w:rPr>
        <w:t xml:space="preserve"> texto describe dieciocho criterios de resiliencia vinculados a las dimensiones de la misma que construyen un marco de referencia abarcador sobre las capacidades adaptativas de la</w:t>
      </w:r>
      <w:r>
        <w:rPr>
          <w:rFonts w:ascii="Times New Roman" w:hAnsi="Times New Roman" w:cs="Times New Roman"/>
          <w:bCs/>
          <w:sz w:val="24"/>
          <w:szCs w:val="24"/>
        </w:rPr>
        <w:t>s</w:t>
      </w:r>
      <w:r w:rsidRPr="00E5001E">
        <w:rPr>
          <w:rFonts w:ascii="Times New Roman" w:hAnsi="Times New Roman" w:cs="Times New Roman"/>
          <w:bCs/>
          <w:sz w:val="24"/>
          <w:szCs w:val="24"/>
        </w:rPr>
        <w:t xml:space="preserve"> comunidad</w:t>
      </w:r>
      <w:r>
        <w:rPr>
          <w:rFonts w:ascii="Times New Roman" w:hAnsi="Times New Roman" w:cs="Times New Roman"/>
          <w:bCs/>
          <w:sz w:val="24"/>
          <w:szCs w:val="24"/>
        </w:rPr>
        <w:t>es</w:t>
      </w:r>
      <w:r w:rsidRPr="00E5001E">
        <w:rPr>
          <w:rFonts w:ascii="Times New Roman" w:hAnsi="Times New Roman" w:cs="Times New Roman"/>
          <w:bCs/>
          <w:sz w:val="24"/>
          <w:szCs w:val="24"/>
        </w:rPr>
        <w:t xml:space="preserve"> con un enfoque de resiliencia.</w:t>
      </w:r>
    </w:p>
    <w:p w14:paraId="3B534669" w14:textId="77777777" w:rsidR="004960E7" w:rsidRDefault="004960E7" w:rsidP="00935DB4">
      <w:pPr>
        <w:spacing w:after="0" w:line="360" w:lineRule="auto"/>
        <w:jc w:val="both"/>
        <w:rPr>
          <w:rFonts w:ascii="Times New Roman" w:hAnsi="Times New Roman" w:cs="Times New Roman"/>
          <w:bCs/>
          <w:sz w:val="24"/>
          <w:szCs w:val="24"/>
        </w:rPr>
      </w:pPr>
    </w:p>
    <w:p w14:paraId="1CFE2C5B" w14:textId="77777777" w:rsidR="004960E7" w:rsidRDefault="004960E7" w:rsidP="00935DB4">
      <w:pPr>
        <w:spacing w:after="0" w:line="360" w:lineRule="auto"/>
        <w:jc w:val="both"/>
        <w:rPr>
          <w:rFonts w:ascii="Times New Roman" w:hAnsi="Times New Roman" w:cs="Times New Roman"/>
          <w:bCs/>
          <w:sz w:val="24"/>
          <w:szCs w:val="24"/>
        </w:rPr>
      </w:pPr>
    </w:p>
    <w:p w14:paraId="5640AE60" w14:textId="11EF1B7C"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lastRenderedPageBreak/>
        <w:t>-Ecológica</w:t>
      </w:r>
    </w:p>
    <w:p w14:paraId="0A6E780A"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1. Ecosistemas naturales</w:t>
      </w:r>
    </w:p>
    <w:p w14:paraId="4AFFBEF8"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 Las comunidades costeras tienen su base en los ecosistemas marinos a los cuales se relacionan. En las áreas de costa donde están asentadas converge una biodiversidad marina y terrestre, de flora y fauna, con un equilibrio que puede ser afectado por la actividad humana. El cambio climático antropogénico amenaza este equilibrio y constituye un reto evolutivo para todos los ecosistemas naturales.</w:t>
      </w:r>
    </w:p>
    <w:p w14:paraId="504E17CB"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2. Recursos naturales disponibles</w:t>
      </w:r>
    </w:p>
    <w:p w14:paraId="5EF3AF92"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 Los ecosistemas naturales asociados a las comunidades costeras brindan una serie de recursos claves para su subsistencia y desarrollo. La diversidad marina es el principal recurso para la actividad pesquera, fuente de ingresos de la mayoría de estos asentamientos. Otros recursos como los atractivos paisajísticos y accidentes geográficos son aprovechados por estas comunidades para actividades como el turismo y el ocio.</w:t>
      </w:r>
    </w:p>
    <w:p w14:paraId="45A3524D"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3. Manejo de los recursos</w:t>
      </w:r>
    </w:p>
    <w:p w14:paraId="25991AC8"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 El monitoreo y protección de los sistemas naturales es un aspecto relevante para influir en la resiliencia comunitaria. Las actividades de producción, conservación, consumo y reciclado de estos bienes con un enfoque de manejo sostenible y su protección ante el cambio climático garantizan su permanencia en el tiempo y seguir siendo aprovechados por los humanos.</w:t>
      </w:r>
    </w:p>
    <w:p w14:paraId="7DA53714" w14:textId="77777777" w:rsidR="00935DB4" w:rsidRPr="00935DB4" w:rsidRDefault="00935DB4" w:rsidP="00935DB4">
      <w:pPr>
        <w:spacing w:after="0" w:line="360" w:lineRule="auto"/>
        <w:jc w:val="both"/>
        <w:rPr>
          <w:rFonts w:ascii="Times New Roman" w:hAnsi="Times New Roman" w:cs="Times New Roman"/>
          <w:bCs/>
          <w:sz w:val="24"/>
          <w:szCs w:val="24"/>
        </w:rPr>
      </w:pPr>
    </w:p>
    <w:p w14:paraId="463F04F5"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-Entorno construido</w:t>
      </w:r>
    </w:p>
    <w:p w14:paraId="7AAE0D3B"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4. Robustez de las edificaciones</w:t>
      </w:r>
    </w:p>
    <w:p w14:paraId="023E95A9"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Un punto inicial en la resiliencia comunitaria es que las edificaciones sean capaces de resistir los impactos a los que son sometidos. En áreas costeras las edificaciones son afectadas por los altos niveles de cloruros en el aire, inundaciones, fuertes vientos y eventos hidrometeorológicos extremos. Ante el escenario de escalada del cambio climático, se intensifican los impactos en las edificaciones, que demanda una mayor robustez de las mismas para cumplir con su vida útil. </w:t>
      </w:r>
    </w:p>
    <w:p w14:paraId="3600265F"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5. Infraestructuras eficientes y resistentes</w:t>
      </w:r>
    </w:p>
    <w:p w14:paraId="3ECCEA46"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Son la base técnica de los asentamientos humanos, sus servicios garantizan el funcionamiento. Al igual que las edificaciones, tienen que ser resistentes a los impactos externos y capaces de adaptar su funcionamiento a situaciones de emergencia. En las </w:t>
      </w:r>
      <w:r w:rsidRPr="00935DB4">
        <w:rPr>
          <w:rFonts w:ascii="Times New Roman" w:hAnsi="Times New Roman" w:cs="Times New Roman"/>
          <w:bCs/>
          <w:sz w:val="24"/>
          <w:szCs w:val="24"/>
        </w:rPr>
        <w:lastRenderedPageBreak/>
        <w:t>comunidades costeras tienen un papel clave para enfrentar las inundaciones, pero en la mayoría de los casos sus diseños son limitados y con tecnología obsoleta.</w:t>
      </w:r>
    </w:p>
    <w:p w14:paraId="56444F27"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6. Uso de suelo y diseño urbano</w:t>
      </w:r>
    </w:p>
    <w:p w14:paraId="159D6F33"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Este criterio rige el funcionamiento de la comunidad y es la responsable de planificar su desarrollo, incluidas las situaciones de desastre. El diseño urbano abarca todos los aspectos espaciales del asentamiento y la forma de interactuar el entorno construido con el entorno natural. En el contexto cubano, este criterio es relevante en las comunidades costeras, que, al estar en zonas de riesgo, las normativas prohíben realizar nuevas construcciones con materiales duraderos. Además, las inversiones en diseño e infraestructuras son limitadas por las normativas, y esto desencadena en el deterioro de la calidad de vida de los habitantes y el aumento de sus vulnerabilidades al cambio climático.   </w:t>
      </w:r>
    </w:p>
    <w:p w14:paraId="53BFBDCF"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7. Versatilidad del entorno construido para situaciones de emergencia</w:t>
      </w:r>
    </w:p>
    <w:p w14:paraId="3291950F" w14:textId="7DE19692" w:rsidR="00E5001E"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Es una característica clave dentro de la resiliencia comunitaria, al ser la capacidad primordial de adaptación a situaciones de emergencia. Garantizar la transformabilidad de los espacios en situaciones de amenaza, permite resistir el impacto con menores daños y por consiguiente la recuperación de todo el sistema en un menor tiempo.</w:t>
      </w:r>
    </w:p>
    <w:p w14:paraId="00124D6E" w14:textId="1310FF5C" w:rsidR="00E5001E" w:rsidRDefault="00E5001E" w:rsidP="00E5001E">
      <w:pPr>
        <w:spacing w:after="0" w:line="360" w:lineRule="auto"/>
        <w:jc w:val="both"/>
        <w:rPr>
          <w:rFonts w:ascii="Times New Roman" w:hAnsi="Times New Roman" w:cs="Times New Roman"/>
          <w:bCs/>
          <w:sz w:val="24"/>
          <w:szCs w:val="24"/>
        </w:rPr>
      </w:pPr>
    </w:p>
    <w:p w14:paraId="29675C80"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-Social</w:t>
      </w:r>
    </w:p>
    <w:p w14:paraId="7D545C49"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8. Estructura social</w:t>
      </w:r>
    </w:p>
    <w:p w14:paraId="286548CB"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La estructura social es uno de los componentes esenciales de una comunidad, al ser esta un sistema socio-ecológico, se establecen una serie de relaciones que determinan toda su interacción con el entorno. La composición de las comunidades rige las necesidades de esta y su actuar ante las situaciones de emergencia.</w:t>
      </w:r>
    </w:p>
    <w:p w14:paraId="50A6595B"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9. Vínculos comunitarios</w:t>
      </w:r>
    </w:p>
    <w:p w14:paraId="18BEC816"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En todo sistema social aparecen una serie de vínculos entre sus partes, como lo son el sentido de pertenencia y de comunidad, que conforman un núcleo subjetivo que influye en la evolución de la misma. Estos vínculos permiten un enfoque de colectividad a decisiones y situaciones específicas. Los asentamientos costeros cubanos, presentan de manera general, un tejido social fortalecido con redes de parentesco y vecindad consolidado por múltiples generaciones. Esto propicia prácticas de solidaridad y apoyo mutuo muy singulares en estos escenarios. </w:t>
      </w:r>
    </w:p>
    <w:p w14:paraId="6A0EA72A"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lastRenderedPageBreak/>
        <w:t>10. Liderazgo y participación</w:t>
      </w:r>
    </w:p>
    <w:p w14:paraId="4F2FF8C8"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Es el criterio encargado de proyectar las verdaderas necesidades y potencialidades de una comunidad. El liderazgo de sus habitantes y la participación masiva de ellos en los procesos de toma de decisiones y proyecciones futuras de su hábitat, garantiza el reflejo en el diseño urbano y otras transformaciones de sus necesidades como individuos y colectividad. En Cuba existen líderes formales pertenecientes a instituciones sociales como; los Delegados de Circunscripción y los presidentes de CDR (Comités de Defensa de la Revolución), pero en paralelo existen líderes informales que unidos a los anteriores representan una excelente matriz de acercamiento y trabajo en las comunidades. </w:t>
      </w:r>
    </w:p>
    <w:p w14:paraId="7E67FA87"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11. Capacidad de los habitantes para enfrentar y recuperarse de situaciones de desastre</w:t>
      </w:r>
    </w:p>
    <w:p w14:paraId="76030021"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Estrechamente relacionado con los vínculos comunitarios y las capacidades individuales de los habitantes, se construye la capacidad colectiva de enfrentar las amenazas. Este criterio se refiere a capacidades psicológicas, emocionales, intelectuales, manuales y materiales de la comunidad en general.</w:t>
      </w:r>
    </w:p>
    <w:p w14:paraId="6C28F230" w14:textId="77777777" w:rsidR="00935DB4" w:rsidRPr="00935DB4" w:rsidRDefault="00935DB4" w:rsidP="00935DB4">
      <w:pPr>
        <w:spacing w:after="0" w:line="360" w:lineRule="auto"/>
        <w:jc w:val="both"/>
        <w:rPr>
          <w:rFonts w:ascii="Times New Roman" w:hAnsi="Times New Roman" w:cs="Times New Roman"/>
          <w:bCs/>
          <w:sz w:val="24"/>
          <w:szCs w:val="24"/>
        </w:rPr>
      </w:pPr>
    </w:p>
    <w:p w14:paraId="79E0138B"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-Institucional</w:t>
      </w:r>
    </w:p>
    <w:p w14:paraId="245AC24B"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12. Instituciones sociales</w:t>
      </w:r>
    </w:p>
    <w:p w14:paraId="48DC8865"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Implica todas las organizaciones gubernamentales, no gubernamentales y civiles, clasificadas según tipo y objetivos principales responsables de la planificación, dirección y diseño de las comunidades. En Cuba, la máxima institución responsable de cada comunidad costera es la Asamblea Municipal del Poder Popular a la que pertenecen. En paralelo funcionan otras instituciones estatales como las delegaciones del CITMA, CDR, la Defensa Civil entre otras.</w:t>
      </w:r>
    </w:p>
    <w:p w14:paraId="4F6959AA" w14:textId="28F97A2C"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13. Capacidades organizativas</w:t>
      </w:r>
    </w:p>
    <w:p w14:paraId="17A1B9D5" w14:textId="5B773B25" w:rsid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Nivel de las instituciones para anticipar amenazas futuras, planificar y administrar recursos para enfrentar estos desafíos y dirigir los procesos de recuperación y adaptación. Los principales actores de este criterio en las comunidades costeras cubanas son las instituciones sociales mediante sus estructuras formales para prepararse y dar respuesta ante un evento dado. </w:t>
      </w:r>
    </w:p>
    <w:p w14:paraId="0824E644" w14:textId="0AA280CB" w:rsidR="004960E7" w:rsidRDefault="004960E7" w:rsidP="00935DB4">
      <w:pPr>
        <w:spacing w:after="0" w:line="360" w:lineRule="auto"/>
        <w:jc w:val="both"/>
        <w:rPr>
          <w:rFonts w:ascii="Times New Roman" w:hAnsi="Times New Roman" w:cs="Times New Roman"/>
          <w:bCs/>
          <w:sz w:val="24"/>
          <w:szCs w:val="24"/>
        </w:rPr>
      </w:pPr>
    </w:p>
    <w:p w14:paraId="1733A72B" w14:textId="77777777" w:rsidR="004960E7" w:rsidRPr="00935DB4" w:rsidRDefault="004960E7" w:rsidP="00935DB4">
      <w:pPr>
        <w:spacing w:after="0" w:line="360" w:lineRule="auto"/>
        <w:jc w:val="both"/>
        <w:rPr>
          <w:rFonts w:ascii="Times New Roman" w:hAnsi="Times New Roman" w:cs="Times New Roman"/>
          <w:bCs/>
          <w:sz w:val="24"/>
          <w:szCs w:val="24"/>
        </w:rPr>
      </w:pPr>
    </w:p>
    <w:p w14:paraId="3262E983"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lastRenderedPageBreak/>
        <w:t>14. Prestación de servicios sociales</w:t>
      </w:r>
    </w:p>
    <w:p w14:paraId="17A504DC"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Son los servicios de las instituciones referidas orientados a la población para su calidad de vida, instrucción y seguridad. En estos se incluyen la educación, la salud, la seguridad social, comunicaciones, energía, transporte, agua potable y saneamiento y los relacionados con situaciones de emergencia como sistemas de alerta temprana, defensa civil, percepción de riesgo y reducción del riesgo de desastres. En Cuba estos servicios son de alta prioridad y con accesibilidad universal para todos los habitantes, sin embargo, las comunidades costeras menos avanzadas se encuentran en desventaja respecto a la calidad y cobertura de los servicios.</w:t>
      </w:r>
    </w:p>
    <w:p w14:paraId="30B81D3A" w14:textId="77777777" w:rsidR="00935DB4" w:rsidRPr="00935DB4" w:rsidRDefault="00935DB4" w:rsidP="00935DB4">
      <w:pPr>
        <w:spacing w:after="0" w:line="360" w:lineRule="auto"/>
        <w:jc w:val="both"/>
        <w:rPr>
          <w:rFonts w:ascii="Times New Roman" w:hAnsi="Times New Roman" w:cs="Times New Roman"/>
          <w:bCs/>
          <w:sz w:val="24"/>
          <w:szCs w:val="24"/>
        </w:rPr>
      </w:pPr>
    </w:p>
    <w:p w14:paraId="2246017B"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-Económica</w:t>
      </w:r>
    </w:p>
    <w:p w14:paraId="72B38321"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15. Estructura de la economía (seguridad, estabilidad y dinamismo)</w:t>
      </w:r>
    </w:p>
    <w:p w14:paraId="6BBA72B6"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 xml:space="preserve">Se define por escalas desde la global hasta la local, cada eslabón influye en el siguiente determinando oportunidades y retos. La escala local es la expresión de la economía comunitaria que se rige a planificaciones regionales y potencialidades propias. Las comunidades costeras cubanas, presentan en su mayoría una estructura dependiente de la actividad pesquera. </w:t>
      </w:r>
    </w:p>
    <w:p w14:paraId="6ACF9558"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16. Recursos materiales existentes: Son los recursos accesibles y disponibles para la comunidad que pueden ser naturales o antrópicos y se convierten en bienes y servicios que generan ingresos. Los principales en comunidades costeras son recursos naturales (flora y fauna) y los paisajísticos.</w:t>
      </w:r>
    </w:p>
    <w:p w14:paraId="38A13A18"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17. Capacidad innovadora de empresas locales</w:t>
      </w:r>
    </w:p>
    <w:p w14:paraId="1C3E7E91" w14:textId="77777777"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Orientada a diversificar su base económica en las comunidades costeras y disminuir la dependencia de sectores como el turismo la agricultura y la pesca. Es importante la inclusión del sector privado en estas innovaciones y su alianza con el sector público.</w:t>
      </w:r>
    </w:p>
    <w:p w14:paraId="248A3DF8" w14:textId="34D2C8E1" w:rsidR="00935DB4" w:rsidRP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18. Habilidades de los trabajadores</w:t>
      </w:r>
    </w:p>
    <w:p w14:paraId="0E213315" w14:textId="2F93244A" w:rsidR="00935DB4" w:rsidRDefault="00935DB4" w:rsidP="00935DB4">
      <w:pPr>
        <w:spacing w:after="0" w:line="360" w:lineRule="auto"/>
        <w:jc w:val="both"/>
        <w:rPr>
          <w:rFonts w:ascii="Times New Roman" w:hAnsi="Times New Roman" w:cs="Times New Roman"/>
          <w:bCs/>
          <w:sz w:val="24"/>
          <w:szCs w:val="24"/>
        </w:rPr>
      </w:pPr>
      <w:r w:rsidRPr="00935DB4">
        <w:rPr>
          <w:rFonts w:ascii="Times New Roman" w:hAnsi="Times New Roman" w:cs="Times New Roman"/>
          <w:bCs/>
          <w:sz w:val="24"/>
          <w:szCs w:val="24"/>
        </w:rPr>
        <w:t>Se refiere a la especialización de los habitantes en sus oficios y sus capacidades para realizar múltiples actividades que amplíen sus posibilidades de ingresos. Son habilidades importantes especialmente para situaciones de inestabilidad económica y cambios en los mercados.</w:t>
      </w:r>
    </w:p>
    <w:p w14:paraId="3AE3FA88" w14:textId="570F1077" w:rsidR="00935DB4" w:rsidRDefault="00935DB4" w:rsidP="00935DB4">
      <w:pPr>
        <w:spacing w:after="0" w:line="360" w:lineRule="auto"/>
        <w:jc w:val="both"/>
        <w:rPr>
          <w:rFonts w:ascii="Times New Roman" w:hAnsi="Times New Roman" w:cs="Times New Roman"/>
          <w:bCs/>
          <w:sz w:val="24"/>
          <w:szCs w:val="24"/>
        </w:rPr>
      </w:pPr>
    </w:p>
    <w:p w14:paraId="05BA1375" w14:textId="77777777" w:rsidR="004960E7" w:rsidRDefault="004960E7" w:rsidP="00FF3346">
      <w:pPr>
        <w:spacing w:after="0" w:line="360" w:lineRule="auto"/>
        <w:jc w:val="both"/>
        <w:rPr>
          <w:rFonts w:ascii="Times New Roman" w:hAnsi="Times New Roman" w:cs="Times New Roman"/>
          <w:bCs/>
          <w:sz w:val="24"/>
          <w:szCs w:val="24"/>
        </w:rPr>
      </w:pPr>
    </w:p>
    <w:p w14:paraId="75945FEF" w14:textId="1447133F"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4. Conclusiones</w:t>
      </w:r>
    </w:p>
    <w:p w14:paraId="41AE2819" w14:textId="0383E2FD" w:rsidR="004960E7" w:rsidRDefault="004960E7" w:rsidP="00FF3346">
      <w:pPr>
        <w:spacing w:after="0" w:line="360" w:lineRule="auto"/>
        <w:jc w:val="both"/>
        <w:rPr>
          <w:rFonts w:ascii="Times New Roman" w:hAnsi="Times New Roman" w:cs="Times New Roman"/>
          <w:bCs/>
          <w:sz w:val="24"/>
          <w:szCs w:val="24"/>
        </w:rPr>
      </w:pPr>
      <w:r w:rsidRPr="004960E7">
        <w:rPr>
          <w:rFonts w:ascii="Times New Roman" w:hAnsi="Times New Roman" w:cs="Times New Roman"/>
          <w:bCs/>
          <w:sz w:val="24"/>
          <w:szCs w:val="24"/>
        </w:rPr>
        <w:t xml:space="preserve">Los indicadores del clima global confirman el avance acelerado del </w:t>
      </w:r>
      <w:r>
        <w:rPr>
          <w:rFonts w:ascii="Times New Roman" w:hAnsi="Times New Roman" w:cs="Times New Roman"/>
          <w:bCs/>
          <w:sz w:val="24"/>
          <w:szCs w:val="24"/>
        </w:rPr>
        <w:t>cambio climático</w:t>
      </w:r>
      <w:r w:rsidRPr="004960E7">
        <w:rPr>
          <w:rFonts w:ascii="Times New Roman" w:hAnsi="Times New Roman" w:cs="Times New Roman"/>
          <w:bCs/>
          <w:sz w:val="24"/>
          <w:szCs w:val="24"/>
        </w:rPr>
        <w:t>; el aumento de la concentración de gases de efecto invernadero en la atmósfera, la temperatura, el nivel del mar, la acidificación y desoxigenación de los océanos y la reducción de la criosfera ratifican el agravamiento de la actual crisis climática.</w:t>
      </w:r>
    </w:p>
    <w:p w14:paraId="06C80EF5" w14:textId="73F8F2C4" w:rsidR="004960E7" w:rsidRPr="004960E7" w:rsidRDefault="004960E7" w:rsidP="00FF3346">
      <w:pPr>
        <w:spacing w:after="0" w:line="360" w:lineRule="auto"/>
        <w:jc w:val="both"/>
        <w:rPr>
          <w:rFonts w:ascii="Times New Roman" w:hAnsi="Times New Roman" w:cs="Times New Roman"/>
          <w:bCs/>
          <w:sz w:val="24"/>
          <w:szCs w:val="24"/>
        </w:rPr>
      </w:pPr>
      <w:r w:rsidRPr="004960E7">
        <w:rPr>
          <w:rFonts w:ascii="Times New Roman" w:hAnsi="Times New Roman" w:cs="Times New Roman"/>
          <w:bCs/>
          <w:sz w:val="24"/>
          <w:szCs w:val="24"/>
        </w:rPr>
        <w:t xml:space="preserve">Las comunidades costeras, de menor desarrollo y con más vulnerabilidades, están expuestas a múltiples peligros relacionados con el clima, incluidos los ciclones tropicales, los niveles e inundaciones extremos del mar, las olas de calor marinas y la subida del nivel del mar. Estas condicionantes afectan sus recursos para el desarrollo y las sitúan en desventaja en la adaptación al </w:t>
      </w:r>
      <w:r>
        <w:rPr>
          <w:rFonts w:ascii="Times New Roman" w:hAnsi="Times New Roman" w:cs="Times New Roman"/>
          <w:bCs/>
          <w:sz w:val="24"/>
          <w:szCs w:val="24"/>
        </w:rPr>
        <w:t>cambio climático</w:t>
      </w:r>
      <w:r w:rsidRPr="004960E7">
        <w:rPr>
          <w:rFonts w:ascii="Times New Roman" w:hAnsi="Times New Roman" w:cs="Times New Roman"/>
          <w:bCs/>
          <w:sz w:val="24"/>
          <w:szCs w:val="24"/>
        </w:rPr>
        <w:t>.</w:t>
      </w:r>
    </w:p>
    <w:p w14:paraId="28A94880" w14:textId="5B020EAC" w:rsidR="00935DB4" w:rsidRPr="00935DB4" w:rsidRDefault="00935DB4" w:rsidP="00935DB4">
      <w:pPr>
        <w:spacing w:after="0" w:line="360" w:lineRule="auto"/>
        <w:jc w:val="both"/>
        <w:rPr>
          <w:rFonts w:ascii="Times New Roman" w:hAnsi="Times New Roman" w:cs="Times New Roman"/>
          <w:sz w:val="24"/>
          <w:szCs w:val="24"/>
        </w:rPr>
      </w:pPr>
      <w:r w:rsidRPr="00935DB4">
        <w:rPr>
          <w:rFonts w:ascii="Times New Roman" w:hAnsi="Times New Roman" w:cs="Times New Roman"/>
          <w:sz w:val="24"/>
          <w:szCs w:val="24"/>
        </w:rPr>
        <w:t xml:space="preserve">Cada comunidad presenta relaciones entre las dimensiones de la resiliencia de manera particular, pero que se </w:t>
      </w:r>
      <w:r w:rsidR="004960E7">
        <w:rPr>
          <w:rFonts w:ascii="Times New Roman" w:hAnsi="Times New Roman" w:cs="Times New Roman"/>
          <w:sz w:val="24"/>
          <w:szCs w:val="24"/>
        </w:rPr>
        <w:t>pueden generalizar mediante criterios</w:t>
      </w:r>
      <w:r w:rsidRPr="00935DB4">
        <w:rPr>
          <w:rFonts w:ascii="Times New Roman" w:hAnsi="Times New Roman" w:cs="Times New Roman"/>
          <w:sz w:val="24"/>
          <w:szCs w:val="24"/>
        </w:rPr>
        <w:t xml:space="preserve"> comunes a todas. La resiliencia será el proceso de adaptación exitoso que emana de la acción colectiva de gobiernos, empresas, organizaciones de la sociedad civiles y comunidades e individuos con fuertes capacidades adaptativas. Contribuir a lograr capacidades resilientes en la comunidad demanda intervenciones que integren las dimensiones de la resiliencia y aprovechen sus relaciones.</w:t>
      </w:r>
    </w:p>
    <w:p w14:paraId="74AE421A" w14:textId="4DA51295" w:rsidR="00FF3346" w:rsidRDefault="00935DB4" w:rsidP="00935DB4">
      <w:pPr>
        <w:spacing w:after="0" w:line="360" w:lineRule="auto"/>
        <w:jc w:val="both"/>
        <w:rPr>
          <w:rFonts w:ascii="Times New Roman" w:hAnsi="Times New Roman" w:cs="Times New Roman"/>
          <w:sz w:val="24"/>
          <w:szCs w:val="24"/>
        </w:rPr>
      </w:pPr>
      <w:r w:rsidRPr="00935DB4">
        <w:rPr>
          <w:rFonts w:ascii="Times New Roman" w:hAnsi="Times New Roman" w:cs="Times New Roman"/>
          <w:sz w:val="24"/>
          <w:szCs w:val="24"/>
        </w:rPr>
        <w:t>Las acciones para la intervención deben articularse en planes que consideren la participación de los actores involucrados, enfocados en las prioridades detectadas en la evaluación. Es conveniente aplicar intervenciones con criterios de resiliencia multidimensional para incrementar las capacidades adaptativas de la</w:t>
      </w:r>
      <w:r w:rsidR="004960E7">
        <w:rPr>
          <w:rFonts w:ascii="Times New Roman" w:hAnsi="Times New Roman" w:cs="Times New Roman"/>
          <w:sz w:val="24"/>
          <w:szCs w:val="24"/>
        </w:rPr>
        <w:t>s</w:t>
      </w:r>
      <w:r w:rsidRPr="00935DB4">
        <w:rPr>
          <w:rFonts w:ascii="Times New Roman" w:hAnsi="Times New Roman" w:cs="Times New Roman"/>
          <w:sz w:val="24"/>
          <w:szCs w:val="24"/>
        </w:rPr>
        <w:t xml:space="preserve"> comunidad</w:t>
      </w:r>
      <w:r w:rsidR="004960E7">
        <w:rPr>
          <w:rFonts w:ascii="Times New Roman" w:hAnsi="Times New Roman" w:cs="Times New Roman"/>
          <w:sz w:val="24"/>
          <w:szCs w:val="24"/>
        </w:rPr>
        <w:t>es costeras</w:t>
      </w:r>
      <w:r w:rsidRPr="00935DB4">
        <w:rPr>
          <w:rFonts w:ascii="Times New Roman" w:hAnsi="Times New Roman" w:cs="Times New Roman"/>
          <w:sz w:val="24"/>
          <w:szCs w:val="24"/>
        </w:rPr>
        <w:t>. El análisis y evaluación de estas capacidades es pertinente según cada caso de estudio, de forma que se establezcan los criterios que regirán posibles intervenciones</w:t>
      </w:r>
      <w:r w:rsidR="004960E7">
        <w:rPr>
          <w:rFonts w:ascii="Times New Roman" w:hAnsi="Times New Roman" w:cs="Times New Roman"/>
          <w:sz w:val="24"/>
          <w:szCs w:val="24"/>
        </w:rPr>
        <w:t>, con</w:t>
      </w:r>
      <w:r w:rsidRPr="00935DB4">
        <w:rPr>
          <w:rFonts w:ascii="Times New Roman" w:hAnsi="Times New Roman" w:cs="Times New Roman"/>
          <w:sz w:val="24"/>
          <w:szCs w:val="24"/>
        </w:rPr>
        <w:t xml:space="preserve"> el reto de abordar estos aspectos conceptuales de cara a la adaptación al cambio climático en asentamientos costeros. Es imperativo considerar la integración</w:t>
      </w:r>
      <w:r w:rsidR="00327879">
        <w:rPr>
          <w:rFonts w:ascii="Times New Roman" w:hAnsi="Times New Roman" w:cs="Times New Roman"/>
          <w:sz w:val="24"/>
          <w:szCs w:val="24"/>
        </w:rPr>
        <w:t xml:space="preserve"> del</w:t>
      </w:r>
      <w:r w:rsidRPr="00935DB4">
        <w:rPr>
          <w:rFonts w:ascii="Times New Roman" w:hAnsi="Times New Roman" w:cs="Times New Roman"/>
          <w:sz w:val="24"/>
          <w:szCs w:val="24"/>
        </w:rPr>
        <w:t xml:space="preserve"> </w:t>
      </w:r>
      <w:r w:rsidR="00327879">
        <w:rPr>
          <w:rFonts w:ascii="Times New Roman" w:hAnsi="Times New Roman" w:cs="Times New Roman"/>
          <w:sz w:val="24"/>
          <w:szCs w:val="24"/>
        </w:rPr>
        <w:t>marco propuesto</w:t>
      </w:r>
      <w:r w:rsidRPr="00935DB4">
        <w:rPr>
          <w:rFonts w:ascii="Times New Roman" w:hAnsi="Times New Roman" w:cs="Times New Roman"/>
          <w:sz w:val="24"/>
          <w:szCs w:val="24"/>
        </w:rPr>
        <w:t xml:space="preserve"> </w:t>
      </w:r>
      <w:r w:rsidR="00327879">
        <w:rPr>
          <w:rFonts w:ascii="Times New Roman" w:hAnsi="Times New Roman" w:cs="Times New Roman"/>
          <w:sz w:val="24"/>
          <w:szCs w:val="24"/>
        </w:rPr>
        <w:t>en la ponencia</w:t>
      </w:r>
      <w:r w:rsidRPr="00935DB4">
        <w:rPr>
          <w:rFonts w:ascii="Times New Roman" w:hAnsi="Times New Roman" w:cs="Times New Roman"/>
          <w:sz w:val="24"/>
          <w:szCs w:val="24"/>
        </w:rPr>
        <w:t xml:space="preserve"> para </w:t>
      </w:r>
      <w:r w:rsidR="00327879">
        <w:rPr>
          <w:rFonts w:ascii="Times New Roman" w:hAnsi="Times New Roman" w:cs="Times New Roman"/>
          <w:sz w:val="24"/>
          <w:szCs w:val="24"/>
        </w:rPr>
        <w:t>posibilitar el desarrollo de la</w:t>
      </w:r>
      <w:r w:rsidRPr="00935DB4">
        <w:rPr>
          <w:rFonts w:ascii="Times New Roman" w:hAnsi="Times New Roman" w:cs="Times New Roman"/>
          <w:sz w:val="24"/>
          <w:szCs w:val="24"/>
        </w:rPr>
        <w:t xml:space="preserve"> sostenibilidad sobre la base de la resiliencia.    </w:t>
      </w:r>
    </w:p>
    <w:p w14:paraId="7D58465E" w14:textId="3E906E06" w:rsidR="00D93A69" w:rsidRDefault="00D93A69" w:rsidP="00FF3346">
      <w:pPr>
        <w:spacing w:after="0" w:line="360" w:lineRule="auto"/>
        <w:jc w:val="both"/>
        <w:rPr>
          <w:rFonts w:ascii="Times New Roman" w:hAnsi="Times New Roman" w:cs="Times New Roman"/>
          <w:sz w:val="24"/>
          <w:szCs w:val="24"/>
        </w:rPr>
      </w:pPr>
    </w:p>
    <w:p w14:paraId="45D9A8FB" w14:textId="4A3485FE" w:rsidR="00D93A69" w:rsidRDefault="00D93A69" w:rsidP="00FF3346">
      <w:pPr>
        <w:spacing w:after="0" w:line="360" w:lineRule="auto"/>
        <w:jc w:val="both"/>
        <w:rPr>
          <w:rFonts w:ascii="Times New Roman" w:hAnsi="Times New Roman" w:cs="Times New Roman"/>
          <w:sz w:val="24"/>
          <w:szCs w:val="24"/>
        </w:rPr>
      </w:pPr>
    </w:p>
    <w:p w14:paraId="5C052ED3" w14:textId="4DE22E6A" w:rsidR="00D93A69" w:rsidRDefault="00D93A69" w:rsidP="00FF3346">
      <w:pPr>
        <w:spacing w:after="0" w:line="360" w:lineRule="auto"/>
        <w:jc w:val="both"/>
        <w:rPr>
          <w:rFonts w:ascii="Times New Roman" w:hAnsi="Times New Roman" w:cs="Times New Roman"/>
          <w:sz w:val="24"/>
          <w:szCs w:val="24"/>
        </w:rPr>
      </w:pPr>
    </w:p>
    <w:p w14:paraId="791B8992" w14:textId="3079A9EA" w:rsidR="00D93A69" w:rsidRDefault="00D93A69" w:rsidP="00FF3346">
      <w:pPr>
        <w:spacing w:after="0" w:line="360" w:lineRule="auto"/>
        <w:jc w:val="both"/>
        <w:rPr>
          <w:rFonts w:ascii="Times New Roman" w:hAnsi="Times New Roman" w:cs="Times New Roman"/>
          <w:sz w:val="24"/>
          <w:szCs w:val="24"/>
        </w:rPr>
      </w:pPr>
    </w:p>
    <w:p w14:paraId="467843DC" w14:textId="0ED01E33" w:rsidR="00D93A69" w:rsidRDefault="00D93A69" w:rsidP="00FF3346">
      <w:pPr>
        <w:spacing w:after="0" w:line="360" w:lineRule="auto"/>
        <w:jc w:val="both"/>
        <w:rPr>
          <w:rFonts w:ascii="Times New Roman" w:hAnsi="Times New Roman" w:cs="Times New Roman"/>
          <w:sz w:val="24"/>
          <w:szCs w:val="24"/>
        </w:rPr>
      </w:pPr>
    </w:p>
    <w:p w14:paraId="5C2AD023" w14:textId="53778860"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5. Referencias bibliográficas</w:t>
      </w:r>
    </w:p>
    <w:p w14:paraId="70050B60" w14:textId="41B26D8F" w:rsidR="004960E7" w:rsidRPr="004960E7" w:rsidRDefault="00D93A69"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rPr>
      </w:pPr>
      <w:r>
        <w:rPr>
          <w:rFonts w:ascii="Times New Roman" w:hAnsi="Times New Roman" w:cs="Times New Roman"/>
          <w:sz w:val="24"/>
          <w:szCs w:val="24"/>
        </w:rPr>
        <w:fldChar w:fldCharType="begin" w:fldLock="1"/>
      </w:r>
      <w:r w:rsidRPr="00ED659D">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rPr>
        <w:fldChar w:fldCharType="separate"/>
      </w:r>
      <w:r w:rsidR="004960E7" w:rsidRPr="00ED659D">
        <w:rPr>
          <w:rFonts w:ascii="Times New Roman" w:hAnsi="Times New Roman" w:cs="Times New Roman"/>
          <w:noProof/>
          <w:sz w:val="24"/>
          <w:szCs w:val="24"/>
          <w:lang w:val="en-US"/>
        </w:rPr>
        <w:t xml:space="preserve">Borie, M., Pelling, M., Ziervogel, G., &amp; Hyams, K. (2019). Mapping narratives of urban resilience in the global south. </w:t>
      </w:r>
      <w:r w:rsidR="004960E7" w:rsidRPr="004960E7">
        <w:rPr>
          <w:rFonts w:ascii="Times New Roman" w:hAnsi="Times New Roman" w:cs="Times New Roman"/>
          <w:i/>
          <w:iCs/>
          <w:noProof/>
          <w:sz w:val="24"/>
          <w:szCs w:val="24"/>
        </w:rPr>
        <w:t>Global Environmental Change</w:t>
      </w:r>
      <w:r w:rsidR="004960E7" w:rsidRPr="004960E7">
        <w:rPr>
          <w:rFonts w:ascii="Times New Roman" w:hAnsi="Times New Roman" w:cs="Times New Roman"/>
          <w:noProof/>
          <w:sz w:val="24"/>
          <w:szCs w:val="24"/>
        </w:rPr>
        <w:t xml:space="preserve">, </w:t>
      </w:r>
      <w:r w:rsidR="004960E7" w:rsidRPr="004960E7">
        <w:rPr>
          <w:rFonts w:ascii="Times New Roman" w:hAnsi="Times New Roman" w:cs="Times New Roman"/>
          <w:i/>
          <w:iCs/>
          <w:noProof/>
          <w:sz w:val="24"/>
          <w:szCs w:val="24"/>
        </w:rPr>
        <w:t>54</w:t>
      </w:r>
      <w:r w:rsidR="004960E7" w:rsidRPr="004960E7">
        <w:rPr>
          <w:rFonts w:ascii="Times New Roman" w:hAnsi="Times New Roman" w:cs="Times New Roman"/>
          <w:noProof/>
          <w:sz w:val="24"/>
          <w:szCs w:val="24"/>
        </w:rPr>
        <w:t>(December 2018), 203–213. https://doi.org/10.1016/j.gloenvcha.2019.01.001</w:t>
      </w:r>
    </w:p>
    <w:p w14:paraId="0C924DC6" w14:textId="77777777" w:rsidR="004960E7" w:rsidRPr="004960E7"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rPr>
      </w:pPr>
      <w:r w:rsidRPr="004960E7">
        <w:rPr>
          <w:rFonts w:ascii="Times New Roman" w:hAnsi="Times New Roman" w:cs="Times New Roman"/>
          <w:noProof/>
          <w:sz w:val="24"/>
          <w:szCs w:val="24"/>
        </w:rPr>
        <w:t xml:space="preserve">Castro, R. (2020). </w:t>
      </w:r>
      <w:r w:rsidRPr="004960E7">
        <w:rPr>
          <w:rFonts w:ascii="Times New Roman" w:hAnsi="Times New Roman" w:cs="Times New Roman"/>
          <w:i/>
          <w:iCs/>
          <w:noProof/>
          <w:sz w:val="24"/>
          <w:szCs w:val="24"/>
        </w:rPr>
        <w:t>La resiliencia comunitaria para la adaptación al Cambio Climático. Caso de estudio Carahatas</w:t>
      </w:r>
      <w:r w:rsidRPr="004960E7">
        <w:rPr>
          <w:rFonts w:ascii="Times New Roman" w:hAnsi="Times New Roman" w:cs="Times New Roman"/>
          <w:noProof/>
          <w:sz w:val="24"/>
          <w:szCs w:val="24"/>
        </w:rPr>
        <w:t>. Universidad Central “Marta Abreu” de Las Villas.</w:t>
      </w:r>
    </w:p>
    <w:p w14:paraId="63BE6DFC" w14:textId="77777777" w:rsidR="004960E7" w:rsidRPr="004960E7"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rPr>
      </w:pPr>
      <w:r w:rsidRPr="00ED659D">
        <w:rPr>
          <w:rFonts w:ascii="Times New Roman" w:hAnsi="Times New Roman" w:cs="Times New Roman"/>
          <w:noProof/>
          <w:sz w:val="24"/>
          <w:szCs w:val="24"/>
          <w:lang w:val="en-US"/>
        </w:rPr>
        <w:t xml:space="preserve">Davoudi, S., Shaw, K., Haider, L. J., Quinlan, A. E., Peterson, G. D., Wilkinson, C., Fünfgeld, H., McEvoy, D., &amp; Porter, L. (2012). Resilience: A Bridging Concept or a Dead End? “Reframing” Resilience: Challenges for Planning Theory and Practice Interacting Traps: Resilience Assessment of a Pasture Management System in Northern Afghanistan Urban Resilience: What Does it Mean in Planni. </w:t>
      </w:r>
      <w:r w:rsidRPr="004960E7">
        <w:rPr>
          <w:rFonts w:ascii="Times New Roman" w:hAnsi="Times New Roman" w:cs="Times New Roman"/>
          <w:i/>
          <w:iCs/>
          <w:noProof/>
          <w:sz w:val="24"/>
          <w:szCs w:val="24"/>
        </w:rPr>
        <w:t>Planning Theory and Practice</w:t>
      </w:r>
      <w:r w:rsidRPr="004960E7">
        <w:rPr>
          <w:rFonts w:ascii="Times New Roman" w:hAnsi="Times New Roman" w:cs="Times New Roman"/>
          <w:noProof/>
          <w:sz w:val="24"/>
          <w:szCs w:val="24"/>
        </w:rPr>
        <w:t xml:space="preserve">, </w:t>
      </w:r>
      <w:r w:rsidRPr="004960E7">
        <w:rPr>
          <w:rFonts w:ascii="Times New Roman" w:hAnsi="Times New Roman" w:cs="Times New Roman"/>
          <w:i/>
          <w:iCs/>
          <w:noProof/>
          <w:sz w:val="24"/>
          <w:szCs w:val="24"/>
        </w:rPr>
        <w:t>13</w:t>
      </w:r>
      <w:r w:rsidRPr="004960E7">
        <w:rPr>
          <w:rFonts w:ascii="Times New Roman" w:hAnsi="Times New Roman" w:cs="Times New Roman"/>
          <w:noProof/>
          <w:sz w:val="24"/>
          <w:szCs w:val="24"/>
        </w:rPr>
        <w:t>(2), 299–333. https://doi.org/10.1080/14649357.2012.677124</w:t>
      </w:r>
    </w:p>
    <w:p w14:paraId="1B8E3A36" w14:textId="77777777" w:rsidR="004960E7" w:rsidRPr="004960E7"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rPr>
      </w:pPr>
      <w:r w:rsidRPr="00ED659D">
        <w:rPr>
          <w:rFonts w:ascii="Times New Roman" w:hAnsi="Times New Roman" w:cs="Times New Roman"/>
          <w:noProof/>
          <w:sz w:val="24"/>
          <w:szCs w:val="24"/>
          <w:lang w:val="en-US"/>
        </w:rPr>
        <w:t xml:space="preserve">Dhar, T. K., &amp; Khirfan, L. (2017). A multi-scale and multi-dimensional framework for enhancing the resilience of urban form to climate change. </w:t>
      </w:r>
      <w:r w:rsidRPr="004960E7">
        <w:rPr>
          <w:rFonts w:ascii="Times New Roman" w:hAnsi="Times New Roman" w:cs="Times New Roman"/>
          <w:i/>
          <w:iCs/>
          <w:noProof/>
          <w:sz w:val="24"/>
          <w:szCs w:val="24"/>
        </w:rPr>
        <w:t>Urban Climate</w:t>
      </w:r>
      <w:r w:rsidRPr="004960E7">
        <w:rPr>
          <w:rFonts w:ascii="Times New Roman" w:hAnsi="Times New Roman" w:cs="Times New Roman"/>
          <w:noProof/>
          <w:sz w:val="24"/>
          <w:szCs w:val="24"/>
        </w:rPr>
        <w:t xml:space="preserve">, </w:t>
      </w:r>
      <w:r w:rsidRPr="004960E7">
        <w:rPr>
          <w:rFonts w:ascii="Times New Roman" w:hAnsi="Times New Roman" w:cs="Times New Roman"/>
          <w:i/>
          <w:iCs/>
          <w:noProof/>
          <w:sz w:val="24"/>
          <w:szCs w:val="24"/>
        </w:rPr>
        <w:t>19</w:t>
      </w:r>
      <w:r w:rsidRPr="004960E7">
        <w:rPr>
          <w:rFonts w:ascii="Times New Roman" w:hAnsi="Times New Roman" w:cs="Times New Roman"/>
          <w:noProof/>
          <w:sz w:val="24"/>
          <w:szCs w:val="24"/>
        </w:rPr>
        <w:t>, 72–91. https://doi.org/10.1016/j.uclim.2016.12.004</w:t>
      </w:r>
    </w:p>
    <w:p w14:paraId="3A5BDF0B" w14:textId="77777777" w:rsidR="004960E7" w:rsidRPr="00ED659D"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lang w:val="en-US"/>
        </w:rPr>
      </w:pPr>
      <w:r w:rsidRPr="00ED659D">
        <w:rPr>
          <w:rFonts w:ascii="Times New Roman" w:hAnsi="Times New Roman" w:cs="Times New Roman"/>
          <w:noProof/>
          <w:sz w:val="24"/>
          <w:szCs w:val="24"/>
          <w:lang w:val="en-US"/>
        </w:rPr>
        <w:t xml:space="preserve">Folke, C., Carpenter, S. R., Walker, B., Scheffer, M., Chapin, T., &amp; Rockström, J. (2010). Resilience thinking: Integrating resilience, adaptability and transformability. </w:t>
      </w:r>
      <w:r w:rsidRPr="00ED659D">
        <w:rPr>
          <w:rFonts w:ascii="Times New Roman" w:hAnsi="Times New Roman" w:cs="Times New Roman"/>
          <w:i/>
          <w:iCs/>
          <w:noProof/>
          <w:sz w:val="24"/>
          <w:szCs w:val="24"/>
          <w:lang w:val="en-US"/>
        </w:rPr>
        <w:t>Ecology and Society</w:t>
      </w:r>
      <w:r w:rsidRPr="00ED659D">
        <w:rPr>
          <w:rFonts w:ascii="Times New Roman" w:hAnsi="Times New Roman" w:cs="Times New Roman"/>
          <w:noProof/>
          <w:sz w:val="24"/>
          <w:szCs w:val="24"/>
          <w:lang w:val="en-US"/>
        </w:rPr>
        <w:t xml:space="preserve">, </w:t>
      </w:r>
      <w:r w:rsidRPr="00ED659D">
        <w:rPr>
          <w:rFonts w:ascii="Times New Roman" w:hAnsi="Times New Roman" w:cs="Times New Roman"/>
          <w:i/>
          <w:iCs/>
          <w:noProof/>
          <w:sz w:val="24"/>
          <w:szCs w:val="24"/>
          <w:lang w:val="en-US"/>
        </w:rPr>
        <w:t>15</w:t>
      </w:r>
      <w:r w:rsidRPr="00ED659D">
        <w:rPr>
          <w:rFonts w:ascii="Times New Roman" w:hAnsi="Times New Roman" w:cs="Times New Roman"/>
          <w:noProof/>
          <w:sz w:val="24"/>
          <w:szCs w:val="24"/>
          <w:lang w:val="en-US"/>
        </w:rPr>
        <w:t>(4). https://doi.org/10.5751/ES-03610-150420</w:t>
      </w:r>
    </w:p>
    <w:p w14:paraId="71887007" w14:textId="77777777" w:rsidR="004960E7" w:rsidRPr="004960E7"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rPr>
      </w:pPr>
      <w:r w:rsidRPr="004960E7">
        <w:rPr>
          <w:rFonts w:ascii="Times New Roman" w:hAnsi="Times New Roman" w:cs="Times New Roman"/>
          <w:noProof/>
          <w:sz w:val="24"/>
          <w:szCs w:val="24"/>
        </w:rPr>
        <w:t xml:space="preserve">González, G., Olivera, A., Pando, D., Martínez, G., &amp; Castro, R. (2020). El desafío de la gestión del riesgo de desastre en la sostenibilidad de asentamientos costeros. </w:t>
      </w:r>
      <w:r w:rsidRPr="004960E7">
        <w:rPr>
          <w:rFonts w:ascii="Times New Roman" w:hAnsi="Times New Roman" w:cs="Times New Roman"/>
          <w:i/>
          <w:iCs/>
          <w:noProof/>
          <w:sz w:val="24"/>
          <w:szCs w:val="24"/>
        </w:rPr>
        <w:t>Arquitectura y Urbanismo</w:t>
      </w:r>
      <w:r w:rsidRPr="004960E7">
        <w:rPr>
          <w:rFonts w:ascii="Times New Roman" w:hAnsi="Times New Roman" w:cs="Times New Roman"/>
          <w:noProof/>
          <w:sz w:val="24"/>
          <w:szCs w:val="24"/>
        </w:rPr>
        <w:t xml:space="preserve">, </w:t>
      </w:r>
      <w:r w:rsidRPr="004960E7">
        <w:rPr>
          <w:rFonts w:ascii="Times New Roman" w:hAnsi="Times New Roman" w:cs="Times New Roman"/>
          <w:i/>
          <w:iCs/>
          <w:noProof/>
          <w:sz w:val="24"/>
          <w:szCs w:val="24"/>
        </w:rPr>
        <w:t>41</w:t>
      </w:r>
      <w:r w:rsidRPr="004960E7">
        <w:rPr>
          <w:rFonts w:ascii="Times New Roman" w:hAnsi="Times New Roman" w:cs="Times New Roman"/>
          <w:noProof/>
          <w:sz w:val="24"/>
          <w:szCs w:val="24"/>
        </w:rPr>
        <w:t>(2), 5–16.</w:t>
      </w:r>
    </w:p>
    <w:p w14:paraId="1A3E9DE1" w14:textId="77777777" w:rsidR="004960E7" w:rsidRPr="00ED659D"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lang w:val="en-US"/>
        </w:rPr>
      </w:pPr>
      <w:r w:rsidRPr="00ED659D">
        <w:rPr>
          <w:rFonts w:ascii="Times New Roman" w:hAnsi="Times New Roman" w:cs="Times New Roman"/>
          <w:noProof/>
          <w:sz w:val="24"/>
          <w:szCs w:val="24"/>
          <w:lang w:val="en-US"/>
        </w:rPr>
        <w:t xml:space="preserve">Hardoy, J., &amp; Romero Lankao, P. (2011). Latin American cities and climate change: Challenges and options to mitigation and adaptation responses. </w:t>
      </w:r>
      <w:r w:rsidRPr="00ED659D">
        <w:rPr>
          <w:rFonts w:ascii="Times New Roman" w:hAnsi="Times New Roman" w:cs="Times New Roman"/>
          <w:i/>
          <w:iCs/>
          <w:noProof/>
          <w:sz w:val="24"/>
          <w:szCs w:val="24"/>
          <w:lang w:val="en-US"/>
        </w:rPr>
        <w:t>Current Opinion in Environmental Sustainability</w:t>
      </w:r>
      <w:r w:rsidRPr="00ED659D">
        <w:rPr>
          <w:rFonts w:ascii="Times New Roman" w:hAnsi="Times New Roman" w:cs="Times New Roman"/>
          <w:noProof/>
          <w:sz w:val="24"/>
          <w:szCs w:val="24"/>
          <w:lang w:val="en-US"/>
        </w:rPr>
        <w:t xml:space="preserve">, </w:t>
      </w:r>
      <w:r w:rsidRPr="00ED659D">
        <w:rPr>
          <w:rFonts w:ascii="Times New Roman" w:hAnsi="Times New Roman" w:cs="Times New Roman"/>
          <w:i/>
          <w:iCs/>
          <w:noProof/>
          <w:sz w:val="24"/>
          <w:szCs w:val="24"/>
          <w:lang w:val="en-US"/>
        </w:rPr>
        <w:t>3</w:t>
      </w:r>
      <w:r w:rsidRPr="00ED659D">
        <w:rPr>
          <w:rFonts w:ascii="Times New Roman" w:hAnsi="Times New Roman" w:cs="Times New Roman"/>
          <w:noProof/>
          <w:sz w:val="24"/>
          <w:szCs w:val="24"/>
          <w:lang w:val="en-US"/>
        </w:rPr>
        <w:t>(3), 158–163. https://doi.org/10.1016/j.cosust.2011.01.004</w:t>
      </w:r>
    </w:p>
    <w:p w14:paraId="6F3B726A" w14:textId="77777777" w:rsidR="004960E7" w:rsidRPr="00ED659D"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lang w:val="en-US"/>
        </w:rPr>
      </w:pPr>
      <w:r w:rsidRPr="00ED659D">
        <w:rPr>
          <w:rFonts w:ascii="Times New Roman" w:hAnsi="Times New Roman" w:cs="Times New Roman"/>
          <w:noProof/>
          <w:sz w:val="24"/>
          <w:szCs w:val="24"/>
          <w:lang w:val="en-US"/>
        </w:rPr>
        <w:t xml:space="preserve">Intergovernmental Panel on Climate Change, I. (2019). Global Warming of 1.5°C. In </w:t>
      </w:r>
      <w:r w:rsidRPr="00ED659D">
        <w:rPr>
          <w:rFonts w:ascii="Times New Roman" w:hAnsi="Times New Roman" w:cs="Times New Roman"/>
          <w:i/>
          <w:iCs/>
          <w:noProof/>
          <w:sz w:val="24"/>
          <w:szCs w:val="24"/>
          <w:lang w:val="en-US"/>
        </w:rPr>
        <w:t>A Companion to Applied Ethics</w:t>
      </w:r>
      <w:r w:rsidRPr="00ED659D">
        <w:rPr>
          <w:rFonts w:ascii="Times New Roman" w:hAnsi="Times New Roman" w:cs="Times New Roman"/>
          <w:noProof/>
          <w:sz w:val="24"/>
          <w:szCs w:val="24"/>
          <w:lang w:val="en-US"/>
        </w:rPr>
        <w:t>. https://doi.org/10.1002/9780470996621.ch50</w:t>
      </w:r>
    </w:p>
    <w:p w14:paraId="56A136C1" w14:textId="77777777" w:rsidR="004960E7" w:rsidRPr="00ED659D"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lang w:val="en-US"/>
        </w:rPr>
      </w:pPr>
      <w:r w:rsidRPr="00ED659D">
        <w:rPr>
          <w:rFonts w:ascii="Times New Roman" w:hAnsi="Times New Roman" w:cs="Times New Roman"/>
          <w:noProof/>
          <w:sz w:val="24"/>
          <w:szCs w:val="24"/>
          <w:lang w:val="en-US"/>
        </w:rPr>
        <w:t xml:space="preserve">Intergovernmental Panel on Climate Change, I. (2021). </w:t>
      </w:r>
      <w:r w:rsidRPr="00ED659D">
        <w:rPr>
          <w:rFonts w:ascii="Times New Roman" w:hAnsi="Times New Roman" w:cs="Times New Roman"/>
          <w:i/>
          <w:iCs/>
          <w:noProof/>
          <w:sz w:val="24"/>
          <w:szCs w:val="24"/>
          <w:lang w:val="en-US"/>
        </w:rPr>
        <w:t xml:space="preserve">Climate Change 2021 </w:t>
      </w:r>
      <w:r w:rsidRPr="00ED659D">
        <w:rPr>
          <w:rFonts w:ascii="Times New Roman" w:hAnsi="Times New Roman" w:cs="Times New Roman"/>
          <w:i/>
          <w:iCs/>
          <w:noProof/>
          <w:sz w:val="24"/>
          <w:szCs w:val="24"/>
          <w:lang w:val="en-US"/>
        </w:rPr>
        <w:lastRenderedPageBreak/>
        <w:t>The Physical Science Basis</w:t>
      </w:r>
      <w:r w:rsidRPr="00ED659D">
        <w:rPr>
          <w:rFonts w:ascii="Times New Roman" w:hAnsi="Times New Roman" w:cs="Times New Roman"/>
          <w:noProof/>
          <w:sz w:val="24"/>
          <w:szCs w:val="24"/>
          <w:lang w:val="en-US"/>
        </w:rPr>
        <w:t>.</w:t>
      </w:r>
    </w:p>
    <w:p w14:paraId="01BE79D6" w14:textId="77777777" w:rsidR="004960E7" w:rsidRPr="00ED659D"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lang w:val="en-US"/>
        </w:rPr>
      </w:pPr>
      <w:r w:rsidRPr="00ED659D">
        <w:rPr>
          <w:rFonts w:ascii="Times New Roman" w:hAnsi="Times New Roman" w:cs="Times New Roman"/>
          <w:noProof/>
          <w:sz w:val="24"/>
          <w:szCs w:val="24"/>
          <w:lang w:val="en-US"/>
        </w:rPr>
        <w:t xml:space="preserve">Leichenko, R. (2011). Climate change and urban resilience. </w:t>
      </w:r>
      <w:r w:rsidRPr="00ED659D">
        <w:rPr>
          <w:rFonts w:ascii="Times New Roman" w:hAnsi="Times New Roman" w:cs="Times New Roman"/>
          <w:i/>
          <w:iCs/>
          <w:noProof/>
          <w:sz w:val="24"/>
          <w:szCs w:val="24"/>
          <w:lang w:val="en-US"/>
        </w:rPr>
        <w:t>Current Opinion in Environmental Sustainability</w:t>
      </w:r>
      <w:r w:rsidRPr="00ED659D">
        <w:rPr>
          <w:rFonts w:ascii="Times New Roman" w:hAnsi="Times New Roman" w:cs="Times New Roman"/>
          <w:noProof/>
          <w:sz w:val="24"/>
          <w:szCs w:val="24"/>
          <w:lang w:val="en-US"/>
        </w:rPr>
        <w:t xml:space="preserve">, </w:t>
      </w:r>
      <w:r w:rsidRPr="00ED659D">
        <w:rPr>
          <w:rFonts w:ascii="Times New Roman" w:hAnsi="Times New Roman" w:cs="Times New Roman"/>
          <w:i/>
          <w:iCs/>
          <w:noProof/>
          <w:sz w:val="24"/>
          <w:szCs w:val="24"/>
          <w:lang w:val="en-US"/>
        </w:rPr>
        <w:t>3</w:t>
      </w:r>
      <w:r w:rsidRPr="00ED659D">
        <w:rPr>
          <w:rFonts w:ascii="Times New Roman" w:hAnsi="Times New Roman" w:cs="Times New Roman"/>
          <w:noProof/>
          <w:sz w:val="24"/>
          <w:szCs w:val="24"/>
          <w:lang w:val="en-US"/>
        </w:rPr>
        <w:t>(3), 164–168. https://doi.org/10.1016/j.cosust.2010.12.014</w:t>
      </w:r>
    </w:p>
    <w:p w14:paraId="0354B38E" w14:textId="77777777" w:rsidR="004960E7" w:rsidRPr="00ED659D"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lang w:val="en-US"/>
        </w:rPr>
      </w:pPr>
      <w:r w:rsidRPr="00ED659D">
        <w:rPr>
          <w:rFonts w:ascii="Times New Roman" w:hAnsi="Times New Roman" w:cs="Times New Roman"/>
          <w:noProof/>
          <w:sz w:val="24"/>
          <w:szCs w:val="24"/>
          <w:lang w:val="en-US"/>
        </w:rPr>
        <w:t xml:space="preserve">McSweeney, K., &amp; Coomes, O. T. (2011). Climate-related disaster opens a window of opportunity for rural poor in northeastern Honduras. </w:t>
      </w:r>
      <w:r w:rsidRPr="00ED659D">
        <w:rPr>
          <w:rFonts w:ascii="Times New Roman" w:hAnsi="Times New Roman" w:cs="Times New Roman"/>
          <w:i/>
          <w:iCs/>
          <w:noProof/>
          <w:sz w:val="24"/>
          <w:szCs w:val="24"/>
          <w:lang w:val="en-US"/>
        </w:rPr>
        <w:t>Proceedings of the National Academy of Sciences of the United States of America</w:t>
      </w:r>
      <w:r w:rsidRPr="00ED659D">
        <w:rPr>
          <w:rFonts w:ascii="Times New Roman" w:hAnsi="Times New Roman" w:cs="Times New Roman"/>
          <w:noProof/>
          <w:sz w:val="24"/>
          <w:szCs w:val="24"/>
          <w:lang w:val="en-US"/>
        </w:rPr>
        <w:t xml:space="preserve">, </w:t>
      </w:r>
      <w:r w:rsidRPr="00ED659D">
        <w:rPr>
          <w:rFonts w:ascii="Times New Roman" w:hAnsi="Times New Roman" w:cs="Times New Roman"/>
          <w:i/>
          <w:iCs/>
          <w:noProof/>
          <w:sz w:val="24"/>
          <w:szCs w:val="24"/>
          <w:lang w:val="en-US"/>
        </w:rPr>
        <w:t>108</w:t>
      </w:r>
      <w:r w:rsidRPr="00ED659D">
        <w:rPr>
          <w:rFonts w:ascii="Times New Roman" w:hAnsi="Times New Roman" w:cs="Times New Roman"/>
          <w:noProof/>
          <w:sz w:val="24"/>
          <w:szCs w:val="24"/>
          <w:lang w:val="en-US"/>
        </w:rPr>
        <w:t>(13), 5203–5208. https://doi.org/10.1073/pnas.1014123108</w:t>
      </w:r>
    </w:p>
    <w:p w14:paraId="6378F387" w14:textId="77777777" w:rsidR="004960E7" w:rsidRPr="004960E7"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rPr>
      </w:pPr>
      <w:r w:rsidRPr="00ED659D">
        <w:rPr>
          <w:rFonts w:ascii="Times New Roman" w:hAnsi="Times New Roman" w:cs="Times New Roman"/>
          <w:noProof/>
          <w:sz w:val="24"/>
          <w:szCs w:val="24"/>
          <w:lang w:val="en-US"/>
        </w:rPr>
        <w:t xml:space="preserve">Meerow, S., Newell, J. P., &amp; Stults, M. (2016). Defining urban resilience: A review. </w:t>
      </w:r>
      <w:r w:rsidRPr="004960E7">
        <w:rPr>
          <w:rFonts w:ascii="Times New Roman" w:hAnsi="Times New Roman" w:cs="Times New Roman"/>
          <w:i/>
          <w:iCs/>
          <w:noProof/>
          <w:sz w:val="24"/>
          <w:szCs w:val="24"/>
        </w:rPr>
        <w:t>Landscape and Urban Planning</w:t>
      </w:r>
      <w:r w:rsidRPr="004960E7">
        <w:rPr>
          <w:rFonts w:ascii="Times New Roman" w:hAnsi="Times New Roman" w:cs="Times New Roman"/>
          <w:noProof/>
          <w:sz w:val="24"/>
          <w:szCs w:val="24"/>
        </w:rPr>
        <w:t xml:space="preserve">, </w:t>
      </w:r>
      <w:r w:rsidRPr="004960E7">
        <w:rPr>
          <w:rFonts w:ascii="Times New Roman" w:hAnsi="Times New Roman" w:cs="Times New Roman"/>
          <w:i/>
          <w:iCs/>
          <w:noProof/>
          <w:sz w:val="24"/>
          <w:szCs w:val="24"/>
        </w:rPr>
        <w:t>147</w:t>
      </w:r>
      <w:r w:rsidRPr="004960E7">
        <w:rPr>
          <w:rFonts w:ascii="Times New Roman" w:hAnsi="Times New Roman" w:cs="Times New Roman"/>
          <w:noProof/>
          <w:sz w:val="24"/>
          <w:szCs w:val="24"/>
        </w:rPr>
        <w:t>, 38–49. https://doi.org/10.1016/j.landurbplan.2015.11.011</w:t>
      </w:r>
    </w:p>
    <w:p w14:paraId="32236193" w14:textId="77777777" w:rsidR="004960E7" w:rsidRPr="004960E7"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szCs w:val="24"/>
        </w:rPr>
      </w:pPr>
      <w:r w:rsidRPr="004960E7">
        <w:rPr>
          <w:rFonts w:ascii="Times New Roman" w:hAnsi="Times New Roman" w:cs="Times New Roman"/>
          <w:noProof/>
          <w:sz w:val="24"/>
          <w:szCs w:val="24"/>
        </w:rPr>
        <w:t>Enfrentamiento al Cambio Climático en la República de Cuba: Tarea Vida, 12 (2017). http://repositorio.geotech.cu/jspui/bitstream/1234/2864/1/Plan de Estado para el Enfrentamiento al Cambio Climático en la República de Cuba %28Tarea Vida%29.pdf</w:t>
      </w:r>
    </w:p>
    <w:p w14:paraId="126306F1" w14:textId="77777777" w:rsidR="004960E7" w:rsidRPr="00ED659D" w:rsidRDefault="004960E7" w:rsidP="004960E7">
      <w:pPr>
        <w:pStyle w:val="Prrafodelista"/>
        <w:widowControl w:val="0"/>
        <w:numPr>
          <w:ilvl w:val="0"/>
          <w:numId w:val="2"/>
        </w:numPr>
        <w:autoSpaceDE w:val="0"/>
        <w:autoSpaceDN w:val="0"/>
        <w:adjustRightInd w:val="0"/>
        <w:spacing w:after="0" w:line="360" w:lineRule="auto"/>
        <w:rPr>
          <w:rFonts w:ascii="Times New Roman" w:hAnsi="Times New Roman" w:cs="Times New Roman"/>
          <w:noProof/>
          <w:sz w:val="24"/>
          <w:lang w:val="en-US"/>
        </w:rPr>
      </w:pPr>
      <w:r w:rsidRPr="00ED659D">
        <w:rPr>
          <w:rFonts w:ascii="Times New Roman" w:hAnsi="Times New Roman" w:cs="Times New Roman"/>
          <w:noProof/>
          <w:sz w:val="24"/>
          <w:szCs w:val="24"/>
          <w:lang w:val="en-US"/>
        </w:rPr>
        <w:t xml:space="preserve">United Nations Office for Disaster Risk Reduction, U. (2015). </w:t>
      </w:r>
      <w:r w:rsidRPr="00ED659D">
        <w:rPr>
          <w:rFonts w:ascii="Times New Roman" w:hAnsi="Times New Roman" w:cs="Times New Roman"/>
          <w:i/>
          <w:iCs/>
          <w:noProof/>
          <w:sz w:val="24"/>
          <w:szCs w:val="24"/>
          <w:lang w:val="en-US"/>
        </w:rPr>
        <w:t>Sendai Framework for Disaster Risk Reduction 2015 - 2030</w:t>
      </w:r>
      <w:r w:rsidRPr="00ED659D">
        <w:rPr>
          <w:rFonts w:ascii="Times New Roman" w:hAnsi="Times New Roman" w:cs="Times New Roman"/>
          <w:noProof/>
          <w:sz w:val="24"/>
          <w:szCs w:val="24"/>
          <w:lang w:val="en-US"/>
        </w:rPr>
        <w:t>. UNISDR/GE/2015 - ICLUX EN5000 1st edition. https://www.preventionweb.net/files/43291_sendaiframeworkfordrren.pdf</w:t>
      </w:r>
    </w:p>
    <w:p w14:paraId="717FAFBF" w14:textId="7715709A" w:rsidR="00D36D1C" w:rsidRPr="009D5E02" w:rsidRDefault="00D93A69"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D36D1C" w:rsidRPr="009D5E02" w:rsidSect="00C8585B">
      <w:headerReference w:type="default" r:id="rId13"/>
      <w:footerReference w:type="default" r:id="rId1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EC999" w14:textId="77777777" w:rsidR="009F21EB" w:rsidRDefault="009F21EB" w:rsidP="00C8585B">
      <w:pPr>
        <w:spacing w:after="0" w:line="240" w:lineRule="auto"/>
      </w:pPr>
      <w:r>
        <w:separator/>
      </w:r>
    </w:p>
  </w:endnote>
  <w:endnote w:type="continuationSeparator" w:id="0">
    <w:p w14:paraId="66B9971A" w14:textId="77777777" w:rsidR="009F21EB" w:rsidRDefault="009F21E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70190"/>
      <w:docPartObj>
        <w:docPartGallery w:val="Page Numbers (Bottom of Page)"/>
        <w:docPartUnique/>
      </w:docPartObj>
    </w:sdtPr>
    <w:sdtEndPr/>
    <w:sdtContent>
      <w:p w14:paraId="65AF139B"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0890015F" w14:textId="318EE0F2"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Pr="00C8585B">
      <w:rPr>
        <w:rFonts w:ascii="Verdana" w:hAnsi="Verdana"/>
        <w:b/>
        <w:sz w:val="16"/>
        <w:szCs w:val="16"/>
        <w:lang w:val="es-ES_tradnl"/>
      </w:rPr>
      <w:t>20</w:t>
    </w:r>
    <w:r w:rsidR="00671849">
      <w:rPr>
        <w:rFonts w:ascii="Verdana" w:hAnsi="Verdana"/>
        <w:b/>
        <w:sz w:val="16"/>
        <w:szCs w:val="16"/>
        <w:lang w:val="es-ES_tradnl"/>
      </w:rPr>
      <w:t>21</w:t>
    </w:r>
  </w:p>
  <w:p w14:paraId="179147BF"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3B7A20A3" w14:textId="7BFCCE95" w:rsidR="009D5E02" w:rsidRDefault="00076003" w:rsidP="00076003">
    <w:pPr>
      <w:pStyle w:val="Piedepgina"/>
      <w:jc w:val="center"/>
    </w:pPr>
    <w:r w:rsidRPr="00076003">
      <w:rPr>
        <w:rFonts w:ascii="Verdana" w:hAnsi="Verdana"/>
        <w:b/>
        <w:sz w:val="16"/>
        <w:szCs w:val="16"/>
        <w:lang w:val="en-US"/>
      </w:rPr>
      <w:t xml:space="preserve">Multidimensional resilience for adaptation to climate change. </w:t>
    </w:r>
    <w:r w:rsidRPr="00076003">
      <w:rPr>
        <w:rFonts w:ascii="Verdana" w:hAnsi="Verdana"/>
        <w:b/>
        <w:sz w:val="16"/>
        <w:szCs w:val="16"/>
        <w:lang w:val="es-ES_tradnl"/>
      </w:rPr>
      <w:t>Conceptual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F92D7" w14:textId="77777777" w:rsidR="009F21EB" w:rsidRDefault="009F21EB" w:rsidP="00C8585B">
      <w:pPr>
        <w:spacing w:after="0" w:line="240" w:lineRule="auto"/>
      </w:pPr>
      <w:r>
        <w:separator/>
      </w:r>
    </w:p>
  </w:footnote>
  <w:footnote w:type="continuationSeparator" w:id="0">
    <w:p w14:paraId="4A4FAEBB" w14:textId="77777777" w:rsidR="009F21EB" w:rsidRDefault="009F21EB"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57" w:type="dxa"/>
      <w:jc w:val="center"/>
      <w:tblLayout w:type="fixed"/>
      <w:tblLook w:val="04A0" w:firstRow="1" w:lastRow="0" w:firstColumn="1" w:lastColumn="0" w:noHBand="0" w:noVBand="1"/>
    </w:tblPr>
    <w:tblGrid>
      <w:gridCol w:w="1425"/>
      <w:gridCol w:w="8632"/>
    </w:tblGrid>
    <w:tr w:rsidR="00F31B37" w:rsidRPr="004D77C8" w14:paraId="57B08C77" w14:textId="77777777" w:rsidTr="00F31B37">
      <w:trPr>
        <w:trHeight w:val="1114"/>
        <w:jc w:val="center"/>
      </w:trPr>
      <w:tc>
        <w:tcPr>
          <w:tcW w:w="1425" w:type="dxa"/>
        </w:tcPr>
        <w:p w14:paraId="4E12C8A7"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1312" behindDoc="1" locked="0" layoutInCell="1" allowOverlap="1" wp14:anchorId="5A13106B" wp14:editId="2869BBC7">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1A88223" w14:textId="77777777" w:rsidR="00F31B37" w:rsidRDefault="00F31B37" w:rsidP="00F31B37">
          <w:pPr>
            <w:pStyle w:val="Encabezado"/>
            <w:jc w:val="center"/>
            <w:rPr>
              <w:rFonts w:ascii="Verdana" w:hAnsi="Verdana"/>
              <w:b/>
              <w:sz w:val="16"/>
              <w:szCs w:val="16"/>
              <w:lang w:val="es-ES_tradnl"/>
            </w:rPr>
          </w:pPr>
        </w:p>
        <w:p w14:paraId="78955FE3" w14:textId="729443FC"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 xml:space="preserve">Convención </w:t>
          </w:r>
          <w:r>
            <w:rPr>
              <w:rFonts w:ascii="Verdana" w:hAnsi="Verdana"/>
              <w:b/>
              <w:sz w:val="16"/>
              <w:szCs w:val="16"/>
              <w:lang w:val="es-ES_tradnl"/>
            </w:rPr>
            <w:t>2021</w:t>
          </w:r>
        </w:p>
        <w:p w14:paraId="158C8C3E"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BECD4E7" w14:textId="5C51967E" w:rsidR="00F31B37" w:rsidRPr="000A6EC7" w:rsidRDefault="00076003" w:rsidP="00F31B37">
          <w:pPr>
            <w:pStyle w:val="Encabezado"/>
            <w:jc w:val="center"/>
            <w:rPr>
              <w:rFonts w:ascii="Verdana" w:hAnsi="Verdana"/>
              <w:b/>
              <w:sz w:val="18"/>
              <w:szCs w:val="18"/>
              <w:lang w:val="en-GB"/>
            </w:rPr>
          </w:pPr>
          <w:r w:rsidRPr="00076003">
            <w:rPr>
              <w:rFonts w:ascii="Verdana" w:hAnsi="Verdana"/>
              <w:b/>
              <w:sz w:val="16"/>
              <w:szCs w:val="16"/>
              <w:lang w:val="es-ES_tradnl"/>
            </w:rPr>
            <w:t>Resiliencia multidimensional para la adaptación al cambio climático. Propuesta conceptual</w:t>
          </w:r>
        </w:p>
      </w:tc>
    </w:tr>
  </w:tbl>
  <w:p w14:paraId="2B09964F"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5202DCA"/>
    <w:multiLevelType w:val="hybridMultilevel"/>
    <w:tmpl w:val="C3923D64"/>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85B"/>
    <w:rsid w:val="00046F14"/>
    <w:rsid w:val="00075275"/>
    <w:rsid w:val="00076003"/>
    <w:rsid w:val="000A6EC7"/>
    <w:rsid w:val="000C14DC"/>
    <w:rsid w:val="000D7B39"/>
    <w:rsid w:val="000E4EDE"/>
    <w:rsid w:val="00124DB9"/>
    <w:rsid w:val="00214296"/>
    <w:rsid w:val="00226383"/>
    <w:rsid w:val="002B5225"/>
    <w:rsid w:val="002E0882"/>
    <w:rsid w:val="002E272A"/>
    <w:rsid w:val="002F3EED"/>
    <w:rsid w:val="00327879"/>
    <w:rsid w:val="00355283"/>
    <w:rsid w:val="003B1289"/>
    <w:rsid w:val="003B776F"/>
    <w:rsid w:val="00403285"/>
    <w:rsid w:val="004960E7"/>
    <w:rsid w:val="004B1893"/>
    <w:rsid w:val="005754D8"/>
    <w:rsid w:val="005C088C"/>
    <w:rsid w:val="006271E4"/>
    <w:rsid w:val="00667F10"/>
    <w:rsid w:val="00671849"/>
    <w:rsid w:val="006818F9"/>
    <w:rsid w:val="006B5925"/>
    <w:rsid w:val="007455FF"/>
    <w:rsid w:val="0077110E"/>
    <w:rsid w:val="007C1D35"/>
    <w:rsid w:val="00815971"/>
    <w:rsid w:val="008622E1"/>
    <w:rsid w:val="0088159E"/>
    <w:rsid w:val="00884301"/>
    <w:rsid w:val="008A1C16"/>
    <w:rsid w:val="008E00C7"/>
    <w:rsid w:val="009061A5"/>
    <w:rsid w:val="0091621C"/>
    <w:rsid w:val="00935DB4"/>
    <w:rsid w:val="00985F35"/>
    <w:rsid w:val="009B1EF2"/>
    <w:rsid w:val="009B7F12"/>
    <w:rsid w:val="009D5E02"/>
    <w:rsid w:val="009D67CD"/>
    <w:rsid w:val="009F21EB"/>
    <w:rsid w:val="00A156A5"/>
    <w:rsid w:val="00A21A1F"/>
    <w:rsid w:val="00A23F15"/>
    <w:rsid w:val="00A62A14"/>
    <w:rsid w:val="00AE534B"/>
    <w:rsid w:val="00B2024E"/>
    <w:rsid w:val="00B506EC"/>
    <w:rsid w:val="00B573B9"/>
    <w:rsid w:val="00B80E97"/>
    <w:rsid w:val="00BC770B"/>
    <w:rsid w:val="00C17100"/>
    <w:rsid w:val="00C36EB6"/>
    <w:rsid w:val="00C45EAF"/>
    <w:rsid w:val="00C8585B"/>
    <w:rsid w:val="00CD2BC3"/>
    <w:rsid w:val="00CD4DE5"/>
    <w:rsid w:val="00D36D1C"/>
    <w:rsid w:val="00D73DE9"/>
    <w:rsid w:val="00D93A69"/>
    <w:rsid w:val="00E21C7A"/>
    <w:rsid w:val="00E40131"/>
    <w:rsid w:val="00E414CD"/>
    <w:rsid w:val="00E5001E"/>
    <w:rsid w:val="00E912D0"/>
    <w:rsid w:val="00ED659D"/>
    <w:rsid w:val="00F31B37"/>
    <w:rsid w:val="00FC45E6"/>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4488C"/>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10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B57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castro@uclv.c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gcamacho@uclv.edu.c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48381-2F84-4D7F-838B-E173B0D8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18</Pages>
  <Words>12677</Words>
  <Characters>69727</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82240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Roberto</cp:lastModifiedBy>
  <cp:revision>15</cp:revision>
  <dcterms:created xsi:type="dcterms:W3CDTF">2021-05-14T03:18:00Z</dcterms:created>
  <dcterms:modified xsi:type="dcterms:W3CDTF">2021-10-15T19:26:00Z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e9c92142-905e-36f9-ad66-0accc0ec5772</vt:lpwstr>
  </property>
  <property fmtid="{D5CDD505-2E9C-101B-9397-08002B2CF9AE}" pid="24" name="Mendeley Citation Style_1">
    <vt:lpwstr>http://www.zotero.org/styles/apa</vt:lpwstr>
  </property>
</Properties>
</file>