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Visión 2030 de la Federación Dental Internacional reto para la Estomatología Cubana y Educación Superior.</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Autoras: Dra Ismaray Contreras Cobas.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Especialista en Primer Grado de Estomatología General Integral.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Profesor Instructor.</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Estudiante de 4to año: Lizaida Caraballo Sosa.</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Institución: Policlínico Docente Marta Abreu. Departamento de Estomatología.</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País: Cuba.</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Eje temático: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1-Retos Actuales de la Educación Superior.</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Correo: </w:t>
      </w:r>
      <w:r>
        <w:rPr/>
        <w:fldChar w:fldCharType="begin"/>
      </w:r>
      <w:r>
        <w:instrText xml:space="preserve"> HYPERLINK "mailto:ismaray.contreras@nauta.cu" </w:instrText>
      </w:r>
      <w:r>
        <w:rPr/>
        <w:fldChar w:fldCharType="separate"/>
      </w:r>
      <w:r>
        <w:rPr>
          <w:rStyle w:val="style85"/>
          <w:rFonts w:ascii="Times New Roman" w:cs="Times New Roman" w:hAnsi="Times New Roman"/>
          <w:sz w:val="24"/>
          <w:szCs w:val="24"/>
        </w:rPr>
        <w:t>ismaray.contreras@nauta.cu</w:t>
      </w:r>
      <w:r>
        <w:rPr/>
        <w:fldChar w:fldCharType="end"/>
      </w:r>
      <w:r>
        <w:rPr>
          <w:rFonts w:ascii="Times New Roman" w:cs="Times New Roman" w:hAnsi="Times New Roman"/>
          <w:sz w:val="24"/>
          <w:szCs w:val="24"/>
        </w:rPr>
        <w:t xml:space="preserve">     </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tabs>
          <w:tab w:val="left" w:leader="none" w:pos="2280"/>
        </w:tabs>
        <w:spacing w:lineRule="auto" w:line="360"/>
        <w:rPr>
          <w:rFonts w:ascii="Times New Roman" w:cs="Times New Roman" w:hAnsi="Times New Roman"/>
          <w:b/>
          <w:sz w:val="24"/>
          <w:szCs w:val="24"/>
        </w:rPr>
      </w:pPr>
      <w:r>
        <w:rPr>
          <w:rFonts w:ascii="Times New Roman" w:cs="Times New Roman" w:hAnsi="Times New Roman"/>
          <w:b/>
          <w:sz w:val="24"/>
          <w:szCs w:val="24"/>
        </w:rPr>
        <w:t>RESUMEN</w:t>
      </w:r>
    </w:p>
    <w:p>
      <w:pPr>
        <w:pStyle w:val="style0"/>
        <w:spacing w:lineRule="auto" w:line="360"/>
        <w:rPr>
          <w:rFonts w:ascii="Times New Roman" w:cs="Times New Roman" w:hAnsi="Times New Roman"/>
          <w:sz w:val="24"/>
          <w:szCs w:val="24"/>
        </w:rPr>
      </w:pPr>
      <w:r>
        <w:rPr>
          <w:rFonts w:ascii="Times New Roman" w:cs="Times New Roman" w:hAnsi="Times New Roman"/>
          <w:b/>
          <w:sz w:val="24"/>
          <w:szCs w:val="24"/>
        </w:rPr>
        <w:t>Introducción</w:t>
      </w:r>
      <w:r>
        <w:rPr>
          <w:rFonts w:ascii="Times New Roman" w:cs="Times New Roman" w:hAnsi="Times New Roman"/>
          <w:sz w:val="24"/>
          <w:szCs w:val="24"/>
        </w:rPr>
        <w:t xml:space="preserve">: </w:t>
      </w:r>
      <w:r>
        <w:rPr>
          <w:rFonts w:ascii="Times New Roman" w:cs="Times New Roman" w:hAnsi="Times New Roman"/>
          <w:sz w:val="24"/>
          <w:szCs w:val="24"/>
        </w:rPr>
        <w:t xml:space="preserve">La Visión 2030, de la Federación  Dental Internacional </w:t>
      </w:r>
      <w:r>
        <w:rPr>
          <w:rFonts w:ascii="Times New Roman" w:cs="Times New Roman" w:hAnsi="Times New Roman"/>
          <w:sz w:val="24"/>
          <w:szCs w:val="24"/>
        </w:rPr>
        <w:t xml:space="preserve">(FDI), </w:t>
      </w:r>
      <w:r>
        <w:rPr>
          <w:rFonts w:ascii="Times New Roman" w:cs="Times New Roman" w:hAnsi="Times New Roman"/>
          <w:sz w:val="24"/>
          <w:szCs w:val="24"/>
        </w:rPr>
        <w:t xml:space="preserve">su </w:t>
      </w:r>
      <w:r>
        <w:rPr>
          <w:rFonts w:ascii="Times New Roman" w:cs="Times New Roman" w:hAnsi="Times New Roman"/>
          <w:sz w:val="24"/>
          <w:szCs w:val="24"/>
        </w:rPr>
        <w:t xml:space="preserve">objetivo </w:t>
      </w:r>
      <w:r>
        <w:rPr>
          <w:rFonts w:ascii="Times New Roman" w:cs="Times New Roman" w:hAnsi="Times New Roman"/>
          <w:sz w:val="24"/>
          <w:szCs w:val="24"/>
        </w:rPr>
        <w:t>fundamental, es, “Proporcionar</w:t>
      </w:r>
      <w:r>
        <w:rPr>
          <w:rFonts w:ascii="Times New Roman" w:cs="Times New Roman" w:hAnsi="Times New Roman"/>
          <w:sz w:val="24"/>
          <w:szCs w:val="24"/>
        </w:rPr>
        <w:t xml:space="preserve"> </w:t>
      </w:r>
      <w:r>
        <w:rPr>
          <w:rFonts w:ascii="Times New Roman" w:cs="Times New Roman" w:hAnsi="Times New Roman"/>
          <w:sz w:val="24"/>
          <w:szCs w:val="24"/>
        </w:rPr>
        <w:t xml:space="preserve">una salud bucodental óptima para </w:t>
      </w:r>
      <w:r>
        <w:rPr>
          <w:rFonts w:ascii="Times New Roman" w:cs="Times New Roman" w:hAnsi="Times New Roman"/>
          <w:sz w:val="24"/>
          <w:szCs w:val="24"/>
        </w:rPr>
        <w:t>todos”, lo</w:t>
      </w:r>
      <w:r>
        <w:rPr>
          <w:rFonts w:ascii="Times New Roman" w:cs="Times New Roman" w:hAnsi="Times New Roman"/>
          <w:sz w:val="24"/>
          <w:szCs w:val="24"/>
        </w:rPr>
        <w:t xml:space="preserve"> que </w:t>
      </w:r>
      <w:r>
        <w:rPr>
          <w:rFonts w:ascii="Times New Roman" w:cs="Times New Roman" w:hAnsi="Times New Roman"/>
          <w:sz w:val="24"/>
          <w:szCs w:val="24"/>
        </w:rPr>
        <w:t xml:space="preserve"> constituye</w:t>
      </w:r>
      <w:r>
        <w:rPr>
          <w:rFonts w:ascii="Times New Roman" w:cs="Times New Roman" w:hAnsi="Times New Roman"/>
          <w:sz w:val="24"/>
          <w:szCs w:val="24"/>
        </w:rPr>
        <w:t xml:space="preserve"> un hecho en</w:t>
      </w:r>
      <w:r>
        <w:rPr>
          <w:rFonts w:ascii="Times New Roman" w:cs="Times New Roman" w:hAnsi="Times New Roman"/>
          <w:sz w:val="24"/>
          <w:szCs w:val="24"/>
        </w:rPr>
        <w:t xml:space="preserve"> </w:t>
      </w:r>
      <w:r>
        <w:rPr>
          <w:rFonts w:ascii="Times New Roman" w:cs="Times New Roman" w:hAnsi="Times New Roman"/>
          <w:sz w:val="24"/>
          <w:szCs w:val="24"/>
        </w:rPr>
        <w:t xml:space="preserve">Cuba, con </w:t>
      </w:r>
      <w:r>
        <w:rPr>
          <w:rFonts w:ascii="Times New Roman" w:cs="Times New Roman" w:hAnsi="Times New Roman"/>
          <w:sz w:val="24"/>
          <w:szCs w:val="24"/>
        </w:rPr>
        <w:t xml:space="preserve"> la pandemia de la covid-19, </w:t>
      </w:r>
      <w:r>
        <w:rPr>
          <w:rFonts w:ascii="Times New Roman" w:cs="Times New Roman" w:hAnsi="Times New Roman"/>
          <w:sz w:val="24"/>
          <w:szCs w:val="24"/>
        </w:rPr>
        <w:t xml:space="preserve">se </w:t>
      </w:r>
      <w:r>
        <w:rPr>
          <w:rFonts w:ascii="Times New Roman" w:cs="Times New Roman" w:hAnsi="Times New Roman"/>
          <w:sz w:val="24"/>
          <w:szCs w:val="24"/>
        </w:rPr>
        <w:t>.</w:t>
      </w:r>
      <w:r>
        <w:rPr>
          <w:rFonts w:ascii="Times New Roman" w:cs="Times New Roman" w:hAnsi="Times New Roman"/>
          <w:sz w:val="24"/>
          <w:szCs w:val="24"/>
        </w:rPr>
        <w:t>nos abre</w:t>
      </w:r>
      <w:r>
        <w:rPr>
          <w:rFonts w:ascii="Times New Roman" w:cs="Times New Roman" w:hAnsi="Times New Roman"/>
          <w:sz w:val="24"/>
          <w:szCs w:val="24"/>
        </w:rPr>
        <w:t>n</w:t>
      </w:r>
      <w:r>
        <w:rPr>
          <w:rFonts w:ascii="Times New Roman" w:cs="Times New Roman" w:hAnsi="Times New Roman"/>
          <w:sz w:val="24"/>
          <w:szCs w:val="24"/>
        </w:rPr>
        <w:t xml:space="preserve"> nuevos retos a la estomatología </w:t>
      </w:r>
      <w:r>
        <w:rPr>
          <w:rFonts w:ascii="Times New Roman" w:cs="Times New Roman" w:hAnsi="Times New Roman"/>
          <w:sz w:val="24"/>
          <w:szCs w:val="24"/>
        </w:rPr>
        <w:t>cubana.</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b/>
          <w:sz w:val="24"/>
          <w:szCs w:val="24"/>
        </w:rPr>
        <w:t>Objetivo:</w:t>
      </w:r>
      <w:r>
        <w:rPr>
          <w:rFonts w:ascii="Times New Roman" w:cs="Times New Roman" w:hAnsi="Times New Roman"/>
          <w:sz w:val="24"/>
          <w:szCs w:val="24"/>
        </w:rPr>
        <w:t xml:space="preserve"> </w:t>
      </w:r>
      <w:r>
        <w:rPr>
          <w:rFonts w:ascii="Times New Roman" w:cs="Times New Roman" w:hAnsi="Times New Roman"/>
          <w:sz w:val="24"/>
          <w:szCs w:val="24"/>
        </w:rPr>
        <w:t>Analizar</w:t>
      </w:r>
      <w:r>
        <w:rPr>
          <w:rFonts w:ascii="Times New Roman" w:cs="Times New Roman" w:hAnsi="Times New Roman"/>
          <w:sz w:val="24"/>
          <w:szCs w:val="24"/>
        </w:rPr>
        <w:t xml:space="preserve"> los tres pilares, de la Visión 2030 de la FDI y emitir consideraciones de su comportamiento y aplicación en la educación superior.</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b/>
          <w:sz w:val="24"/>
          <w:szCs w:val="24"/>
        </w:rPr>
        <w:t>Desarrollo:</w:t>
      </w:r>
      <w:r>
        <w:rPr>
          <w:rFonts w:ascii="Times New Roman" w:cs="Times New Roman" w:hAnsi="Times New Roman"/>
          <w:sz w:val="24"/>
          <w:szCs w:val="24"/>
        </w:rPr>
        <w:t xml:space="preserve"> El Pilar1-Cobertura universal de salud bucodental, con calidad para todos: es un hecho en Cuba, ese derecho</w:t>
      </w:r>
      <w:r>
        <w:rPr>
          <w:rFonts w:ascii="Times New Roman" w:cs="Times New Roman" w:hAnsi="Times New Roman"/>
          <w:sz w:val="24"/>
          <w:szCs w:val="24"/>
        </w:rPr>
        <w:t>,</w:t>
      </w:r>
      <w:r>
        <w:rPr>
          <w:rFonts w:ascii="Times New Roman" w:cs="Times New Roman" w:hAnsi="Times New Roman"/>
          <w:sz w:val="24"/>
          <w:szCs w:val="24"/>
        </w:rPr>
        <w:t xml:space="preserve"> pero se necesitan rediseñar programas adaptados a escenarios como el de la covid-19 y otros peores, </w:t>
      </w:r>
      <w:r>
        <w:rPr>
          <w:rFonts w:ascii="Times New Roman" w:cs="Times New Roman" w:hAnsi="Times New Roman"/>
          <w:sz w:val="24"/>
          <w:szCs w:val="24"/>
        </w:rPr>
        <w:t xml:space="preserve">para mantener </w:t>
      </w:r>
      <w:r>
        <w:rPr>
          <w:rFonts w:ascii="Times New Roman" w:cs="Times New Roman" w:hAnsi="Times New Roman"/>
          <w:sz w:val="24"/>
          <w:szCs w:val="24"/>
        </w:rPr>
        <w:t xml:space="preserve">la promoción y prevención de salud entre otros.Pilar2- Integrar la salud bucodental y la salud general centrada en las </w:t>
      </w:r>
      <w:r>
        <w:rPr>
          <w:rFonts w:ascii="Times New Roman" w:cs="Times New Roman" w:hAnsi="Times New Roman"/>
          <w:sz w:val="24"/>
          <w:szCs w:val="24"/>
        </w:rPr>
        <w:t>personas, dentro</w:t>
      </w:r>
      <w:r>
        <w:rPr>
          <w:rFonts w:ascii="Times New Roman" w:cs="Times New Roman" w:hAnsi="Times New Roman"/>
          <w:sz w:val="24"/>
          <w:szCs w:val="24"/>
        </w:rPr>
        <w:t xml:space="preserve"> </w:t>
      </w:r>
      <w:r>
        <w:rPr>
          <w:rFonts w:ascii="Times New Roman" w:cs="Times New Roman" w:hAnsi="Times New Roman"/>
          <w:sz w:val="24"/>
          <w:szCs w:val="24"/>
        </w:rPr>
        <w:t xml:space="preserve"> de ello la compresión de las señales de alarma de otra enfermedades donde los estudiantes de pre y pos-grado carecen de poca preparación al respecto, y se necesitan cambios para empoderar la profesión.. Pilar 3-Los profesionales de la salud bucodental colaboraran con </w:t>
      </w:r>
      <w:r>
        <w:rPr>
          <w:rFonts w:ascii="Times New Roman" w:cs="Times New Roman" w:hAnsi="Times New Roman"/>
          <w:sz w:val="24"/>
          <w:szCs w:val="24"/>
        </w:rPr>
        <w:t xml:space="preserve">otros </w:t>
      </w:r>
      <w:r>
        <w:rPr>
          <w:rFonts w:ascii="Times New Roman" w:cs="Times New Roman" w:hAnsi="Times New Roman"/>
          <w:sz w:val="24"/>
          <w:szCs w:val="24"/>
        </w:rPr>
        <w:t xml:space="preserve">trabajadores de la </w:t>
      </w:r>
      <w:r>
        <w:rPr>
          <w:rFonts w:ascii="Times New Roman" w:cs="Times New Roman" w:hAnsi="Times New Roman"/>
          <w:sz w:val="24"/>
          <w:szCs w:val="24"/>
        </w:rPr>
        <w:t>salud, lo</w:t>
      </w:r>
      <w:r>
        <w:rPr>
          <w:rFonts w:ascii="Times New Roman" w:cs="Times New Roman" w:hAnsi="Times New Roman"/>
          <w:sz w:val="24"/>
          <w:szCs w:val="24"/>
        </w:rPr>
        <w:t xml:space="preserve"> que es una realidad</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en su formación y participación integrada</w:t>
      </w:r>
      <w:r>
        <w:rPr>
          <w:rFonts w:ascii="Times New Roman" w:cs="Times New Roman" w:hAnsi="Times New Roman"/>
          <w:sz w:val="24"/>
          <w:szCs w:val="24"/>
        </w:rPr>
        <w:t xml:space="preserve"> </w:t>
      </w:r>
      <w:r>
        <w:rPr>
          <w:rFonts w:ascii="Times New Roman" w:cs="Times New Roman" w:hAnsi="Times New Roman"/>
          <w:sz w:val="24"/>
          <w:szCs w:val="24"/>
        </w:rPr>
        <w:t>con todo el personal sanitario.</w:t>
      </w:r>
      <w:r>
        <w:rPr>
          <w:rFonts w:ascii="Times New Roman" w:cs="Times New Roman" w:hAnsi="Times New Roman"/>
          <w:sz w:val="24"/>
          <w:szCs w:val="24"/>
        </w:rPr>
        <w:t xml:space="preserve"> </w:t>
      </w:r>
      <w:r>
        <w:rPr>
          <w:rFonts w:ascii="Times New Roman" w:cs="Times New Roman" w:hAnsi="Times New Roman"/>
          <w:sz w:val="24"/>
          <w:szCs w:val="24"/>
        </w:rPr>
        <w:t>demostrando</w:t>
      </w:r>
      <w:r>
        <w:rPr>
          <w:rFonts w:ascii="Times New Roman" w:cs="Times New Roman" w:hAnsi="Times New Roman"/>
          <w:sz w:val="24"/>
          <w:szCs w:val="24"/>
        </w:rPr>
        <w:t xml:space="preserve"> su capacidad de resiliencia. </w:t>
      </w:r>
    </w:p>
    <w:p>
      <w:pPr>
        <w:pStyle w:val="style0"/>
        <w:spacing w:lineRule="auto" w:line="360"/>
        <w:rPr>
          <w:rFonts w:ascii="Times New Roman" w:cs="Times New Roman" w:hAnsi="Times New Roman"/>
          <w:sz w:val="24"/>
          <w:szCs w:val="24"/>
        </w:rPr>
      </w:pPr>
      <w:r>
        <w:rPr>
          <w:rFonts w:ascii="Times New Roman" w:cs="Times New Roman" w:hAnsi="Times New Roman"/>
          <w:b/>
          <w:sz w:val="24"/>
          <w:szCs w:val="24"/>
        </w:rPr>
        <w:t>Conclusiones</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sz w:val="24"/>
          <w:szCs w:val="24"/>
        </w:rPr>
        <w:t>La enseñanza</w:t>
      </w:r>
      <w:r>
        <w:rPr>
          <w:rFonts w:ascii="Times New Roman" w:cs="Times New Roman" w:hAnsi="Times New Roman"/>
          <w:sz w:val="24"/>
          <w:szCs w:val="24"/>
        </w:rPr>
        <w:t xml:space="preserve"> de la estomatología cubana tiene los recursos humanos y </w:t>
      </w:r>
      <w:r>
        <w:rPr>
          <w:rFonts w:ascii="Times New Roman" w:cs="Times New Roman" w:hAnsi="Times New Roman"/>
          <w:sz w:val="24"/>
          <w:szCs w:val="24"/>
        </w:rPr>
        <w:t>la resiliencia</w:t>
      </w:r>
      <w:r>
        <w:rPr>
          <w:rFonts w:ascii="Times New Roman" w:cs="Times New Roman" w:hAnsi="Times New Roman"/>
          <w:sz w:val="24"/>
          <w:szCs w:val="24"/>
        </w:rPr>
        <w:t>, para</w:t>
      </w:r>
      <w:r>
        <w:rPr>
          <w:rFonts w:ascii="Times New Roman" w:cs="Times New Roman" w:hAnsi="Times New Roman"/>
          <w:sz w:val="24"/>
          <w:szCs w:val="24"/>
        </w:rPr>
        <w:t xml:space="preserve"> asumir los retos impuestos en la docencia pos-covid-19</w:t>
      </w:r>
      <w:r>
        <w:rPr>
          <w:rFonts w:ascii="Times New Roman" w:cs="Times New Roman" w:hAnsi="Times New Roman"/>
          <w:sz w:val="24"/>
          <w:szCs w:val="24"/>
        </w:rPr>
        <w:t xml:space="preserve">, pero no está exenta de </w:t>
      </w:r>
      <w:r>
        <w:rPr>
          <w:rFonts w:ascii="Times New Roman" w:cs="Times New Roman" w:hAnsi="Times New Roman"/>
          <w:sz w:val="24"/>
          <w:szCs w:val="24"/>
        </w:rPr>
        <w:t>nuevas proyecciones</w:t>
      </w:r>
      <w:r>
        <w:rPr>
          <w:rFonts w:ascii="Times New Roman" w:cs="Times New Roman" w:hAnsi="Times New Roman"/>
          <w:sz w:val="24"/>
          <w:szCs w:val="24"/>
        </w:rPr>
        <w:t xml:space="preserve"> para alcanzar los retos a que nos convoca la Visión 2030</w:t>
      </w:r>
      <w:r>
        <w:rPr>
          <w:rFonts w:ascii="Times New Roman" w:cs="Times New Roman" w:hAnsi="Times New Roman"/>
          <w:sz w:val="24"/>
          <w:szCs w:val="24"/>
        </w:rPr>
        <w:t>,</w:t>
      </w:r>
      <w:r>
        <w:rPr>
          <w:rFonts w:ascii="Times New Roman" w:cs="Times New Roman" w:hAnsi="Times New Roman"/>
          <w:sz w:val="24"/>
          <w:szCs w:val="24"/>
        </w:rPr>
        <w:t xml:space="preserve"> de la Federación</w:t>
      </w:r>
      <w:r>
        <w:rPr>
          <w:rFonts w:ascii="Times New Roman" w:cs="Times New Roman" w:hAnsi="Times New Roman"/>
          <w:sz w:val="24"/>
          <w:szCs w:val="24"/>
        </w:rPr>
        <w:t xml:space="preserve"> Dental Internacional,</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Palabras claves</w:t>
      </w:r>
      <w:r>
        <w:rPr>
          <w:rFonts w:ascii="Times New Roman" w:cs="Times New Roman" w:hAnsi="Times New Roman"/>
          <w:b/>
          <w:sz w:val="24"/>
          <w:szCs w:val="24"/>
        </w:rPr>
        <w:t xml:space="preserve">: </w:t>
      </w:r>
      <w:r>
        <w:rPr>
          <w:rFonts w:ascii="Times New Roman" w:cs="Times New Roman" w:hAnsi="Times New Roman"/>
          <w:sz w:val="24"/>
          <w:szCs w:val="24"/>
        </w:rPr>
        <w:t>Federación Dental Internacional</w:t>
      </w:r>
      <w:r>
        <w:rPr>
          <w:rFonts w:ascii="Times New Roman" w:cs="Times New Roman" w:hAnsi="Times New Roman"/>
          <w:b/>
          <w:sz w:val="24"/>
          <w:szCs w:val="24"/>
        </w:rPr>
        <w:t>,</w:t>
      </w:r>
      <w:r>
        <w:rPr>
          <w:rFonts w:ascii="Times New Roman" w:cs="Times New Roman" w:hAnsi="Times New Roman"/>
          <w:sz w:val="24"/>
          <w:szCs w:val="24"/>
        </w:rPr>
        <w:t xml:space="preserve"> salud bucodental; Visión 2030</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PONENCIA</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 xml:space="preserve">Locura es querer lograr resultados diferentes </w:t>
      </w:r>
      <w:r>
        <w:rPr>
          <w:rFonts w:ascii="Times New Roman" w:cs="Times New Roman" w:hAnsi="Times New Roman"/>
          <w:b/>
          <w:sz w:val="24"/>
          <w:szCs w:val="24"/>
        </w:rPr>
        <w:t xml:space="preserve">mientras continuamos haciendo las mismas   cosas”                                                            </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                                                                          Albert Einstein                         </w:t>
      </w:r>
    </w:p>
    <w:p>
      <w:pPr>
        <w:pStyle w:val="style0"/>
        <w:spacing w:lineRule="auto" w:line="360"/>
        <w:rPr>
          <w:rFonts w:ascii="Times New Roman" w:cs="Times New Roman" w:hAnsi="Times New Roman"/>
          <w:b/>
          <w:sz w:val="24"/>
          <w:szCs w:val="24"/>
        </w:rPr>
      </w:pPr>
      <w:r>
        <w:rPr>
          <w:rFonts w:ascii="Times New Roman" w:cs="Times New Roman" w:hAnsi="Times New Roman"/>
          <w:sz w:val="24"/>
          <w:szCs w:val="24"/>
        </w:rPr>
        <w:t>“</w:t>
      </w:r>
      <w:r>
        <w:rPr>
          <w:rFonts w:ascii="Times New Roman" w:cs="Times New Roman" w:hAnsi="Times New Roman"/>
          <w:sz w:val="24"/>
          <w:szCs w:val="24"/>
        </w:rPr>
        <w:t>Para el 2030, los profesionales de la salud contarán con los conocimientos, las habilidades y los atributos necesarios para contribuir de manera adecuada a la prevención y el manejo eficaces de las enfermedades bucodentales, y para que las distintas disciplinas de atención sanitaria trabajen en conjunto a fin de mejorar la salud y el bienestar.</w:t>
      </w:r>
      <w:r>
        <w:rPr>
          <w:rFonts w:ascii="Times New Roman" w:cs="Times New Roman" w:hAnsi="Times New Roman"/>
          <w:sz w:val="24"/>
          <w:szCs w:val="24"/>
        </w:rPr>
        <w:t>”</w:t>
      </w:r>
    </w:p>
    <w:p>
      <w:pPr>
        <w:pStyle w:val="style0"/>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sz w:val="24"/>
          <w:szCs w:val="24"/>
        </w:rPr>
        <w:t xml:space="preserve">Así </w:t>
      </w:r>
      <w:r>
        <w:rPr>
          <w:rFonts w:ascii="Times New Roman" w:cs="Times New Roman" w:hAnsi="Times New Roman"/>
          <w:sz w:val="24"/>
          <w:szCs w:val="24"/>
        </w:rPr>
        <w:t>refieren, en</w:t>
      </w:r>
      <w:r>
        <w:rPr>
          <w:rFonts w:ascii="Times New Roman" w:cs="Times New Roman" w:hAnsi="Times New Roman"/>
          <w:sz w:val="24"/>
          <w:szCs w:val="24"/>
        </w:rPr>
        <w:t xml:space="preserve"> el resumen </w:t>
      </w:r>
      <w:r>
        <w:rPr>
          <w:rFonts w:ascii="Times New Roman" w:cs="Times New Roman" w:hAnsi="Times New Roman"/>
          <w:sz w:val="24"/>
          <w:szCs w:val="24"/>
        </w:rPr>
        <w:t>ejecutivo, los</w:t>
      </w:r>
      <w:r>
        <w:rPr>
          <w:rFonts w:ascii="Times New Roman" w:cs="Times New Roman" w:hAnsi="Times New Roman"/>
          <w:sz w:val="24"/>
          <w:szCs w:val="24"/>
        </w:rPr>
        <w:t xml:space="preserve"> directivos de la Federación Dental </w:t>
      </w:r>
      <w:r>
        <w:rPr>
          <w:rFonts w:ascii="Times New Roman" w:cs="Times New Roman" w:hAnsi="Times New Roman"/>
          <w:sz w:val="24"/>
          <w:szCs w:val="24"/>
        </w:rPr>
        <w:t>Internacional</w:t>
      </w:r>
      <w:r>
        <w:rPr>
          <w:rFonts w:ascii="Times New Roman" w:cs="Times New Roman" w:hAnsi="Times New Roman"/>
          <w:sz w:val="24"/>
          <w:szCs w:val="24"/>
        </w:rPr>
        <w:t xml:space="preserve"> (FDI)</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color w:val="000000"/>
          <w:sz w:val="24"/>
          <w:szCs w:val="24"/>
        </w:rPr>
        <w:t xml:space="preserve">en el informe </w:t>
      </w:r>
      <w:r>
        <w:rPr>
          <w:rFonts w:ascii="Times New Roman" w:cs="Times New Roman" w:hAnsi="Times New Roman"/>
          <w:color w:val="000000"/>
          <w:sz w:val="24"/>
          <w:szCs w:val="24"/>
        </w:rPr>
        <w:t>Visión</w:t>
      </w:r>
      <w:r>
        <w:rPr>
          <w:rFonts w:ascii="Times New Roman" w:cs="Times New Roman" w:hAnsi="Times New Roman"/>
          <w:color w:val="000000"/>
          <w:sz w:val="24"/>
          <w:szCs w:val="24"/>
        </w:rPr>
        <w:t xml:space="preserve"> 2030</w:t>
      </w:r>
      <w:r>
        <w:rPr>
          <w:rFonts w:ascii="Times New Roman" w:cs="Times New Roman" w:hAnsi="Times New Roman"/>
          <w:color w:val="000000"/>
          <w:sz w:val="24"/>
          <w:szCs w:val="24"/>
        </w:rPr>
        <w:t>, donde</w:t>
      </w:r>
      <w:r>
        <w:rPr>
          <w:rFonts w:ascii="Times New Roman" w:cs="Times New Roman" w:hAnsi="Times New Roman"/>
          <w:color w:val="000000"/>
          <w:sz w:val="24"/>
          <w:szCs w:val="24"/>
        </w:rPr>
        <w:t xml:space="preserve"> se identifican los retos </w:t>
      </w:r>
      <w:r>
        <w:rPr>
          <w:rFonts w:ascii="Times New Roman" w:cs="Times New Roman" w:hAnsi="Times New Roman"/>
          <w:color w:val="000000"/>
          <w:sz w:val="24"/>
          <w:szCs w:val="24"/>
        </w:rPr>
        <w:t>estratégicos a que se deberán enfrentar los profesionales de la odontología y la comunidad de la salud bucodental en la próxima década para lograr “Proporcionar una salud bucodental óptima para todos”</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Es imposible alcanzar los objetivos propuestos sin la participación de la </w:t>
      </w:r>
      <w:r>
        <w:rPr>
          <w:rFonts w:ascii="Times New Roman" w:cs="Times New Roman" w:hAnsi="Times New Roman"/>
          <w:sz w:val="24"/>
          <w:szCs w:val="24"/>
        </w:rPr>
        <w:t>Educación</w:t>
      </w:r>
      <w:r>
        <w:rPr>
          <w:rFonts w:ascii="Times New Roman" w:cs="Times New Roman" w:hAnsi="Times New Roman"/>
          <w:sz w:val="24"/>
          <w:szCs w:val="24"/>
        </w:rPr>
        <w:t xml:space="preserve"> </w:t>
      </w:r>
      <w:r>
        <w:rPr>
          <w:rFonts w:ascii="Times New Roman" w:cs="Times New Roman" w:hAnsi="Times New Roman"/>
          <w:sz w:val="24"/>
          <w:szCs w:val="24"/>
        </w:rPr>
        <w:t>Superior, en</w:t>
      </w:r>
      <w:r>
        <w:rPr>
          <w:rFonts w:ascii="Times New Roman" w:cs="Times New Roman" w:hAnsi="Times New Roman"/>
          <w:sz w:val="24"/>
          <w:szCs w:val="24"/>
        </w:rPr>
        <w:t xml:space="preserve"> el taller XX</w:t>
      </w:r>
      <w:r>
        <w:rPr>
          <w:rFonts w:ascii="Times New Roman" w:cs="Times New Roman" w:hAnsi="Times New Roman"/>
          <w:sz w:val="24"/>
          <w:szCs w:val="24"/>
        </w:rPr>
        <w:t xml:space="preserve"> de la Conferencia Mundial de la </w:t>
      </w:r>
      <w:r>
        <w:rPr>
          <w:rFonts w:ascii="Times New Roman" w:cs="Times New Roman" w:hAnsi="Times New Roman"/>
          <w:sz w:val="24"/>
          <w:szCs w:val="24"/>
        </w:rPr>
        <w:t>UNESCO, en</w:t>
      </w:r>
      <w:r>
        <w:rPr>
          <w:rFonts w:ascii="Times New Roman" w:cs="Times New Roman" w:hAnsi="Times New Roman"/>
          <w:sz w:val="24"/>
          <w:szCs w:val="24"/>
        </w:rPr>
        <w:t xml:space="preserve"> el 2009 centrado</w:t>
      </w:r>
      <w:r>
        <w:rPr>
          <w:rFonts w:ascii="Times New Roman" w:cs="Times New Roman" w:hAnsi="Times New Roman"/>
          <w:sz w:val="24"/>
          <w:szCs w:val="24"/>
        </w:rPr>
        <w:t xml:space="preserve"> en la educación superior se remarcaron tres razones esenciales por lo que las universidades se colocan como actores claves del desarrollo sostenible,</w:t>
      </w:r>
      <w:r>
        <w:rPr>
          <w:rFonts w:ascii="Times New Roman" w:cs="Times New Roman" w:hAnsi="Times New Roman"/>
          <w:sz w:val="24"/>
          <w:szCs w:val="24"/>
        </w:rPr>
        <w:t xml:space="preserve"> primero, el</w:t>
      </w:r>
      <w:r>
        <w:rPr>
          <w:rFonts w:ascii="Times New Roman" w:cs="Times New Roman" w:hAnsi="Times New Roman"/>
          <w:sz w:val="24"/>
          <w:szCs w:val="24"/>
        </w:rPr>
        <w:t xml:space="preserve"> estudiantado lleva </w:t>
      </w:r>
      <w:r>
        <w:rPr>
          <w:rFonts w:ascii="Times New Roman" w:cs="Times New Roman" w:hAnsi="Times New Roman"/>
          <w:sz w:val="24"/>
          <w:szCs w:val="24"/>
        </w:rPr>
        <w:t>saberes, prácticas</w:t>
      </w:r>
      <w:r>
        <w:rPr>
          <w:rFonts w:ascii="Times New Roman" w:cs="Times New Roman" w:hAnsi="Times New Roman"/>
          <w:sz w:val="24"/>
          <w:szCs w:val="24"/>
        </w:rPr>
        <w:t xml:space="preserve"> y habilidades requeridas por la sociedad del conocimiento,</w:t>
      </w:r>
      <w:r>
        <w:rPr>
          <w:rFonts w:ascii="Times New Roman" w:cs="Times New Roman" w:hAnsi="Times New Roman"/>
          <w:sz w:val="24"/>
          <w:szCs w:val="24"/>
        </w:rPr>
        <w:t xml:space="preserve"> segundo, la</w:t>
      </w:r>
      <w:r>
        <w:rPr>
          <w:rFonts w:ascii="Times New Roman" w:cs="Times New Roman" w:hAnsi="Times New Roman"/>
          <w:sz w:val="24"/>
          <w:szCs w:val="24"/>
        </w:rPr>
        <w:t xml:space="preserve"> competencia investigativa de la educación superior cuyos aportes </w:t>
      </w:r>
      <w:r>
        <w:rPr>
          <w:rFonts w:ascii="Times New Roman" w:cs="Times New Roman" w:hAnsi="Times New Roman"/>
          <w:sz w:val="24"/>
          <w:szCs w:val="24"/>
        </w:rPr>
        <w:t xml:space="preserve">serian claves para el desarrollo y progreso social y tercero, el enramado de las universidades con la economía y las </w:t>
      </w:r>
      <w:r>
        <w:rPr>
          <w:rFonts w:ascii="Times New Roman" w:cs="Times New Roman" w:hAnsi="Times New Roman"/>
          <w:sz w:val="24"/>
          <w:szCs w:val="24"/>
        </w:rPr>
        <w:t>comunidades, además los estudiantes de hoy serán los estomatólogos  del futuro, por lo que el logro de los pilares de la Visión 2030,se forma hoy en las universidades.</w:t>
      </w: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 xml:space="preserve">El análisis de los tres pilares de la </w:t>
      </w:r>
      <w:r>
        <w:rPr>
          <w:rFonts w:ascii="Times New Roman" w:cs="Times New Roman" w:hAnsi="Times New Roman"/>
          <w:color w:val="000000"/>
          <w:sz w:val="24"/>
          <w:szCs w:val="24"/>
        </w:rPr>
        <w:t>Visión</w:t>
      </w:r>
      <w:r>
        <w:rPr>
          <w:rFonts w:ascii="Times New Roman" w:cs="Times New Roman" w:hAnsi="Times New Roman"/>
          <w:color w:val="000000"/>
          <w:sz w:val="24"/>
          <w:szCs w:val="24"/>
        </w:rPr>
        <w:t xml:space="preserve"> 2030,</w:t>
      </w:r>
      <w:r>
        <w:rPr>
          <w:rFonts w:ascii="Times New Roman" w:cs="Times New Roman" w:hAnsi="Times New Roman"/>
          <w:color w:val="000000"/>
          <w:sz w:val="24"/>
          <w:szCs w:val="24"/>
        </w:rPr>
        <w:t xml:space="preserve"> es desde la posición de docente, de</w:t>
      </w:r>
      <w:r>
        <w:rPr>
          <w:rFonts w:ascii="Times New Roman" w:cs="Times New Roman" w:hAnsi="Times New Roman"/>
          <w:color w:val="000000"/>
          <w:sz w:val="24"/>
          <w:szCs w:val="24"/>
        </w:rPr>
        <w:t xml:space="preserve"> la asignatura Operatoria </w:t>
      </w:r>
      <w:r>
        <w:rPr>
          <w:rFonts w:ascii="Times New Roman" w:cs="Times New Roman" w:hAnsi="Times New Roman"/>
          <w:color w:val="000000"/>
          <w:sz w:val="24"/>
          <w:szCs w:val="24"/>
        </w:rPr>
        <w:t>Clínica</w:t>
      </w:r>
      <w:r>
        <w:rPr>
          <w:rFonts w:ascii="Times New Roman" w:cs="Times New Roman" w:hAnsi="Times New Roman"/>
          <w:color w:val="000000"/>
          <w:sz w:val="24"/>
          <w:szCs w:val="24"/>
        </w:rPr>
        <w:t xml:space="preserve"> I y II  y a través de la </w:t>
      </w:r>
      <w:r>
        <w:rPr>
          <w:rFonts w:ascii="Times New Roman" w:cs="Times New Roman" w:hAnsi="Times New Roman"/>
          <w:sz w:val="24"/>
          <w:szCs w:val="24"/>
        </w:rPr>
        <w:t>educación</w:t>
      </w:r>
      <w:r>
        <w:rPr>
          <w:rFonts w:ascii="Times New Roman" w:cs="Times New Roman" w:hAnsi="Times New Roman"/>
          <w:color w:val="000000"/>
          <w:sz w:val="24"/>
          <w:szCs w:val="24"/>
        </w:rPr>
        <w:t xml:space="preserve"> en el trabajo desde hace 4 años impartiendo a  los estudiantes de tercer año de la Especialidad de Estomatología de la Facultad de Estomatología, del Universidad de Ciencias Médicas “Serafín Ruiz de Zarate Ruiz”, de Villa Clara, y los residentes de primer año de la Especialidad de Estomatología General Integral como Tutora de Formación  y como Estomatóloga General Integral del Policlínico Docente Marta </w:t>
      </w:r>
      <w:r>
        <w:rPr>
          <w:rFonts w:ascii="Times New Roman" w:cs="Times New Roman" w:hAnsi="Times New Roman"/>
          <w:color w:val="000000"/>
          <w:sz w:val="24"/>
          <w:szCs w:val="24"/>
        </w:rPr>
        <w:t>Abreu, de la ciudad de Santa Clara, y con la colaboración de una excelente estudiante de cuarto año de la carrera perteneciente al Contingente “Mario Muñoz”, quien brindo su valioso aporte.</w:t>
      </w: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noProof/>
          <w:sz w:val="24"/>
          <w:szCs w:val="24"/>
          <w:lang w:eastAsia="es-ES"/>
        </w:rPr>
      </w:pPr>
      <w:r>
        <w:rPr>
          <w:rFonts w:ascii="Times New Roman" w:cs="Times New Roman" w:hAnsi="Times New Roman"/>
          <w:sz w:val="24"/>
          <w:szCs w:val="24"/>
        </w:rPr>
        <w:t xml:space="preserve">La observación se </w:t>
      </w:r>
      <w:r>
        <w:rPr>
          <w:rFonts w:ascii="Times New Roman" w:cs="Times New Roman" w:hAnsi="Times New Roman"/>
          <w:sz w:val="24"/>
          <w:szCs w:val="24"/>
        </w:rPr>
        <w:t>realizó</w:t>
      </w:r>
      <w:r>
        <w:rPr>
          <w:rFonts w:ascii="Times New Roman" w:cs="Times New Roman" w:hAnsi="Times New Roman"/>
          <w:sz w:val="24"/>
          <w:szCs w:val="24"/>
        </w:rPr>
        <w:t xml:space="preserve"> en el </w:t>
      </w:r>
      <w:r>
        <w:rPr>
          <w:rFonts w:ascii="Times New Roman" w:cs="Times New Roman" w:hAnsi="Times New Roman"/>
          <w:sz w:val="24"/>
          <w:szCs w:val="24"/>
        </w:rPr>
        <w:t>Policlínico</w:t>
      </w:r>
      <w:r>
        <w:rPr>
          <w:rFonts w:ascii="Times New Roman" w:cs="Times New Roman" w:hAnsi="Times New Roman"/>
          <w:sz w:val="24"/>
          <w:szCs w:val="24"/>
        </w:rPr>
        <w:t xml:space="preserve"> Docente Universitario “Marta </w:t>
      </w:r>
      <w:r>
        <w:rPr>
          <w:rFonts w:ascii="Times New Roman" w:cs="Times New Roman" w:hAnsi="Times New Roman"/>
          <w:sz w:val="24"/>
          <w:szCs w:val="24"/>
        </w:rPr>
        <w:t>Abreu”, de</w:t>
      </w:r>
      <w:r>
        <w:rPr>
          <w:rFonts w:ascii="Times New Roman" w:cs="Times New Roman" w:hAnsi="Times New Roman"/>
          <w:sz w:val="24"/>
          <w:szCs w:val="24"/>
        </w:rPr>
        <w:t xml:space="preserve"> la ciudad de Santa Clara,</w:t>
      </w:r>
      <w:r>
        <w:rPr>
          <w:rFonts w:ascii="Times New Roman" w:cs="Times New Roman" w:hAnsi="Times New Roman"/>
          <w:sz w:val="24"/>
          <w:szCs w:val="24"/>
        </w:rPr>
        <w:t xml:space="preserve"> Villa Clara</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mediante encuesta,</w:t>
      </w:r>
      <w:r>
        <w:rPr>
          <w:rFonts w:ascii="Times New Roman" w:cs="Times New Roman" w:hAnsi="Times New Roman"/>
          <w:sz w:val="24"/>
          <w:szCs w:val="24"/>
        </w:rPr>
        <w:t xml:space="preserve"> para</w:t>
      </w:r>
      <w:r>
        <w:rPr>
          <w:rFonts w:ascii="Times New Roman" w:cs="Times New Roman" w:hAnsi="Times New Roman"/>
          <w:sz w:val="24"/>
          <w:szCs w:val="24"/>
        </w:rPr>
        <w:t xml:space="preserve"> comprobar conocimientos de los aspectos </w:t>
      </w:r>
      <w:r>
        <w:rPr>
          <w:rFonts w:ascii="Times New Roman" w:cs="Times New Roman" w:hAnsi="Times New Roman"/>
          <w:sz w:val="24"/>
          <w:szCs w:val="24"/>
        </w:rPr>
        <w:t xml:space="preserve">elementales </w:t>
      </w:r>
      <w:r>
        <w:rPr>
          <w:rFonts w:ascii="Times New Roman" w:cs="Times New Roman" w:hAnsi="Times New Roman"/>
          <w:sz w:val="24"/>
          <w:szCs w:val="24"/>
        </w:rPr>
        <w:t xml:space="preserve">que consideramos deben tener los estudiantes de pregrado y pos-grado para enfrentar los retos de la </w:t>
      </w:r>
      <w:r>
        <w:rPr>
          <w:rFonts w:ascii="Times New Roman" w:cs="Times New Roman" w:hAnsi="Times New Roman"/>
          <w:sz w:val="24"/>
          <w:szCs w:val="24"/>
        </w:rPr>
        <w:t>Visión</w:t>
      </w:r>
      <w:r>
        <w:rPr>
          <w:rFonts w:ascii="Times New Roman" w:cs="Times New Roman" w:hAnsi="Times New Roman"/>
          <w:sz w:val="24"/>
          <w:szCs w:val="24"/>
        </w:rPr>
        <w:t xml:space="preserve"> </w:t>
      </w:r>
      <w:r>
        <w:rPr>
          <w:rFonts w:ascii="Times New Roman" w:cs="Times New Roman" w:hAnsi="Times New Roman"/>
          <w:sz w:val="24"/>
          <w:szCs w:val="24"/>
        </w:rPr>
        <w:t>2030</w:t>
      </w:r>
      <w:r>
        <w:rPr>
          <w:rFonts w:ascii="Times New Roman" w:cs="Times New Roman" w:hAnsi="Times New Roman"/>
          <w:sz w:val="24"/>
          <w:szCs w:val="24"/>
        </w:rPr>
        <w:t>, a</w:t>
      </w:r>
      <w:r>
        <w:rPr>
          <w:rFonts w:ascii="Times New Roman" w:cs="Times New Roman" w:hAnsi="Times New Roman"/>
          <w:sz w:val="24"/>
          <w:szCs w:val="24"/>
        </w:rPr>
        <w:t xml:space="preserve"> l</w:t>
      </w:r>
      <w:r>
        <w:rPr>
          <w:rFonts w:ascii="Times New Roman" w:cs="Times New Roman" w:hAnsi="Times New Roman"/>
          <w:sz w:val="24"/>
          <w:szCs w:val="24"/>
        </w:rPr>
        <w:t xml:space="preserve">a que le añadimos las experiencias </w:t>
      </w:r>
      <w:r>
        <w:rPr>
          <w:rFonts w:ascii="Times New Roman" w:cs="Times New Roman" w:hAnsi="Times New Roman"/>
          <w:sz w:val="24"/>
          <w:szCs w:val="24"/>
        </w:rPr>
        <w:t xml:space="preserve">que en la </w:t>
      </w:r>
      <w:r>
        <w:rPr>
          <w:rFonts w:ascii="Times New Roman" w:cs="Times New Roman" w:hAnsi="Times New Roman"/>
          <w:sz w:val="24"/>
          <w:szCs w:val="24"/>
        </w:rPr>
        <w:t>práctica</w:t>
      </w:r>
      <w:r>
        <w:rPr>
          <w:rFonts w:ascii="Times New Roman" w:cs="Times New Roman" w:hAnsi="Times New Roman"/>
          <w:sz w:val="24"/>
          <w:szCs w:val="24"/>
        </w:rPr>
        <w:t xml:space="preserve"> tene</w:t>
      </w:r>
      <w:r>
        <w:rPr>
          <w:rFonts w:ascii="Times New Roman" w:cs="Times New Roman" w:hAnsi="Times New Roman"/>
          <w:sz w:val="24"/>
          <w:szCs w:val="24"/>
        </w:rPr>
        <w:t xml:space="preserve">mos de las actividades a </w:t>
      </w:r>
      <w:r>
        <w:rPr>
          <w:rFonts w:ascii="Times New Roman" w:cs="Times New Roman" w:hAnsi="Times New Roman"/>
          <w:sz w:val="24"/>
          <w:szCs w:val="24"/>
        </w:rPr>
        <w:t>realizar. En</w:t>
      </w:r>
      <w:r>
        <w:rPr>
          <w:rFonts w:ascii="Times New Roman" w:cs="Times New Roman" w:hAnsi="Times New Roman"/>
          <w:sz w:val="24"/>
          <w:szCs w:val="24"/>
        </w:rPr>
        <w:t xml:space="preserve"> la encuesta se </w:t>
      </w:r>
      <w:r>
        <w:rPr>
          <w:rFonts w:ascii="Times New Roman" w:cs="Times New Roman" w:hAnsi="Times New Roman"/>
          <w:sz w:val="24"/>
          <w:szCs w:val="24"/>
        </w:rPr>
        <w:t>realizó</w:t>
      </w:r>
      <w:r>
        <w:rPr>
          <w:rFonts w:ascii="Times New Roman" w:cs="Times New Roman" w:hAnsi="Times New Roman"/>
          <w:sz w:val="24"/>
          <w:szCs w:val="24"/>
        </w:rPr>
        <w:t xml:space="preserve"> una autoevaluación de los estudiante</w:t>
      </w:r>
      <w:r>
        <w:rPr>
          <w:rFonts w:ascii="Times New Roman" w:cs="Times New Roman" w:hAnsi="Times New Roman"/>
          <w:sz w:val="24"/>
          <w:szCs w:val="24"/>
        </w:rPr>
        <w:t>s atendiendo a las habilidades</w:t>
      </w:r>
      <w:r>
        <w:rPr>
          <w:rFonts w:ascii="Times New Roman" w:cs="Times New Roman" w:hAnsi="Times New Roman"/>
          <w:sz w:val="24"/>
          <w:szCs w:val="24"/>
        </w:rPr>
        <w:t xml:space="preserve"> </w:t>
      </w:r>
      <w:r>
        <w:rPr>
          <w:rFonts w:ascii="Times New Roman" w:cs="Times New Roman" w:hAnsi="Times New Roman"/>
          <w:sz w:val="24"/>
          <w:szCs w:val="24"/>
        </w:rPr>
        <w:t>específica</w:t>
      </w:r>
      <w:r>
        <w:rPr>
          <w:rFonts w:ascii="Times New Roman" w:cs="Times New Roman" w:hAnsi="Times New Roman"/>
          <w:sz w:val="24"/>
          <w:szCs w:val="24"/>
        </w:rPr>
        <w:t xml:space="preserve">s que deben tener </w:t>
      </w:r>
      <w:r>
        <w:rPr>
          <w:rFonts w:ascii="Times New Roman" w:cs="Times New Roman" w:hAnsi="Times New Roman"/>
          <w:sz w:val="24"/>
          <w:szCs w:val="24"/>
        </w:rPr>
        <w:t>de acuerdo al año que cursan, dándole hasta una escala de 5 puntos</w:t>
      </w:r>
      <w:r>
        <w:rPr>
          <w:rFonts w:ascii="Times New Roman" w:cs="Times New Roman" w:hAnsi="Times New Roman"/>
          <w:sz w:val="24"/>
          <w:szCs w:val="24"/>
        </w:rPr>
        <w:t>: 1</w:t>
      </w:r>
      <w:r>
        <w:rPr>
          <w:rFonts w:ascii="Times New Roman" w:cs="Times New Roman" w:hAnsi="Times New Roman"/>
          <w:sz w:val="24"/>
          <w:szCs w:val="24"/>
        </w:rPr>
        <w:t xml:space="preserve">-nosabe nada 2-Mal 3-Regular 4-Bien y 5- Muy </w:t>
      </w:r>
      <w:r>
        <w:rPr>
          <w:rFonts w:ascii="Times New Roman" w:cs="Times New Roman" w:hAnsi="Times New Roman"/>
          <w:sz w:val="24"/>
          <w:szCs w:val="24"/>
        </w:rPr>
        <w:t>Bien. A</w:t>
      </w:r>
      <w:r>
        <w:rPr>
          <w:rFonts w:ascii="Times New Roman" w:cs="Times New Roman" w:hAnsi="Times New Roman"/>
          <w:sz w:val="24"/>
          <w:szCs w:val="24"/>
        </w:rPr>
        <w:t xml:space="preserve"> los estudiantes de </w:t>
      </w:r>
      <w:r>
        <w:rPr>
          <w:rFonts w:ascii="Times New Roman" w:cs="Times New Roman" w:hAnsi="Times New Roman"/>
          <w:sz w:val="24"/>
          <w:szCs w:val="24"/>
        </w:rPr>
        <w:t xml:space="preserve">pregrado, se les valoro a </w:t>
      </w:r>
      <w:r>
        <w:rPr>
          <w:rFonts w:ascii="Times New Roman" w:cs="Times New Roman" w:hAnsi="Times New Roman"/>
          <w:sz w:val="24"/>
          <w:szCs w:val="24"/>
        </w:rPr>
        <w:t>todos, por</w:t>
      </w:r>
      <w:r>
        <w:rPr>
          <w:rFonts w:ascii="Times New Roman" w:cs="Times New Roman" w:hAnsi="Times New Roman"/>
          <w:sz w:val="24"/>
          <w:szCs w:val="24"/>
        </w:rPr>
        <w:t xml:space="preserve"> los conocimientos de tercer año</w:t>
      </w:r>
      <w:r>
        <w:rPr>
          <w:rFonts w:ascii="Times New Roman" w:cs="Times New Roman" w:hAnsi="Times New Roman"/>
          <w:sz w:val="24"/>
          <w:szCs w:val="24"/>
        </w:rPr>
        <w:t xml:space="preserve"> hasta la semana 16 del programa de estudios</w:t>
      </w:r>
      <w:r>
        <w:rPr>
          <w:rFonts w:ascii="Times New Roman" w:cs="Times New Roman" w:hAnsi="Times New Roman"/>
          <w:sz w:val="24"/>
          <w:szCs w:val="24"/>
        </w:rPr>
        <w:t>. E</w:t>
      </w:r>
      <w:r>
        <w:rPr>
          <w:rFonts w:ascii="Times New Roman" w:cs="Times New Roman" w:hAnsi="Times New Roman"/>
          <w:sz w:val="24"/>
          <w:szCs w:val="24"/>
        </w:rPr>
        <w:t xml:space="preserve">n la actividad </w:t>
      </w:r>
      <w:r>
        <w:rPr>
          <w:rFonts w:ascii="Times New Roman" w:cs="Times New Roman" w:hAnsi="Times New Roman"/>
          <w:sz w:val="24"/>
          <w:szCs w:val="24"/>
        </w:rPr>
        <w:t>educativa, se</w:t>
      </w:r>
      <w:r>
        <w:rPr>
          <w:rFonts w:ascii="Times New Roman" w:cs="Times New Roman" w:hAnsi="Times New Roman"/>
          <w:sz w:val="24"/>
          <w:szCs w:val="24"/>
        </w:rPr>
        <w:t xml:space="preserve"> </w:t>
      </w:r>
      <w:r>
        <w:rPr>
          <w:rFonts w:ascii="Times New Roman" w:cs="Times New Roman" w:hAnsi="Times New Roman"/>
          <w:sz w:val="24"/>
          <w:szCs w:val="24"/>
        </w:rPr>
        <w:t>les</w:t>
      </w:r>
      <w:r>
        <w:rPr>
          <w:rFonts w:ascii="Times New Roman" w:cs="Times New Roman" w:hAnsi="Times New Roman"/>
          <w:sz w:val="24"/>
          <w:szCs w:val="24"/>
        </w:rPr>
        <w:t xml:space="preserve"> </w:t>
      </w:r>
      <w:r>
        <w:rPr>
          <w:rFonts w:ascii="Times New Roman" w:cs="Times New Roman" w:hAnsi="Times New Roman"/>
          <w:sz w:val="24"/>
          <w:szCs w:val="24"/>
        </w:rPr>
        <w:t>evaluó</w:t>
      </w:r>
      <w:r>
        <w:rPr>
          <w:rFonts w:ascii="Times New Roman" w:cs="Times New Roman" w:hAnsi="Times New Roman"/>
          <w:sz w:val="24"/>
          <w:szCs w:val="24"/>
        </w:rPr>
        <w:t xml:space="preserve"> la actividad de prevención y promoción de </w:t>
      </w:r>
      <w:r>
        <w:rPr>
          <w:rFonts w:ascii="Times New Roman" w:cs="Times New Roman" w:hAnsi="Times New Roman"/>
          <w:sz w:val="24"/>
          <w:szCs w:val="24"/>
        </w:rPr>
        <w:t>salud. En</w:t>
      </w:r>
      <w:r>
        <w:rPr>
          <w:rFonts w:ascii="Times New Roman" w:cs="Times New Roman" w:hAnsi="Times New Roman"/>
          <w:sz w:val="24"/>
          <w:szCs w:val="24"/>
        </w:rPr>
        <w:t xml:space="preserve"> la </w:t>
      </w:r>
      <w:r>
        <w:rPr>
          <w:rFonts w:ascii="Times New Roman" w:cs="Times New Roman" w:hAnsi="Times New Roman"/>
          <w:sz w:val="24"/>
          <w:szCs w:val="24"/>
        </w:rPr>
        <w:t>confección</w:t>
      </w:r>
      <w:r>
        <w:rPr>
          <w:rFonts w:ascii="Times New Roman" w:cs="Times New Roman" w:hAnsi="Times New Roman"/>
          <w:sz w:val="24"/>
          <w:szCs w:val="24"/>
        </w:rPr>
        <w:t xml:space="preserve"> de la historia clínica individual,</w:t>
      </w:r>
      <w:r>
        <w:rPr>
          <w:rFonts w:ascii="Times New Roman" w:cs="Times New Roman" w:hAnsi="Times New Roman"/>
          <w:sz w:val="24"/>
          <w:szCs w:val="24"/>
        </w:rPr>
        <w:t xml:space="preserve"> interrogator</w:t>
      </w:r>
      <w:r>
        <w:rPr>
          <w:rFonts w:ascii="Times New Roman" w:cs="Times New Roman" w:hAnsi="Times New Roman"/>
          <w:sz w:val="24"/>
          <w:szCs w:val="24"/>
        </w:rPr>
        <w:t>io,</w:t>
      </w:r>
      <w:r>
        <w:rPr>
          <w:rFonts w:ascii="Times New Roman" w:cs="Times New Roman" w:hAnsi="Times New Roman"/>
          <w:sz w:val="24"/>
          <w:szCs w:val="24"/>
        </w:rPr>
        <w:t xml:space="preserve"> identificar hábitos, examen físico general, examen bucal, dentigrama, diagnostico, plan de tratamiento y evolución,</w:t>
      </w:r>
      <w:r>
        <w:rPr>
          <w:rFonts w:ascii="Times New Roman" w:cs="Times New Roman" w:hAnsi="Times New Roman"/>
          <w:noProof/>
          <w:sz w:val="24"/>
          <w:szCs w:val="24"/>
          <w:lang w:eastAsia="es-ES"/>
        </w:rPr>
        <w:t xml:space="preserve"> </w:t>
      </w:r>
      <w:r>
        <w:rPr>
          <w:rFonts w:ascii="Times New Roman" w:cs="Times New Roman" w:hAnsi="Times New Roman"/>
          <w:noProof/>
          <w:sz w:val="24"/>
          <w:szCs w:val="24"/>
          <w:lang w:eastAsia="es-ES"/>
        </w:rPr>
        <w:t>y en los procedimientos</w:t>
      </w:r>
      <w:r>
        <w:rPr>
          <w:rFonts w:ascii="Times New Roman" w:cs="Times New Roman" w:hAnsi="Times New Roman"/>
          <w:noProof/>
          <w:sz w:val="24"/>
          <w:szCs w:val="24"/>
          <w:lang w:eastAsia="es-ES"/>
        </w:rPr>
        <w:t xml:space="preserve"> clinicos</w:t>
      </w:r>
      <w:r>
        <w:rPr>
          <w:rFonts w:ascii="Times New Roman" w:cs="Times New Roman" w:hAnsi="Times New Roman"/>
          <w:noProof/>
          <w:sz w:val="24"/>
          <w:szCs w:val="24"/>
          <w:lang w:eastAsia="es-ES"/>
        </w:rPr>
        <w:t>,anestesia troncular,anestesia infiltrativa,restauracion con amalgama,restauracion con resina,tratamiento pulpo radiculares</w:t>
      </w:r>
      <w:r>
        <w:rPr>
          <w:rFonts w:ascii="Times New Roman" w:cs="Times New Roman" w:hAnsi="Times New Roman"/>
          <w:noProof/>
          <w:sz w:val="24"/>
          <w:szCs w:val="24"/>
          <w:lang w:eastAsia="es-ES"/>
        </w:rPr>
        <w:t xml:space="preserve"> y exodoncia.En los estudiantes de posgrado en las habilidades especificas se evaluo el diagnostico de la halitosis y la identificacion de los diferentes tipos existentes de acuerdo a los olores percibidos,en el uso de la amalgama dental,los requisitos para colocarlas y retirarlas ,las normas de bioseguridad a cumplir y los que deben tener para ello cada consultorio dental,en la comprension de las señales de alarma de enfermedades que tienen manifestaciones bucales se evaluo la relacion de las mismas con un grupo de enfermedades</w:t>
      </w:r>
      <w:r>
        <w:rPr>
          <w:rFonts w:ascii="Times New Roman" w:cs="Times New Roman" w:hAnsi="Times New Roman"/>
          <w:noProof/>
          <w:sz w:val="24"/>
          <w:szCs w:val="24"/>
          <w:lang w:eastAsia="es-ES"/>
        </w:rPr>
        <w:t xml:space="preserve"> que presentan “aviso”en la cavidad oral.</w:t>
      </w:r>
      <w:r>
        <w:rPr>
          <w:rFonts w:ascii="Times New Roman" w:cs="Times New Roman" w:hAnsi="Times New Roman"/>
          <w:noProof/>
          <w:sz w:val="24"/>
          <w:szCs w:val="24"/>
          <w:lang w:eastAsia="es-ES"/>
        </w:rPr>
        <w:t>.</w:t>
      </w:r>
      <w:r>
        <w:rPr>
          <w:rFonts w:ascii="Times New Roman" w:cs="Times New Roman" w:hAnsi="Times New Roman"/>
          <w:noProof/>
          <w:sz w:val="24"/>
          <w:szCs w:val="24"/>
          <w:lang w:eastAsia="es-ES"/>
        </w:rPr>
        <w:t>En ambos casos se evaluo la percepcion de la adquisicion de conocimientos</w:t>
      </w:r>
      <w:r>
        <w:rPr>
          <w:rFonts w:ascii="Times New Roman" w:cs="Times New Roman" w:hAnsi="Times New Roman"/>
          <w:noProof/>
          <w:sz w:val="24"/>
          <w:szCs w:val="24"/>
          <w:lang w:eastAsia="es-ES"/>
        </w:rPr>
        <w:t xml:space="preserve"> especificos teoricos y practico</w:t>
      </w:r>
      <w:r>
        <w:rPr>
          <w:rFonts w:ascii="Times New Roman" w:cs="Times New Roman" w:hAnsi="Times New Roman"/>
          <w:noProof/>
          <w:sz w:val="24"/>
          <w:szCs w:val="24"/>
          <w:lang w:eastAsia="es-ES"/>
        </w:rPr>
        <w:t xml:space="preserve">s en tiempos de covid-19. </w:t>
      </w:r>
      <w:r>
        <w:rPr>
          <w:rFonts w:ascii="Times New Roman" w:cs="Times New Roman" w:hAnsi="Times New Roman"/>
          <w:noProof/>
          <w:sz w:val="24"/>
          <w:szCs w:val="24"/>
          <w:lang w:eastAsia="es-ES"/>
        </w:rPr>
        <w:t xml:space="preserve">Dentro de las competencias transversales se les evaluo a ambos grupos la forma la comunicacion en la </w:t>
      </w:r>
      <w:r>
        <w:rPr>
          <w:rFonts w:ascii="Times New Roman" w:cs="Times New Roman" w:hAnsi="Times New Roman"/>
          <w:noProof/>
          <w:sz w:val="24"/>
          <w:szCs w:val="24"/>
          <w:lang w:eastAsia="es-ES"/>
        </w:rPr>
        <w:t>prevencion y promocion de salud</w:t>
      </w:r>
      <w:r>
        <w:rPr>
          <w:rFonts w:ascii="Times New Roman" w:cs="Times New Roman" w:hAnsi="Times New Roman"/>
          <w:noProof/>
          <w:sz w:val="24"/>
          <w:szCs w:val="24"/>
          <w:lang w:eastAsia="es-ES"/>
        </w:rPr>
        <w:t xml:space="preserve"> y relacion con el paciente, habilidades de</w:t>
      </w:r>
      <w:r>
        <w:rPr>
          <w:rFonts w:ascii="Times New Roman" w:cs="Times New Roman" w:hAnsi="Times New Roman"/>
          <w:noProof/>
          <w:sz w:val="24"/>
          <w:szCs w:val="24"/>
          <w:lang w:eastAsia="es-ES"/>
        </w:rPr>
        <w:t xml:space="preserve"> investigacion,conocimientos de revistas cientificas y articulos leidos,el Convenio de Minamata sobre el uso de la amalgama dental, la Vision 2030 de la FDI.</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El </w:t>
      </w:r>
      <w:r>
        <w:rPr>
          <w:rFonts w:ascii="Times New Roman" w:cs="Times New Roman" w:hAnsi="Times New Roman"/>
          <w:sz w:val="24"/>
          <w:szCs w:val="24"/>
        </w:rPr>
        <w:t>Policlínico</w:t>
      </w:r>
      <w:r>
        <w:rPr>
          <w:rFonts w:ascii="Times New Roman" w:cs="Times New Roman" w:hAnsi="Times New Roman"/>
          <w:sz w:val="24"/>
          <w:szCs w:val="24"/>
        </w:rPr>
        <w:t xml:space="preserve"> Docente Universitario Marta </w:t>
      </w:r>
      <w:r>
        <w:rPr>
          <w:rFonts w:ascii="Times New Roman" w:cs="Times New Roman" w:hAnsi="Times New Roman"/>
          <w:sz w:val="24"/>
          <w:szCs w:val="24"/>
        </w:rPr>
        <w:t>Abreu, está</w:t>
      </w:r>
      <w:r>
        <w:rPr>
          <w:rFonts w:ascii="Times New Roman" w:cs="Times New Roman" w:hAnsi="Times New Roman"/>
          <w:sz w:val="24"/>
          <w:szCs w:val="24"/>
        </w:rPr>
        <w:t xml:space="preserve"> ubicado en  la ciudad de Santa </w:t>
      </w:r>
      <w:r>
        <w:rPr>
          <w:rFonts w:ascii="Times New Roman" w:cs="Times New Roman" w:hAnsi="Times New Roman"/>
          <w:sz w:val="24"/>
          <w:szCs w:val="24"/>
        </w:rPr>
        <w:t xml:space="preserve">Clara, </w:t>
      </w:r>
      <w:r>
        <w:rPr>
          <w:rFonts w:ascii="Times New Roman" w:cs="Times New Roman" w:hAnsi="Times New Roman"/>
          <w:sz w:val="24"/>
          <w:szCs w:val="24"/>
        </w:rPr>
        <w:t>provincia Villa Clara, atiende</w:t>
      </w:r>
      <w:r>
        <w:rPr>
          <w:rFonts w:ascii="Times New Roman" w:cs="Times New Roman" w:hAnsi="Times New Roman"/>
          <w:sz w:val="24"/>
          <w:szCs w:val="24"/>
        </w:rPr>
        <w:t xml:space="preserve"> zona urbana y zona </w:t>
      </w:r>
      <w:r>
        <w:rPr>
          <w:rFonts w:ascii="Times New Roman" w:cs="Times New Roman" w:hAnsi="Times New Roman"/>
          <w:sz w:val="24"/>
          <w:szCs w:val="24"/>
        </w:rPr>
        <w:t>rural, el</w:t>
      </w:r>
      <w:r>
        <w:rPr>
          <w:rFonts w:ascii="Times New Roman" w:cs="Times New Roman" w:hAnsi="Times New Roman"/>
          <w:sz w:val="24"/>
          <w:szCs w:val="24"/>
        </w:rPr>
        <w:t xml:space="preserve"> </w:t>
      </w:r>
      <w:r>
        <w:rPr>
          <w:rFonts w:ascii="Times New Roman" w:cs="Times New Roman" w:hAnsi="Times New Roman"/>
          <w:sz w:val="24"/>
          <w:szCs w:val="24"/>
        </w:rPr>
        <w:t>Departamento</w:t>
      </w:r>
      <w:r>
        <w:rPr>
          <w:rFonts w:ascii="Times New Roman" w:cs="Times New Roman" w:hAnsi="Times New Roman"/>
          <w:sz w:val="24"/>
          <w:szCs w:val="24"/>
        </w:rPr>
        <w:t xml:space="preserve"> de </w:t>
      </w:r>
      <w:r>
        <w:rPr>
          <w:rFonts w:ascii="Times New Roman" w:cs="Times New Roman" w:hAnsi="Times New Roman"/>
          <w:sz w:val="24"/>
          <w:szCs w:val="24"/>
        </w:rPr>
        <w:t>Estomatología</w:t>
      </w:r>
      <w:r>
        <w:rPr>
          <w:rFonts w:ascii="Times New Roman" w:cs="Times New Roman" w:hAnsi="Times New Roman"/>
          <w:sz w:val="24"/>
          <w:szCs w:val="24"/>
        </w:rPr>
        <w:t xml:space="preserve"> esta adjunto </w:t>
      </w:r>
      <w:r>
        <w:rPr>
          <w:rFonts w:ascii="Times New Roman" w:cs="Times New Roman" w:hAnsi="Times New Roman"/>
          <w:sz w:val="24"/>
          <w:szCs w:val="24"/>
        </w:rPr>
        <w:t>ha</w:t>
      </w:r>
      <w:r>
        <w:rPr>
          <w:rFonts w:ascii="Times New Roman" w:cs="Times New Roman" w:hAnsi="Times New Roman"/>
          <w:sz w:val="24"/>
          <w:szCs w:val="24"/>
        </w:rPr>
        <w:t xml:space="preserve"> dicho </w:t>
      </w:r>
      <w:r>
        <w:rPr>
          <w:rFonts w:ascii="Times New Roman" w:cs="Times New Roman" w:hAnsi="Times New Roman"/>
          <w:sz w:val="24"/>
          <w:szCs w:val="24"/>
        </w:rPr>
        <w:t>policlínico, aunque</w:t>
      </w:r>
      <w:r>
        <w:rPr>
          <w:rFonts w:ascii="Times New Roman" w:cs="Times New Roman" w:hAnsi="Times New Roman"/>
          <w:sz w:val="24"/>
          <w:szCs w:val="24"/>
        </w:rPr>
        <w:t xml:space="preserve"> un punto estomatológico en el área </w:t>
      </w:r>
      <w:r>
        <w:rPr>
          <w:rFonts w:ascii="Times New Roman" w:cs="Times New Roman" w:hAnsi="Times New Roman"/>
          <w:sz w:val="24"/>
          <w:szCs w:val="24"/>
        </w:rPr>
        <w:t>rural, una</w:t>
      </w:r>
      <w:r>
        <w:rPr>
          <w:rFonts w:ascii="Times New Roman" w:cs="Times New Roman" w:hAnsi="Times New Roman"/>
          <w:sz w:val="24"/>
          <w:szCs w:val="24"/>
        </w:rPr>
        <w:t xml:space="preserve"> consulta para </w:t>
      </w:r>
      <w:r>
        <w:rPr>
          <w:rFonts w:ascii="Times New Roman" w:cs="Times New Roman" w:hAnsi="Times New Roman"/>
          <w:sz w:val="24"/>
          <w:szCs w:val="24"/>
        </w:rPr>
        <w:t xml:space="preserve">escolares independiente y el resto en la propia área de </w:t>
      </w:r>
      <w:r>
        <w:rPr>
          <w:rFonts w:ascii="Times New Roman" w:cs="Times New Roman" w:hAnsi="Times New Roman"/>
          <w:sz w:val="24"/>
          <w:szCs w:val="24"/>
        </w:rPr>
        <w:t>salud. Está</w:t>
      </w:r>
      <w:r>
        <w:rPr>
          <w:rFonts w:ascii="Times New Roman" w:cs="Times New Roman" w:hAnsi="Times New Roman"/>
          <w:sz w:val="24"/>
          <w:szCs w:val="24"/>
        </w:rPr>
        <w:t xml:space="preserve"> conformado por </w:t>
      </w:r>
      <w:r>
        <w:rPr>
          <w:rFonts w:ascii="Times New Roman" w:cs="Times New Roman" w:hAnsi="Times New Roman"/>
          <w:sz w:val="24"/>
          <w:szCs w:val="24"/>
        </w:rPr>
        <w:t>Trabajadore</w:t>
      </w:r>
      <w:r>
        <w:rPr>
          <w:rFonts w:ascii="Times New Roman" w:cs="Times New Roman" w:hAnsi="Times New Roman"/>
          <w:sz w:val="24"/>
          <w:szCs w:val="24"/>
        </w:rPr>
        <w:t>s</w:t>
      </w:r>
      <w:r>
        <w:rPr>
          <w:rFonts w:ascii="Times New Roman" w:cs="Times New Roman" w:hAnsi="Times New Roman"/>
          <w:sz w:val="24"/>
          <w:szCs w:val="24"/>
        </w:rPr>
        <w:t xml:space="preserve"> 213</w:t>
      </w:r>
      <w:r>
        <w:rPr>
          <w:rFonts w:ascii="Times New Roman" w:cs="Times New Roman" w:hAnsi="Times New Roman"/>
          <w:sz w:val="24"/>
          <w:szCs w:val="24"/>
        </w:rPr>
        <w:t>,directivos</w:t>
      </w:r>
      <w:r>
        <w:rPr>
          <w:rFonts w:ascii="Times New Roman" w:cs="Times New Roman" w:hAnsi="Times New Roman"/>
          <w:sz w:val="24"/>
          <w:szCs w:val="24"/>
        </w:rPr>
        <w:t xml:space="preserve"> 3</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11</w:t>
      </w:r>
      <w:r>
        <w:rPr>
          <w:rFonts w:ascii="Times New Roman" w:cs="Times New Roman" w:hAnsi="Times New Roman"/>
          <w:sz w:val="24"/>
          <w:szCs w:val="24"/>
        </w:rPr>
        <w:t xml:space="preserve">3 </w:t>
      </w:r>
      <w:r>
        <w:rPr>
          <w:rFonts w:ascii="Times New Roman" w:cs="Times New Roman" w:hAnsi="Times New Roman"/>
          <w:sz w:val="24"/>
          <w:szCs w:val="24"/>
        </w:rPr>
        <w:t>estomatólogos</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técnicos de </w:t>
      </w:r>
      <w:r>
        <w:rPr>
          <w:rFonts w:ascii="Times New Roman" w:cs="Times New Roman" w:hAnsi="Times New Roman"/>
          <w:sz w:val="24"/>
          <w:szCs w:val="24"/>
        </w:rPr>
        <w:t>es</w:t>
      </w:r>
      <w:r>
        <w:rPr>
          <w:rFonts w:ascii="Times New Roman" w:cs="Times New Roman" w:hAnsi="Times New Roman"/>
          <w:sz w:val="24"/>
          <w:szCs w:val="24"/>
        </w:rPr>
        <w:t xml:space="preserve">tomatología 76 </w:t>
      </w:r>
      <w:r>
        <w:rPr>
          <w:rFonts w:ascii="Times New Roman" w:cs="Times New Roman" w:hAnsi="Times New Roman"/>
          <w:sz w:val="24"/>
          <w:szCs w:val="24"/>
        </w:rPr>
        <w:t xml:space="preserve">y personal de </w:t>
      </w:r>
      <w:r>
        <w:rPr>
          <w:rFonts w:ascii="Times New Roman" w:cs="Times New Roman" w:hAnsi="Times New Roman"/>
          <w:sz w:val="24"/>
          <w:szCs w:val="24"/>
        </w:rPr>
        <w:t>servicios</w:t>
      </w:r>
      <w:r>
        <w:rPr>
          <w:rFonts w:ascii="Times New Roman" w:cs="Times New Roman" w:hAnsi="Times New Roman"/>
          <w:sz w:val="24"/>
          <w:szCs w:val="24"/>
        </w:rPr>
        <w:t xml:space="preserve"> 2.</w:t>
      </w:r>
      <w:r>
        <w:rPr>
          <w:rFonts w:ascii="Times New Roman" w:cs="Times New Roman" w:hAnsi="Times New Roman"/>
          <w:sz w:val="24"/>
          <w:szCs w:val="24"/>
        </w:rPr>
        <w:t xml:space="preserve"> La población que atendemos es aproximadamente de 41000 </w:t>
      </w:r>
      <w:r>
        <w:rPr>
          <w:rFonts w:ascii="Times New Roman" w:cs="Times New Roman" w:hAnsi="Times New Roman"/>
          <w:sz w:val="24"/>
          <w:szCs w:val="24"/>
        </w:rPr>
        <w:t>habitantes, con</w:t>
      </w:r>
      <w:r>
        <w:rPr>
          <w:rFonts w:ascii="Times New Roman" w:cs="Times New Roman" w:hAnsi="Times New Roman"/>
          <w:sz w:val="24"/>
          <w:szCs w:val="24"/>
        </w:rPr>
        <w:t xml:space="preserve"> un nivel socio-</w:t>
      </w:r>
      <w:r>
        <w:rPr>
          <w:rFonts w:ascii="Times New Roman" w:cs="Times New Roman" w:hAnsi="Times New Roman"/>
          <w:sz w:val="24"/>
          <w:szCs w:val="24"/>
        </w:rPr>
        <w:t>económico</w:t>
      </w:r>
      <w:r>
        <w:rPr>
          <w:rFonts w:ascii="Times New Roman" w:cs="Times New Roman" w:hAnsi="Times New Roman"/>
          <w:sz w:val="24"/>
          <w:szCs w:val="24"/>
        </w:rPr>
        <w:t xml:space="preserve"> </w:t>
      </w:r>
      <w:r>
        <w:rPr>
          <w:rFonts w:ascii="Times New Roman" w:cs="Times New Roman" w:hAnsi="Times New Roman"/>
          <w:sz w:val="24"/>
          <w:szCs w:val="24"/>
        </w:rPr>
        <w:t>medio, en su mayoría.</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La institución presenta buenas condiciones desde el punto de vista </w:t>
      </w:r>
      <w:r>
        <w:rPr>
          <w:rFonts w:ascii="Times New Roman" w:cs="Times New Roman" w:hAnsi="Times New Roman"/>
          <w:sz w:val="24"/>
          <w:szCs w:val="24"/>
        </w:rPr>
        <w:t>estructural, pero</w:t>
      </w:r>
      <w:r>
        <w:rPr>
          <w:rFonts w:ascii="Times New Roman" w:cs="Times New Roman" w:hAnsi="Times New Roman"/>
          <w:sz w:val="24"/>
          <w:szCs w:val="24"/>
        </w:rPr>
        <w:t xml:space="preserve"> sus sillones y consultas no reúnen todas las condiciones necesarias </w:t>
      </w:r>
      <w:r>
        <w:rPr>
          <w:rFonts w:ascii="Times New Roman" w:cs="Times New Roman" w:hAnsi="Times New Roman"/>
          <w:sz w:val="24"/>
          <w:szCs w:val="24"/>
        </w:rPr>
        <w:t>para la labor a realizar.</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La problemática a analizar es la preparación y </w:t>
      </w:r>
      <w:r>
        <w:rPr>
          <w:rFonts w:ascii="Times New Roman" w:cs="Times New Roman" w:hAnsi="Times New Roman"/>
          <w:sz w:val="24"/>
          <w:szCs w:val="24"/>
        </w:rPr>
        <w:t>aplicación</w:t>
      </w:r>
      <w:r>
        <w:rPr>
          <w:rFonts w:ascii="Times New Roman" w:cs="Times New Roman" w:hAnsi="Times New Roman"/>
          <w:sz w:val="24"/>
          <w:szCs w:val="24"/>
        </w:rPr>
        <w:t xml:space="preserve"> del personal para enfrentar los retos de la </w:t>
      </w:r>
      <w:r>
        <w:rPr>
          <w:rFonts w:ascii="Times New Roman" w:cs="Times New Roman" w:hAnsi="Times New Roman"/>
          <w:sz w:val="24"/>
          <w:szCs w:val="24"/>
        </w:rPr>
        <w:t>Visión</w:t>
      </w:r>
      <w:r>
        <w:rPr>
          <w:rFonts w:ascii="Times New Roman" w:cs="Times New Roman" w:hAnsi="Times New Roman"/>
          <w:sz w:val="24"/>
          <w:szCs w:val="24"/>
        </w:rPr>
        <w:t xml:space="preserve"> del 2030</w:t>
      </w:r>
      <w:r>
        <w:rPr>
          <w:rFonts w:ascii="Times New Roman" w:cs="Times New Roman" w:hAnsi="Times New Roman"/>
          <w:sz w:val="24"/>
          <w:szCs w:val="24"/>
        </w:rPr>
        <w:t>, con</w:t>
      </w:r>
      <w:r>
        <w:rPr>
          <w:rFonts w:ascii="Times New Roman" w:cs="Times New Roman" w:hAnsi="Times New Roman"/>
          <w:sz w:val="24"/>
          <w:szCs w:val="24"/>
        </w:rPr>
        <w:t xml:space="preserve"> sus tres pilares.</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La </w:t>
      </w:r>
      <w:r>
        <w:rPr>
          <w:rFonts w:ascii="Times New Roman" w:cs="Times New Roman" w:hAnsi="Times New Roman"/>
          <w:sz w:val="24"/>
          <w:szCs w:val="24"/>
        </w:rPr>
        <w:t>Visión</w:t>
      </w:r>
      <w:r>
        <w:rPr>
          <w:rFonts w:ascii="Times New Roman" w:cs="Times New Roman" w:hAnsi="Times New Roman"/>
          <w:sz w:val="24"/>
          <w:szCs w:val="24"/>
        </w:rPr>
        <w:t xml:space="preserve"> 2030 en la esfera de la </w:t>
      </w:r>
      <w:r>
        <w:rPr>
          <w:rFonts w:ascii="Times New Roman" w:cs="Times New Roman" w:hAnsi="Times New Roman"/>
          <w:sz w:val="24"/>
          <w:szCs w:val="24"/>
        </w:rPr>
        <w:t>Odontología</w:t>
      </w:r>
      <w:r>
        <w:rPr>
          <w:rFonts w:ascii="Times New Roman" w:cs="Times New Roman" w:hAnsi="Times New Roman"/>
          <w:sz w:val="24"/>
          <w:szCs w:val="24"/>
        </w:rPr>
        <w:t>, tiene</w:t>
      </w:r>
      <w:r>
        <w:rPr>
          <w:rFonts w:ascii="Times New Roman" w:cs="Times New Roman" w:hAnsi="Times New Roman"/>
          <w:sz w:val="24"/>
          <w:szCs w:val="24"/>
        </w:rPr>
        <w:t xml:space="preserve"> 3 pilares fundamentales:</w:t>
      </w:r>
    </w:p>
    <w:p>
      <w:pPr>
        <w:pStyle w:val="style0"/>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sz w:val="24"/>
          <w:szCs w:val="24"/>
        </w:rPr>
        <w:t>Pilar 1- Cobertura universal  de la salud bucodental</w:t>
      </w:r>
      <w:r>
        <w:rPr>
          <w:rFonts w:ascii="Times New Roman" w:cs="Times New Roman" w:hAnsi="Times New Roman"/>
          <w:color w:val="000000"/>
          <w:sz w:val="24"/>
          <w:szCs w:val="24"/>
        </w:rPr>
        <w:t xml:space="preserve"> Para el año 2030, los servicios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esenciales de salud bucodental estarán integrados en la atención sanitaria en todos los países, y la atención bucodental de calidad adecuada estará disponible y será accesible y asequible para todos.</w:t>
      </w:r>
    </w:p>
    <w:p>
      <w:pPr>
        <w:pStyle w:val="style0"/>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sz w:val="24"/>
          <w:szCs w:val="24"/>
        </w:rPr>
        <w:t>Pilar 2-Integrar la salud bucodental en la agenda de salud general y desarrollo.</w:t>
      </w:r>
      <w:r>
        <w:rPr>
          <w:rFonts w:ascii="Times New Roman" w:cs="Times New Roman" w:hAnsi="Times New Roman"/>
          <w:color w:val="000000"/>
          <w:sz w:val="24"/>
          <w:szCs w:val="24"/>
        </w:rPr>
        <w:t xml:space="preserve"> Para el año 2030, la atención de la salud bucodental y la salud general centrada en las personas estarán integradas, lo que facilitará una prevención y un manejo más eficaces de las enfermedades bucodentales y una mejora de la salud y el bienestar.</w:t>
      </w:r>
    </w:p>
    <w:p>
      <w:pPr>
        <w:pStyle w:val="style0"/>
        <w:autoSpaceDE w:val="false"/>
        <w:autoSpaceDN w:val="false"/>
        <w:adjustRightInd w:val="false"/>
        <w:spacing w:after="0" w:lineRule="auto" w:line="360"/>
        <w:rPr>
          <w:rFonts w:ascii="Times New Roman" w:cs="Times New Roman" w:hAnsi="Times New Roman"/>
          <w:color w:val="000000"/>
          <w:sz w:val="24"/>
          <w:szCs w:val="24"/>
          <w:vertAlign w:val="superscript"/>
        </w:rPr>
      </w:pPr>
      <w:r>
        <w:rPr>
          <w:rFonts w:ascii="Times New Roman" w:cs="Times New Roman" w:hAnsi="Times New Roman"/>
          <w:sz w:val="24"/>
          <w:szCs w:val="24"/>
        </w:rPr>
        <w:t>Pilar 3-Constituir una plantilla de profesionales de la salud bucodental resiliente</w:t>
      </w:r>
      <w:r>
        <w:rPr>
          <w:rFonts w:ascii="Times New Roman" w:cs="Times New Roman" w:hAnsi="Times New Roman"/>
          <w:sz w:val="24"/>
          <w:szCs w:val="24"/>
        </w:rPr>
        <w:t xml:space="preserve">s para el desarrollo sostenible </w:t>
      </w:r>
      <w:r>
        <w:rPr>
          <w:rFonts w:ascii="Times New Roman" w:cs="Times New Roman" w:hAnsi="Times New Roman"/>
          <w:color w:val="000000"/>
          <w:sz w:val="24"/>
          <w:szCs w:val="24"/>
        </w:rPr>
        <w:t>Para el año 2030, los profesionales de la salud bucodental colaborarán con una amplia variedad de trabajadores del ámbito de la salud para garantizar una atención sanitaria sostenible, basada en las necesidades de salud y centrada en las personas</w:t>
      </w:r>
      <w:r>
        <w:rPr>
          <w:rFonts w:ascii="Times New Roman" w:cs="Times New Roman" w:hAnsi="Times New Roman"/>
          <w:color w:val="000000"/>
          <w:sz w:val="24"/>
          <w:szCs w:val="24"/>
        </w:rPr>
        <w:t>.</w:t>
      </w:r>
      <w:r>
        <w:rPr>
          <w:rFonts w:ascii="Times New Roman" w:cs="Times New Roman" w:hAnsi="Times New Roman"/>
          <w:color w:val="000000"/>
          <w:sz w:val="24"/>
          <w:szCs w:val="24"/>
          <w:vertAlign w:val="superscript"/>
        </w:rPr>
        <w:t xml:space="preserve"> (3)</w:t>
      </w:r>
    </w:p>
    <w:p>
      <w:pPr>
        <w:pStyle w:val="style0"/>
        <w:autoSpaceDE w:val="false"/>
        <w:autoSpaceDN w:val="false"/>
        <w:adjustRightInd w:val="false"/>
        <w:spacing w:after="0" w:lineRule="auto" w:line="360"/>
        <w:rPr>
          <w:rFonts w:ascii="Times New Roman" w:cs="Times New Roman" w:hAnsi="Times New Roman"/>
          <w:color w:val="000000"/>
          <w:sz w:val="24"/>
          <w:szCs w:val="24"/>
          <w:vertAlign w:val="superscript"/>
        </w:rPr>
      </w:pPr>
    </w:p>
    <w:p>
      <w:pPr>
        <w:pStyle w:val="style0"/>
        <w:autoSpaceDE w:val="false"/>
        <w:autoSpaceDN w:val="false"/>
        <w:adjustRightInd w:val="false"/>
        <w:spacing w:after="0" w:lineRule="auto" w:line="360"/>
        <w:rPr>
          <w:rFonts w:ascii="Times New Roman" w:cs="Times New Roman" w:hAnsi="Times New Roman"/>
          <w:b/>
          <w:color w:val="000000"/>
          <w:sz w:val="24"/>
          <w:szCs w:val="24"/>
          <w:vertAlign w:val="superscript"/>
        </w:rPr>
      </w:pPr>
      <w:r>
        <w:rPr>
          <w:rFonts w:ascii="Times New Roman" w:cs="Times New Roman" w:hAnsi="Times New Roman"/>
          <w:b/>
          <w:color w:val="000000"/>
          <w:sz w:val="24"/>
          <w:szCs w:val="24"/>
          <w:vertAlign w:val="superscript"/>
        </w:rPr>
        <w:t>DESCRIPCION</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En Cuba, desde la política del Estado, que en el artículo 49 de la Constitución de la Republica da el derecho a todos los ciudadanos cubanos, a la salud gratuita y de calidad, el Programa Único de Atención Primaria de Salud, del Ministerio de Salud Pública (MINSAP)</w:t>
      </w:r>
      <w:r>
        <w:rPr>
          <w:rFonts w:ascii="Times New Roman" w:cs="Times New Roman" w:hAnsi="Times New Roman"/>
          <w:color w:val="000000"/>
          <w:sz w:val="24"/>
          <w:szCs w:val="24"/>
        </w:rPr>
        <w:t xml:space="preserve"> quien a su vez es el encargado de ejecutarlo, surge el Programa Nacional  de Atención  Estomatológica a la Población, el cual dirige nuestro trabajo de salud bucodental para todos, de for</w:t>
      </w:r>
      <w:r>
        <w:rPr>
          <w:rFonts w:ascii="Times New Roman" w:cs="Times New Roman" w:hAnsi="Times New Roman"/>
          <w:color w:val="000000"/>
          <w:sz w:val="24"/>
          <w:szCs w:val="24"/>
        </w:rPr>
        <w:t>ma gratuita sin excepción alguno</w:t>
      </w:r>
      <w:r>
        <w:rPr>
          <w:rFonts w:ascii="Times New Roman" w:cs="Times New Roman" w:hAnsi="Times New Roman"/>
          <w:color w:val="000000"/>
          <w:sz w:val="24"/>
          <w:szCs w:val="24"/>
        </w:rPr>
        <w:t>. El programa de salud bucodental está diseñad</w:t>
      </w:r>
      <w:r>
        <w:rPr>
          <w:rFonts w:ascii="Times New Roman" w:cs="Times New Roman" w:hAnsi="Times New Roman"/>
          <w:color w:val="000000"/>
          <w:sz w:val="24"/>
          <w:szCs w:val="24"/>
        </w:rPr>
        <w:t>o como lo exige la Visión 2030</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ejemplos de ellos:</w:t>
      </w:r>
      <w:r>
        <w:rPr>
          <w:rFonts w:ascii="Times New Roman" w:cs="Times New Roman" w:hAnsi="Times New Roman"/>
          <w:sz w:val="24"/>
          <w:szCs w:val="24"/>
        </w:rPr>
        <w:t xml:space="preserve"> Anexo 8. Organización de la atención a la población de 0 a 19 años, embarazadas y madres con niños menores de 1 año, para garantizar la salud bucal de la población infantil y adolescente, Anexo 9. Programa de intervención “mi amigo el </w:t>
      </w:r>
      <w:r>
        <w:rPr>
          <w:rFonts w:ascii="Times New Roman" w:cs="Times New Roman" w:hAnsi="Times New Roman"/>
          <w:sz w:val="24"/>
          <w:szCs w:val="24"/>
        </w:rPr>
        <w:t>estomatólogo” para la población preescolar, Anexo 10. Programa educativo “aprendo a cuidar mis dientes” para los niños de preescolar, Anexo 11. Programa educativo de salud bucodental “cuida tu sonrisa y la de los tuyos” para niños y niñas de 6 a 10 años de edad, Anexo 12. Programa de promoción y educación para la salud bucal en adolescentes, Anexo 13. "programa educacional para un grupo de la tercera edad" campaña de educación</w:t>
      </w:r>
    </w:p>
    <w:p>
      <w:pPr>
        <w:pStyle w:val="style0"/>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i/>
          <w:iCs/>
          <w:sz w:val="24"/>
          <w:szCs w:val="24"/>
        </w:rPr>
        <w:t>Grupos de población priorizados</w:t>
      </w:r>
      <w:r>
        <w:rPr>
          <w:rFonts w:ascii="Times New Roman" w:cs="Times New Roman" w:hAnsi="Times New Roman"/>
          <w:i/>
          <w:iCs/>
          <w:sz w:val="24"/>
          <w:szCs w:val="24"/>
        </w:rPr>
        <w:t>:</w:t>
      </w:r>
      <w:r>
        <w:rPr>
          <w:rFonts w:ascii="Times New Roman" w:cs="Times New Roman" w:hAnsi="Times New Roman"/>
          <w:sz w:val="24"/>
          <w:szCs w:val="24"/>
        </w:rPr>
        <w:t xml:space="preserve"> Niños y adolescentes de 0 - 19 años, Mujeres embarazadas</w:t>
      </w:r>
      <w:r>
        <w:rPr>
          <w:rFonts w:ascii="Times New Roman" w:cs="Times New Roman" w:hAnsi="Times New Roman"/>
          <w:sz w:val="24"/>
          <w:szCs w:val="24"/>
        </w:rPr>
        <w:t>, Madres con niños menores de 1 año, Adulto joven, Discapacitados, Discapacitados, Retrasados mentales, Población geriátrica, Enfermos crónicos, Combatientes de la Revolución, Trabajadores de la Educación y la Salud.</w:t>
      </w:r>
    </w:p>
    <w:p>
      <w:pPr>
        <w:pStyle w:val="style0"/>
        <w:autoSpaceDE w:val="false"/>
        <w:autoSpaceDN w:val="false"/>
        <w:adjustRightInd w:val="false"/>
        <w:spacing w:after="0" w:lineRule="auto" w:line="360"/>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Pilar </w:t>
      </w:r>
      <w:r>
        <w:rPr>
          <w:rFonts w:ascii="Times New Roman" w:cs="Times New Roman" w:hAnsi="Times New Roman"/>
          <w:b/>
          <w:color w:val="000000"/>
          <w:sz w:val="24"/>
          <w:szCs w:val="24"/>
        </w:rPr>
        <w:t xml:space="preserve">1 </w:t>
      </w:r>
    </w:p>
    <w:p>
      <w:pPr>
        <w:pStyle w:val="style0"/>
        <w:autoSpaceDE w:val="false"/>
        <w:autoSpaceDN w:val="false"/>
        <w:adjustRightInd w:val="false"/>
        <w:spacing w:after="0" w:lineRule="auto" w:line="360"/>
        <w:rPr>
          <w:rFonts w:ascii="Times New Roman" w:cs="Times New Roman" w:hAnsi="Times New Roman"/>
          <w:b/>
          <w:color w:val="000000"/>
          <w:sz w:val="24"/>
          <w:szCs w:val="24"/>
        </w:rPr>
      </w:pPr>
      <w:r>
        <w:rPr>
          <w:rFonts w:ascii="Times New Roman" w:cs="Times New Roman" w:hAnsi="Times New Roman"/>
          <w:b/>
          <w:color w:val="000000"/>
          <w:sz w:val="24"/>
          <w:szCs w:val="24"/>
        </w:rPr>
        <w:t>Fortaleza</w:t>
      </w:r>
    </w:p>
    <w:p>
      <w:pPr>
        <w:pStyle w:val="style0"/>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 xml:space="preserve">Dentro de este pilar ,se presenta como el mayor </w:t>
      </w:r>
      <w:r>
        <w:rPr>
          <w:rFonts w:ascii="Times New Roman" w:cs="Times New Roman" w:hAnsi="Times New Roman"/>
          <w:color w:val="000000"/>
          <w:sz w:val="24"/>
          <w:szCs w:val="24"/>
        </w:rPr>
        <w:t>reto, en la etapa de pandemia,</w:t>
      </w:r>
      <w:r>
        <w:rPr>
          <w:rFonts w:ascii="Times New Roman" w:cs="Times New Roman" w:hAnsi="Times New Roman"/>
          <w:color w:val="000000"/>
          <w:sz w:val="24"/>
          <w:szCs w:val="24"/>
        </w:rPr>
        <w:t xml:space="preserve"> la enseñanza- aprendizaje  de las habilidades </w:t>
      </w:r>
      <w:r>
        <w:rPr>
          <w:rFonts w:ascii="Times New Roman" w:cs="Times New Roman" w:hAnsi="Times New Roman"/>
          <w:color w:val="000000"/>
          <w:sz w:val="24"/>
          <w:szCs w:val="24"/>
        </w:rPr>
        <w:t>prácticas</w:t>
      </w:r>
      <w:r>
        <w:rPr>
          <w:rFonts w:ascii="Times New Roman" w:cs="Times New Roman" w:hAnsi="Times New Roman"/>
          <w:color w:val="000000"/>
          <w:sz w:val="24"/>
          <w:szCs w:val="24"/>
        </w:rPr>
        <w:t xml:space="preserve"> de los estudiantes en </w:t>
      </w:r>
      <w:r>
        <w:rPr>
          <w:rFonts w:ascii="Times New Roman" w:cs="Times New Roman" w:hAnsi="Times New Roman"/>
          <w:color w:val="000000"/>
          <w:sz w:val="24"/>
          <w:szCs w:val="24"/>
        </w:rPr>
        <w:t>formación, que</w:t>
      </w:r>
      <w:r>
        <w:rPr>
          <w:rFonts w:ascii="Times New Roman" w:cs="Times New Roman" w:hAnsi="Times New Roman"/>
          <w:color w:val="000000"/>
          <w:sz w:val="24"/>
          <w:szCs w:val="24"/>
        </w:rPr>
        <w:t xml:space="preserve"> aunque se realizan grandes esfuerzos por las universidades de manera virtual para mantener actualizados los programas de </w:t>
      </w:r>
      <w:r>
        <w:rPr>
          <w:rFonts w:ascii="Times New Roman" w:cs="Times New Roman" w:hAnsi="Times New Roman"/>
          <w:color w:val="000000"/>
          <w:sz w:val="24"/>
          <w:szCs w:val="24"/>
        </w:rPr>
        <w:t>estudio, es</w:t>
      </w:r>
      <w:r>
        <w:rPr>
          <w:rFonts w:ascii="Times New Roman" w:cs="Times New Roman" w:hAnsi="Times New Roman"/>
          <w:color w:val="000000"/>
          <w:sz w:val="24"/>
          <w:szCs w:val="24"/>
        </w:rPr>
        <w:t xml:space="preserve"> insustituible la relación </w:t>
      </w:r>
      <w:r>
        <w:rPr>
          <w:rFonts w:ascii="Times New Roman" w:cs="Times New Roman" w:hAnsi="Times New Roman"/>
          <w:color w:val="000000"/>
          <w:sz w:val="24"/>
          <w:szCs w:val="24"/>
        </w:rPr>
        <w:t>médico</w:t>
      </w:r>
      <w:r>
        <w:rPr>
          <w:rFonts w:ascii="Times New Roman" w:cs="Times New Roman" w:hAnsi="Times New Roman"/>
          <w:color w:val="000000"/>
          <w:sz w:val="24"/>
          <w:szCs w:val="24"/>
        </w:rPr>
        <w:t xml:space="preserve">-paciente </w:t>
      </w:r>
      <w:r>
        <w:rPr>
          <w:rFonts w:ascii="Times New Roman" w:cs="Times New Roman" w:hAnsi="Times New Roman"/>
          <w:color w:val="000000"/>
          <w:sz w:val="24"/>
          <w:szCs w:val="24"/>
        </w:rPr>
        <w:t>que es la forma idónea para completar los conocimientos específicos que deben alcanzar los profesionales de la odontología, para lograr  los objetivos propuestos.</w:t>
      </w:r>
    </w:p>
    <w:p>
      <w:pPr>
        <w:pStyle w:val="style0"/>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Debilidades.</w:t>
      </w:r>
    </w:p>
    <w:p>
      <w:pPr>
        <w:pStyle w:val="style0"/>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 xml:space="preserve">Existen </w:t>
      </w:r>
      <w:r>
        <w:rPr>
          <w:rFonts w:ascii="Times New Roman" w:cs="Times New Roman" w:hAnsi="Times New Roman"/>
          <w:color w:val="000000"/>
          <w:sz w:val="24"/>
          <w:szCs w:val="24"/>
        </w:rPr>
        <w:t xml:space="preserve"> dificultades ,para brindar una óptima calidad en el servicio </w:t>
      </w:r>
      <w:r>
        <w:rPr>
          <w:rFonts w:ascii="Times New Roman" w:cs="Times New Roman" w:hAnsi="Times New Roman"/>
          <w:color w:val="000000"/>
          <w:sz w:val="24"/>
          <w:szCs w:val="24"/>
        </w:rPr>
        <w:t xml:space="preserve">, en cuanto a la </w:t>
      </w:r>
      <w:r>
        <w:rPr>
          <w:rFonts w:ascii="Times New Roman" w:cs="Times New Roman" w:hAnsi="Times New Roman"/>
          <w:color w:val="000000"/>
          <w:sz w:val="24"/>
          <w:szCs w:val="24"/>
        </w:rPr>
        <w:t>tecnología, en</w:t>
      </w:r>
      <w:r>
        <w:rPr>
          <w:rFonts w:ascii="Times New Roman" w:cs="Times New Roman" w:hAnsi="Times New Roman"/>
          <w:color w:val="000000"/>
          <w:sz w:val="24"/>
          <w:szCs w:val="24"/>
        </w:rPr>
        <w:t xml:space="preserve"> primer lugar atrasada y agudizada con la situación del bloqueo hecho que produce que el personal en todos los niveles,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estomatólogos,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estudiantes, al no existir los medios diagnósticos, desconocen</w:t>
      </w:r>
      <w:r>
        <w:rPr>
          <w:rFonts w:ascii="Times New Roman" w:cs="Times New Roman" w:hAnsi="Times New Roman"/>
          <w:color w:val="000000"/>
          <w:sz w:val="24"/>
          <w:szCs w:val="24"/>
        </w:rPr>
        <w:t xml:space="preserve"> los </w:t>
      </w:r>
      <w:r>
        <w:rPr>
          <w:rFonts w:ascii="Times New Roman" w:cs="Times New Roman" w:hAnsi="Times New Roman"/>
          <w:color w:val="000000"/>
          <w:sz w:val="24"/>
          <w:szCs w:val="24"/>
        </w:rPr>
        <w:t xml:space="preserve">procederes para diagnosticar algunas enfermedades bucodentales, </w:t>
      </w:r>
      <w:r>
        <w:rPr>
          <w:rFonts w:ascii="Times New Roman" w:cs="Times New Roman" w:hAnsi="Times New Roman"/>
          <w:color w:val="000000"/>
          <w:sz w:val="24"/>
          <w:szCs w:val="24"/>
        </w:rPr>
        <w:t>por</w:t>
      </w:r>
      <w:r>
        <w:rPr>
          <w:rFonts w:ascii="Times New Roman" w:cs="Times New Roman" w:hAnsi="Times New Roman"/>
          <w:color w:val="000000"/>
          <w:sz w:val="24"/>
          <w:szCs w:val="24"/>
        </w:rPr>
        <w:t xml:space="preserve"> citar un </w:t>
      </w:r>
      <w:r>
        <w:rPr>
          <w:rFonts w:ascii="Times New Roman" w:cs="Times New Roman" w:hAnsi="Times New Roman"/>
          <w:color w:val="000000"/>
          <w:sz w:val="24"/>
          <w:szCs w:val="24"/>
        </w:rPr>
        <w:t>ejemplo, en</w:t>
      </w:r>
      <w:r>
        <w:rPr>
          <w:rFonts w:ascii="Times New Roman" w:cs="Times New Roman" w:hAnsi="Times New Roman"/>
          <w:color w:val="000000"/>
          <w:sz w:val="24"/>
          <w:szCs w:val="24"/>
        </w:rPr>
        <w:t xml:space="preserve"> el caso de la </w:t>
      </w:r>
      <w:r>
        <w:rPr>
          <w:rFonts w:ascii="Times New Roman" w:cs="Times New Roman" w:hAnsi="Times New Roman"/>
          <w:color w:val="000000"/>
          <w:sz w:val="24"/>
          <w:szCs w:val="24"/>
        </w:rPr>
        <w:t>halitosis, enfermedad</w:t>
      </w:r>
      <w:r>
        <w:rPr>
          <w:rFonts w:ascii="Times New Roman" w:cs="Times New Roman" w:hAnsi="Times New Roman"/>
          <w:color w:val="000000"/>
          <w:sz w:val="24"/>
          <w:szCs w:val="24"/>
        </w:rPr>
        <w:t xml:space="preserve"> que refieren un sin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número de pacientes en la atención primaria de salud, no tenemos el test de BANA</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,utilizado en el mundo entero ,método de </w:t>
      </w:r>
      <w:r>
        <w:rPr>
          <w:rFonts w:ascii="Times New Roman" w:cs="Times New Roman" w:hAnsi="Times New Roman"/>
          <w:color w:val="000000"/>
          <w:sz w:val="24"/>
          <w:szCs w:val="24"/>
        </w:rPr>
        <w:t>ninhidrina”,ni</w:t>
      </w:r>
      <w:r>
        <w:rPr>
          <w:rFonts w:ascii="Times New Roman" w:cs="Times New Roman" w:hAnsi="Times New Roman"/>
          <w:color w:val="000000"/>
          <w:sz w:val="24"/>
          <w:szCs w:val="24"/>
        </w:rPr>
        <w:t xml:space="preserve"> dispositivos como </w:t>
      </w:r>
      <w:r>
        <w:rPr>
          <w:rFonts w:ascii="Times New Roman" w:cs="Times New Roman" w:hAnsi="Times New Roman"/>
          <w:color w:val="000000"/>
          <w:sz w:val="24"/>
          <w:szCs w:val="24"/>
        </w:rPr>
        <w:t>Halimeter, Oral</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Chroma</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pero además se desconoce </w:t>
      </w:r>
      <w:r>
        <w:rPr>
          <w:rFonts w:ascii="Times New Roman" w:cs="Times New Roman" w:hAnsi="Times New Roman"/>
          <w:color w:val="000000"/>
          <w:sz w:val="24"/>
          <w:szCs w:val="24"/>
        </w:rPr>
        <w:t xml:space="preserve">en el examen organoléptico la evaluación de los diferentes olores que podamos percibir ,como es el caso del olor a sulfuro que nos indica un origen intraoral de la </w:t>
      </w:r>
      <w:r>
        <w:rPr>
          <w:rFonts w:ascii="Times New Roman" w:cs="Times New Roman" w:hAnsi="Times New Roman"/>
          <w:color w:val="000000"/>
          <w:sz w:val="24"/>
          <w:szCs w:val="24"/>
        </w:rPr>
        <w:t>halitosis, este</w:t>
      </w:r>
      <w:r>
        <w:rPr>
          <w:rFonts w:ascii="Times New Roman" w:cs="Times New Roman" w:hAnsi="Times New Roman"/>
          <w:color w:val="000000"/>
          <w:sz w:val="24"/>
          <w:szCs w:val="24"/>
        </w:rPr>
        <w:t xml:space="preserve"> olor combinado con un sabor dulce puede indicar enfermedades </w:t>
      </w:r>
      <w:r>
        <w:rPr>
          <w:rFonts w:ascii="Times New Roman" w:cs="Times New Roman" w:hAnsi="Times New Roman"/>
          <w:color w:val="000000"/>
          <w:sz w:val="24"/>
          <w:szCs w:val="24"/>
        </w:rPr>
        <w:t>hepáticas, entre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otros. En el 2016,la FDI aprobó  una declaración de política “ </w:t>
      </w:r>
      <w:r>
        <w:rPr>
          <w:rFonts w:ascii="Times New Roman" w:cs="Times New Roman" w:hAnsi="Times New Roman"/>
          <w:color w:val="000000"/>
          <w:sz w:val="24"/>
          <w:szCs w:val="24"/>
        </w:rPr>
        <w:t>Intervención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mínima</w:t>
      </w:r>
      <w:r>
        <w:rPr>
          <w:rFonts w:ascii="Times New Roman" w:cs="Times New Roman" w:hAnsi="Times New Roman"/>
          <w:color w:val="000000"/>
          <w:sz w:val="24"/>
          <w:szCs w:val="24"/>
        </w:rPr>
        <w:t xml:space="preserve"> en el tratamiento de las caries dental” por ejemplo en lesiones cariosas iniciales se debe utilizar el </w:t>
      </w:r>
      <w:r>
        <w:rPr>
          <w:rFonts w:ascii="Times New Roman" w:cs="Times New Roman" w:hAnsi="Times New Roman"/>
          <w:color w:val="000000"/>
          <w:sz w:val="24"/>
          <w:szCs w:val="24"/>
        </w:rPr>
        <w:t>fluoruro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tópico, o</w:t>
      </w:r>
      <w:r>
        <w:rPr>
          <w:rFonts w:ascii="Times New Roman" w:cs="Times New Roman" w:hAnsi="Times New Roman"/>
          <w:color w:val="000000"/>
          <w:sz w:val="24"/>
          <w:szCs w:val="24"/>
        </w:rPr>
        <w:t xml:space="preserve"> selladores de fisuras en lesiones oclusales y puede incluir la infiltración con resina en lesiones proximales en el tercio exterior de la dentina</w:t>
      </w:r>
      <w:r>
        <w:rPr>
          <w:rFonts w:ascii="Times New Roman" w:cs="Times New Roman" w:hAnsi="Times New Roman"/>
          <w:color w:val="000000"/>
          <w:sz w:val="24"/>
          <w:szCs w:val="24"/>
        </w:rPr>
        <w:t xml:space="preserve">, en el caso de pacientes que no cooperen con el tratamiento ,el </w:t>
      </w:r>
      <w:r>
        <w:rPr>
          <w:rFonts w:ascii="Times New Roman" w:cs="Times New Roman" w:hAnsi="Times New Roman"/>
          <w:color w:val="000000"/>
          <w:sz w:val="24"/>
          <w:szCs w:val="24"/>
        </w:rPr>
        <w:t>fluoruro</w:t>
      </w:r>
      <w:r>
        <w:rPr>
          <w:rFonts w:ascii="Times New Roman" w:cs="Times New Roman" w:hAnsi="Times New Roman"/>
          <w:color w:val="000000"/>
          <w:sz w:val="24"/>
          <w:szCs w:val="24"/>
        </w:rPr>
        <w:t xml:space="preserve"> diamino de plata puede </w:t>
      </w:r>
      <w:r>
        <w:rPr>
          <w:rFonts w:ascii="Times New Roman" w:cs="Times New Roman" w:hAnsi="Times New Roman"/>
          <w:color w:val="000000"/>
          <w:sz w:val="24"/>
          <w:szCs w:val="24"/>
        </w:rPr>
        <w:t>ser una alternativa ,</w:t>
      </w:r>
      <w:r>
        <w:rPr>
          <w:rFonts w:ascii="Times New Roman" w:cs="Times New Roman" w:hAnsi="Times New Roman"/>
          <w:color w:val="000000"/>
          <w:sz w:val="24"/>
          <w:szCs w:val="24"/>
        </w:rPr>
        <w:t xml:space="preserve">dicho tratamiento no se puede realizar la mayoría de </w:t>
      </w:r>
      <w:r>
        <w:rPr>
          <w:rFonts w:ascii="Times New Roman" w:cs="Times New Roman" w:hAnsi="Times New Roman"/>
          <w:color w:val="000000"/>
          <w:sz w:val="24"/>
          <w:szCs w:val="24"/>
        </w:rPr>
        <w:t xml:space="preserve">las veces ,por la falta de los </w:t>
      </w:r>
      <w:r>
        <w:rPr>
          <w:rFonts w:ascii="Times New Roman" w:cs="Times New Roman" w:hAnsi="Times New Roman"/>
          <w:color w:val="000000"/>
          <w:sz w:val="24"/>
          <w:szCs w:val="24"/>
        </w:rPr>
        <w:t>recursos, trayendo consecuencias a los tejidos del diente ,que pueden ocasionar posteriormente hasta la perdida de los mismos.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Solo son</w:t>
      </w:r>
      <w:r>
        <w:rPr>
          <w:rFonts w:ascii="Times New Roman" w:cs="Times New Roman" w:hAnsi="Times New Roman"/>
          <w:color w:val="000000"/>
          <w:sz w:val="24"/>
          <w:szCs w:val="24"/>
        </w:rPr>
        <w:t xml:space="preserve"> ejemplo</w:t>
      </w:r>
      <w:r>
        <w:rPr>
          <w:rFonts w:ascii="Times New Roman" w:cs="Times New Roman" w:hAnsi="Times New Roman"/>
          <w:color w:val="000000"/>
          <w:sz w:val="24"/>
          <w:szCs w:val="24"/>
        </w:rPr>
        <w:t>s</w:t>
      </w:r>
      <w:r>
        <w:rPr>
          <w:rFonts w:ascii="Times New Roman" w:cs="Times New Roman" w:hAnsi="Times New Roman"/>
          <w:color w:val="000000"/>
          <w:sz w:val="24"/>
          <w:szCs w:val="24"/>
        </w:rPr>
        <w:t xml:space="preserve"> de la afectación que en la calidad</w:t>
      </w:r>
      <w:r>
        <w:rPr>
          <w:rFonts w:ascii="Times New Roman" w:cs="Times New Roman" w:hAnsi="Times New Roman"/>
          <w:color w:val="000000"/>
          <w:sz w:val="24"/>
          <w:szCs w:val="24"/>
        </w:rPr>
        <w:t xml:space="preserve"> óptima del trabajo puede llevar la </w:t>
      </w:r>
      <w:r>
        <w:rPr>
          <w:rFonts w:ascii="Times New Roman" w:cs="Times New Roman" w:hAnsi="Times New Roman"/>
          <w:color w:val="000000"/>
          <w:sz w:val="24"/>
          <w:szCs w:val="24"/>
        </w:rPr>
        <w:t>situación planteada.</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Conociendo las limitantes existentes en el </w:t>
      </w:r>
      <w:r>
        <w:rPr>
          <w:rFonts w:ascii="Times New Roman" w:cs="Times New Roman" w:hAnsi="Times New Roman"/>
          <w:b/>
          <w:color w:val="000000"/>
          <w:sz w:val="24"/>
          <w:szCs w:val="24"/>
        </w:rPr>
        <w:t>país, es</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necesaria</w:t>
      </w:r>
      <w:r>
        <w:rPr>
          <w:rFonts w:ascii="Times New Roman" w:cs="Times New Roman" w:hAnsi="Times New Roman"/>
          <w:b/>
          <w:color w:val="000000"/>
          <w:sz w:val="24"/>
          <w:szCs w:val="24"/>
        </w:rPr>
        <w:t xml:space="preserve"> la búsqueda de nuevas estrategias </w:t>
      </w:r>
      <w:r>
        <w:rPr>
          <w:rFonts w:ascii="Times New Roman" w:cs="Times New Roman" w:hAnsi="Times New Roman"/>
          <w:b/>
          <w:color w:val="000000"/>
          <w:sz w:val="24"/>
          <w:szCs w:val="24"/>
        </w:rPr>
        <w:t xml:space="preserve">para la total formación de los </w:t>
      </w:r>
      <w:r>
        <w:rPr>
          <w:rFonts w:ascii="Times New Roman" w:cs="Times New Roman" w:hAnsi="Times New Roman"/>
          <w:b/>
          <w:color w:val="000000"/>
          <w:sz w:val="24"/>
          <w:szCs w:val="24"/>
        </w:rPr>
        <w:t xml:space="preserve">estudiantes </w:t>
      </w:r>
      <w:r>
        <w:rPr>
          <w:rFonts w:ascii="Times New Roman" w:cs="Times New Roman" w:hAnsi="Times New Roman"/>
          <w:b/>
          <w:color w:val="000000"/>
          <w:sz w:val="24"/>
          <w:szCs w:val="24"/>
        </w:rPr>
        <w:t>,</w:t>
      </w:r>
      <w:r>
        <w:rPr>
          <w:rFonts w:ascii="Times New Roman" w:cs="Times New Roman" w:hAnsi="Times New Roman"/>
          <w:b/>
          <w:color w:val="000000"/>
          <w:sz w:val="24"/>
          <w:szCs w:val="24"/>
        </w:rPr>
        <w:t>para</w:t>
      </w:r>
      <w:r>
        <w:rPr>
          <w:rFonts w:ascii="Times New Roman" w:cs="Times New Roman" w:hAnsi="Times New Roman"/>
          <w:b/>
          <w:color w:val="000000"/>
          <w:sz w:val="24"/>
          <w:szCs w:val="24"/>
        </w:rPr>
        <w:t xml:space="preserve"> tener medios </w:t>
      </w:r>
      <w:r>
        <w:rPr>
          <w:rFonts w:ascii="Times New Roman" w:cs="Times New Roman" w:hAnsi="Times New Roman"/>
          <w:b/>
          <w:color w:val="000000"/>
          <w:sz w:val="24"/>
          <w:szCs w:val="24"/>
        </w:rPr>
        <w:t>diagnósticos</w:t>
      </w:r>
      <w:r>
        <w:rPr>
          <w:rFonts w:ascii="Times New Roman" w:cs="Times New Roman" w:hAnsi="Times New Roman"/>
          <w:b/>
          <w:color w:val="000000"/>
          <w:sz w:val="24"/>
          <w:szCs w:val="24"/>
        </w:rPr>
        <w:t xml:space="preserve"> y sustitutos de los e</w:t>
      </w:r>
      <w:r>
        <w:rPr>
          <w:rFonts w:ascii="Times New Roman" w:cs="Times New Roman" w:hAnsi="Times New Roman"/>
          <w:b/>
          <w:color w:val="000000"/>
          <w:sz w:val="24"/>
          <w:szCs w:val="24"/>
        </w:rPr>
        <w:t>xistentes en el mundo para mantener la calidad óptima del trabajo.</w:t>
      </w:r>
    </w:p>
    <w:p>
      <w:pPr>
        <w:pStyle w:val="style0"/>
        <w:autoSpaceDE w:val="false"/>
        <w:autoSpaceDN w:val="false"/>
        <w:adjustRightInd w:val="false"/>
        <w:spacing w:after="0" w:lineRule="auto" w:line="360"/>
        <w:rPr>
          <w:rFonts w:ascii="Times New Roman" w:cs="Times New Roman" w:hAnsi="Times New Roman"/>
          <w:b/>
          <w:color w:val="000000"/>
          <w:sz w:val="24"/>
          <w:szCs w:val="24"/>
        </w:rPr>
      </w:pPr>
    </w:p>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sz w:val="24"/>
          <w:szCs w:val="24"/>
        </w:rPr>
        <w:t xml:space="preserve">En </w:t>
      </w:r>
      <w:r>
        <w:rPr>
          <w:rFonts w:ascii="Times New Roman" w:cs="Times New Roman" w:hAnsi="Times New Roman"/>
          <w:sz w:val="24"/>
          <w:szCs w:val="24"/>
        </w:rPr>
        <w:t xml:space="preserve">el </w:t>
      </w:r>
      <w:r>
        <w:rPr>
          <w:rFonts w:ascii="Times New Roman" w:cs="Times New Roman" w:hAnsi="Times New Roman"/>
          <w:sz w:val="24"/>
          <w:szCs w:val="24"/>
        </w:rPr>
        <w:t>actual</w:t>
      </w:r>
      <w:r>
        <w:rPr>
          <w:rFonts w:ascii="Times New Roman" w:cs="Times New Roman" w:hAnsi="Times New Roman"/>
          <w:sz w:val="24"/>
          <w:szCs w:val="24"/>
        </w:rPr>
        <w:t xml:space="preserve"> escenario de más de un año de pandemia, </w:t>
      </w:r>
      <w:r>
        <w:rPr>
          <w:rFonts w:ascii="Times New Roman" w:cs="Times New Roman" w:hAnsi="Times New Roman"/>
          <w:sz w:val="24"/>
          <w:szCs w:val="24"/>
        </w:rPr>
        <w:t xml:space="preserve">cuando la estomatología </w:t>
      </w:r>
      <w:r>
        <w:rPr>
          <w:rFonts w:ascii="Times New Roman" w:cs="Times New Roman" w:hAnsi="Times New Roman"/>
          <w:sz w:val="24"/>
          <w:szCs w:val="24"/>
        </w:rPr>
        <w:t>a nivel</w:t>
      </w:r>
      <w:r>
        <w:rPr>
          <w:rFonts w:ascii="Times New Roman" w:cs="Times New Roman" w:hAnsi="Times New Roman"/>
          <w:sz w:val="24"/>
          <w:szCs w:val="24"/>
        </w:rPr>
        <w:t xml:space="preserve"> mundial ha estado restringida por cuestiones de bioseguridad, </w:t>
      </w:r>
      <w:r>
        <w:rPr>
          <w:rFonts w:ascii="Times New Roman" w:cs="Times New Roman" w:hAnsi="Times New Roman"/>
          <w:sz w:val="24"/>
          <w:szCs w:val="24"/>
        </w:rPr>
        <w:t>existe un manifiesto  deterioro de la salud bucodental</w:t>
      </w:r>
      <w:r>
        <w:rPr>
          <w:rFonts w:ascii="Times New Roman" w:cs="Times New Roman" w:hAnsi="Times New Roman"/>
          <w:sz w:val="24"/>
          <w:szCs w:val="24"/>
        </w:rPr>
        <w:t xml:space="preserve"> en el área de salud</w:t>
      </w:r>
      <w:r>
        <w:rPr>
          <w:rFonts w:ascii="Times New Roman" w:cs="Times New Roman" w:hAnsi="Times New Roman"/>
          <w:sz w:val="24"/>
          <w:szCs w:val="24"/>
        </w:rPr>
        <w:t>, demostrado en estudio a 148 pacientes que acudieron a los servicios de urgencia del área de salud y que por sus historias clínicas individuales no presentaban</w:t>
      </w:r>
      <w:r>
        <w:rPr>
          <w:rFonts w:ascii="Times New Roman" w:cs="Times New Roman" w:hAnsi="Times New Roman"/>
          <w:sz w:val="24"/>
          <w:szCs w:val="24"/>
        </w:rPr>
        <w:t xml:space="preserve"> patologías orales</w:t>
      </w:r>
      <w:r>
        <w:rPr>
          <w:rFonts w:ascii="Times New Roman" w:cs="Times New Roman" w:hAnsi="Times New Roman"/>
          <w:sz w:val="24"/>
          <w:szCs w:val="24"/>
        </w:rPr>
        <w:t xml:space="preserve">, antes del comienzo de la </w:t>
      </w:r>
      <w:r>
        <w:rPr>
          <w:rFonts w:ascii="Times New Roman" w:cs="Times New Roman" w:hAnsi="Times New Roman"/>
          <w:sz w:val="24"/>
          <w:szCs w:val="24"/>
        </w:rPr>
        <w:t xml:space="preserve">pandemia </w:t>
      </w:r>
      <w:r>
        <w:rPr>
          <w:rFonts w:ascii="Times New Roman" w:cs="Times New Roman" w:hAnsi="Times New Roman"/>
          <w:sz w:val="24"/>
          <w:szCs w:val="24"/>
        </w:rPr>
        <w:t xml:space="preserve">. De ellos </w:t>
      </w:r>
      <w:r>
        <w:rPr>
          <w:rFonts w:ascii="Times New Roman" w:cs="Times New Roman" w:hAnsi="Times New Roman"/>
          <w:sz w:val="24"/>
          <w:szCs w:val="24"/>
        </w:rPr>
        <w:t>78</w:t>
      </w:r>
      <w:r>
        <w:rPr>
          <w:rFonts w:ascii="Times New Roman" w:cs="Times New Roman" w:hAnsi="Times New Roman"/>
          <w:sz w:val="24"/>
          <w:szCs w:val="24"/>
        </w:rPr>
        <w:t xml:space="preserve"> padecen caries </w:t>
      </w:r>
      <w:r>
        <w:rPr>
          <w:rFonts w:ascii="Times New Roman" w:cs="Times New Roman" w:hAnsi="Times New Roman"/>
          <w:sz w:val="24"/>
          <w:szCs w:val="24"/>
        </w:rPr>
        <w:t xml:space="preserve">dental, representando </w:t>
      </w:r>
      <w:r>
        <w:rPr>
          <w:rFonts w:ascii="Times New Roman" w:cs="Times New Roman" w:hAnsi="Times New Roman"/>
          <w:sz w:val="24"/>
          <w:szCs w:val="24"/>
        </w:rPr>
        <w:t xml:space="preserve">el 52,7% y </w:t>
      </w:r>
      <w:r>
        <w:rPr>
          <w:rFonts w:ascii="Times New Roman" w:cs="Times New Roman" w:hAnsi="Times New Roman"/>
          <w:sz w:val="24"/>
          <w:szCs w:val="24"/>
        </w:rPr>
        <w:t>tinción</w:t>
      </w:r>
      <w:r>
        <w:rPr>
          <w:rFonts w:ascii="Times New Roman" w:cs="Times New Roman" w:hAnsi="Times New Roman"/>
          <w:sz w:val="24"/>
          <w:szCs w:val="24"/>
        </w:rPr>
        <w:t xml:space="preserve"> dental</w:t>
      </w:r>
      <w:r>
        <w:rPr>
          <w:rFonts w:ascii="Times New Roman" w:cs="Times New Roman" w:hAnsi="Times New Roman"/>
          <w:sz w:val="24"/>
          <w:szCs w:val="24"/>
        </w:rPr>
        <w:t xml:space="preserve"> 11</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para un </w:t>
      </w:r>
      <w:r>
        <w:rPr>
          <w:rFonts w:ascii="Times New Roman" w:cs="Times New Roman" w:hAnsi="Times New Roman"/>
          <w:sz w:val="24"/>
          <w:szCs w:val="24"/>
        </w:rPr>
        <w:t xml:space="preserve">7,4%, representando un total de </w:t>
      </w:r>
      <w:r>
        <w:rPr>
          <w:rFonts w:ascii="Times New Roman" w:cs="Times New Roman" w:hAnsi="Times New Roman"/>
          <w:sz w:val="24"/>
          <w:szCs w:val="24"/>
        </w:rPr>
        <w:t xml:space="preserve"> </w:t>
      </w:r>
      <w:r>
        <w:rPr>
          <w:rFonts w:ascii="Times New Roman" w:cs="Times New Roman" w:hAnsi="Times New Roman"/>
          <w:sz w:val="24"/>
          <w:szCs w:val="24"/>
        </w:rPr>
        <w:t xml:space="preserve">89 </w:t>
      </w:r>
      <w:r>
        <w:rPr>
          <w:rFonts w:ascii="Times New Roman" w:cs="Times New Roman" w:hAnsi="Times New Roman"/>
          <w:sz w:val="24"/>
          <w:szCs w:val="24"/>
        </w:rPr>
        <w:t>patologías orales, que</w:t>
      </w:r>
      <w:r>
        <w:rPr>
          <w:rFonts w:ascii="Times New Roman" w:cs="Times New Roman" w:hAnsi="Times New Roman"/>
          <w:sz w:val="24"/>
          <w:szCs w:val="24"/>
        </w:rPr>
        <w:t xml:space="preserve"> es un 60,1</w:t>
      </w:r>
      <w:r>
        <w:rPr>
          <w:rFonts w:ascii="Times New Roman" w:cs="Times New Roman" w:hAnsi="Times New Roman"/>
          <w:sz w:val="24"/>
          <w:szCs w:val="24"/>
        </w:rPr>
        <w:t>% de la muestra.</w:t>
      </w:r>
      <w:r>
        <w:rPr>
          <w:rFonts w:ascii="Times New Roman" w:cs="Times New Roman" w:hAnsi="Times New Roman"/>
          <w:sz w:val="24"/>
          <w:szCs w:val="24"/>
        </w:rPr>
        <w:t xml:space="preserve"> Demostrándose la ausencia de labor de prevención, durante los meses de pandemia la cual ha estado restringida en la prevención y promoción de las enfermedades bucodentales, lo que debe constituir una alerta para la conducta a seguir en escenarios parecidos o peores, teniendo presente que en los momentos actuales existe un factor que se añade de forma general, que es el estrés </w:t>
      </w:r>
      <w:r>
        <w:rPr>
          <w:rFonts w:ascii="Times New Roman" w:cs="Times New Roman" w:hAnsi="Times New Roman"/>
          <w:sz w:val="24"/>
          <w:szCs w:val="24"/>
        </w:rPr>
        <w:t xml:space="preserve">sostenido </w:t>
      </w:r>
      <w:r>
        <w:rPr>
          <w:rFonts w:ascii="Times New Roman" w:cs="Times New Roman" w:hAnsi="Times New Roman"/>
          <w:sz w:val="24"/>
          <w:szCs w:val="24"/>
        </w:rPr>
        <w:t>y que en estudios ci</w:t>
      </w:r>
      <w:r>
        <w:rPr>
          <w:rFonts w:ascii="Times New Roman" w:cs="Times New Roman" w:hAnsi="Times New Roman"/>
          <w:sz w:val="24"/>
          <w:szCs w:val="24"/>
        </w:rPr>
        <w:t xml:space="preserve">entíficos realizados, </w:t>
      </w:r>
      <w:r>
        <w:rPr>
          <w:rFonts w:ascii="Times New Roman" w:cs="Times New Roman" w:hAnsi="Times New Roman"/>
          <w:sz w:val="24"/>
          <w:szCs w:val="24"/>
        </w:rPr>
        <w:t>es uno de los fact</w:t>
      </w:r>
      <w:r>
        <w:rPr>
          <w:rFonts w:ascii="Times New Roman" w:cs="Times New Roman" w:hAnsi="Times New Roman"/>
          <w:sz w:val="24"/>
          <w:szCs w:val="24"/>
        </w:rPr>
        <w:t>ores que provocan caries dental.</w:t>
      </w:r>
    </w:p>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No ha existido labor de prevención y promoción de la salud bucodental durante la pandemia de la covid-19, acarreando un deterioro de la salud bucodental.</w:t>
      </w: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sz w:val="24"/>
          <w:szCs w:val="24"/>
        </w:rPr>
        <w:t>Pilar 2</w:t>
      </w: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sz w:val="24"/>
          <w:szCs w:val="24"/>
        </w:rPr>
        <w:t>Fortaleza.</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El </w:t>
      </w:r>
      <w:r>
        <w:rPr>
          <w:rFonts w:ascii="Times New Roman" w:cs="Times New Roman" w:hAnsi="Times New Roman"/>
          <w:sz w:val="24"/>
          <w:szCs w:val="24"/>
        </w:rPr>
        <w:t>Análisis de Situación de S</w:t>
      </w:r>
      <w:r>
        <w:rPr>
          <w:rFonts w:ascii="Times New Roman" w:cs="Times New Roman" w:hAnsi="Times New Roman"/>
          <w:sz w:val="24"/>
          <w:szCs w:val="24"/>
        </w:rPr>
        <w:t>alud</w:t>
      </w:r>
      <w:r>
        <w:rPr>
          <w:rFonts w:ascii="Times New Roman" w:cs="Times New Roman" w:hAnsi="Times New Roman"/>
          <w:sz w:val="24"/>
          <w:szCs w:val="24"/>
        </w:rPr>
        <w:t xml:space="preserve"> en la comunidad</w:t>
      </w:r>
      <w:r>
        <w:rPr>
          <w:rFonts w:ascii="Times New Roman" w:cs="Times New Roman" w:hAnsi="Times New Roman"/>
          <w:sz w:val="24"/>
          <w:szCs w:val="24"/>
        </w:rPr>
        <w:t xml:space="preserve">, establecido en el Programa de Atención Estomatológica, constituye una importante herramienta de trabajo en la atención primaria de salud para los especialistas de nuestra rama, que </w:t>
      </w:r>
      <w:r>
        <w:rPr>
          <w:rFonts w:ascii="Times New Roman" w:cs="Times New Roman" w:hAnsi="Times New Roman"/>
          <w:sz w:val="24"/>
          <w:szCs w:val="24"/>
        </w:rPr>
        <w:t>nos permite</w:t>
      </w:r>
      <w:r>
        <w:rPr>
          <w:rFonts w:ascii="Times New Roman" w:cs="Times New Roman" w:hAnsi="Times New Roman"/>
          <w:sz w:val="24"/>
          <w:szCs w:val="24"/>
        </w:rPr>
        <w:t xml:space="preserve"> la comprensión de señales </w:t>
      </w:r>
      <w:r>
        <w:rPr>
          <w:rFonts w:ascii="Times New Roman" w:cs="Times New Roman" w:hAnsi="Times New Roman"/>
          <w:sz w:val="24"/>
          <w:szCs w:val="24"/>
        </w:rPr>
        <w:t>tempranas, por</w:t>
      </w:r>
      <w:r>
        <w:rPr>
          <w:rFonts w:ascii="Times New Roman" w:cs="Times New Roman" w:hAnsi="Times New Roman"/>
          <w:sz w:val="24"/>
          <w:szCs w:val="24"/>
        </w:rPr>
        <w:t xml:space="preserve"> lo que nos</w:t>
      </w:r>
      <w:r>
        <w:rPr>
          <w:rFonts w:ascii="Times New Roman" w:cs="Times New Roman" w:hAnsi="Times New Roman"/>
          <w:sz w:val="24"/>
          <w:szCs w:val="24"/>
        </w:rPr>
        <w:t xml:space="preserve"> </w:t>
      </w:r>
      <w:r>
        <w:rPr>
          <w:rFonts w:ascii="Times New Roman" w:cs="Times New Roman" w:hAnsi="Times New Roman"/>
          <w:sz w:val="24"/>
          <w:szCs w:val="24"/>
        </w:rPr>
        <w:t>alertó</w:t>
      </w:r>
      <w:r>
        <w:rPr>
          <w:rFonts w:ascii="Times New Roman" w:cs="Times New Roman" w:hAnsi="Times New Roman"/>
          <w:sz w:val="24"/>
          <w:szCs w:val="24"/>
        </w:rPr>
        <w:t xml:space="preserve">, </w:t>
      </w:r>
      <w:r>
        <w:rPr>
          <w:rFonts w:ascii="Times New Roman" w:cs="Times New Roman" w:hAnsi="Times New Roman"/>
          <w:sz w:val="24"/>
          <w:szCs w:val="24"/>
        </w:rPr>
        <w:t>para que posterior a la declaración de la Organización</w:t>
      </w:r>
      <w:r>
        <w:rPr>
          <w:rFonts w:ascii="Times New Roman" w:cs="Times New Roman" w:hAnsi="Times New Roman"/>
          <w:sz w:val="24"/>
          <w:szCs w:val="24"/>
        </w:rPr>
        <w:t xml:space="preserve"> Mundial</w:t>
      </w:r>
      <w:r>
        <w:rPr>
          <w:rFonts w:ascii="Times New Roman" w:cs="Times New Roman" w:hAnsi="Times New Roman"/>
          <w:sz w:val="24"/>
          <w:szCs w:val="24"/>
        </w:rPr>
        <w:t xml:space="preserve"> de la Salud (OMS)</w:t>
      </w:r>
      <w:r>
        <w:rPr>
          <w:rFonts w:ascii="Times New Roman" w:cs="Times New Roman" w:hAnsi="Times New Roman"/>
          <w:sz w:val="24"/>
          <w:szCs w:val="24"/>
        </w:rPr>
        <w:t>, el</w:t>
      </w:r>
      <w:r>
        <w:rPr>
          <w:rFonts w:ascii="Times New Roman" w:cs="Times New Roman" w:hAnsi="Times New Roman"/>
          <w:sz w:val="24"/>
          <w:szCs w:val="24"/>
        </w:rPr>
        <w:t xml:space="preserve"> 4 de mayo del 2020 de que la perdida de gusto y el </w:t>
      </w:r>
      <w:r>
        <w:rPr>
          <w:rFonts w:ascii="Times New Roman" w:cs="Times New Roman" w:hAnsi="Times New Roman"/>
          <w:sz w:val="24"/>
          <w:szCs w:val="24"/>
        </w:rPr>
        <w:t>olfato, eran</w:t>
      </w:r>
      <w:r>
        <w:rPr>
          <w:rFonts w:ascii="Times New Roman" w:cs="Times New Roman" w:hAnsi="Times New Roman"/>
          <w:sz w:val="24"/>
          <w:szCs w:val="24"/>
        </w:rPr>
        <w:t xml:space="preserve"> síntomas de la covid-</w:t>
      </w:r>
      <w:r>
        <w:rPr>
          <w:rFonts w:ascii="Times New Roman" w:cs="Times New Roman" w:hAnsi="Times New Roman"/>
          <w:sz w:val="24"/>
          <w:szCs w:val="24"/>
        </w:rPr>
        <w:t xml:space="preserve">19, </w:t>
      </w:r>
      <w:r>
        <w:rPr>
          <w:rFonts w:ascii="Times New Roman" w:cs="Times New Roman" w:hAnsi="Times New Roman"/>
          <w:sz w:val="24"/>
          <w:szCs w:val="24"/>
        </w:rPr>
        <w:t xml:space="preserve">y al tener controlados a los pacientes con enfermedades crónicas no trasmisibles, nos </w:t>
      </w:r>
      <w:r>
        <w:rPr>
          <w:rFonts w:ascii="Times New Roman" w:cs="Times New Roman" w:hAnsi="Times New Roman"/>
          <w:sz w:val="24"/>
          <w:szCs w:val="24"/>
        </w:rPr>
        <w:t>permitió</w:t>
      </w:r>
      <w:r>
        <w:rPr>
          <w:rFonts w:ascii="Times New Roman" w:cs="Times New Roman" w:hAnsi="Times New Roman"/>
          <w:sz w:val="24"/>
          <w:szCs w:val="24"/>
        </w:rPr>
        <w:t xml:space="preserve"> realizar estudio entre la </w:t>
      </w:r>
      <w:r>
        <w:rPr>
          <w:rFonts w:ascii="Times New Roman" w:cs="Times New Roman" w:hAnsi="Times New Roman"/>
          <w:sz w:val="24"/>
          <w:szCs w:val="24"/>
        </w:rPr>
        <w:t>pérdida</w:t>
      </w:r>
      <w:r>
        <w:rPr>
          <w:rFonts w:ascii="Times New Roman" w:cs="Times New Roman" w:hAnsi="Times New Roman"/>
          <w:sz w:val="24"/>
          <w:szCs w:val="24"/>
        </w:rPr>
        <w:t xml:space="preserve"> del gusto y factores de </w:t>
      </w:r>
      <w:r>
        <w:rPr>
          <w:rFonts w:ascii="Times New Roman" w:cs="Times New Roman" w:hAnsi="Times New Roman"/>
          <w:sz w:val="24"/>
          <w:szCs w:val="24"/>
        </w:rPr>
        <w:t>riesgo, que</w:t>
      </w:r>
      <w:r>
        <w:rPr>
          <w:rFonts w:ascii="Times New Roman" w:cs="Times New Roman" w:hAnsi="Times New Roman"/>
          <w:sz w:val="24"/>
          <w:szCs w:val="24"/>
        </w:rPr>
        <w:t xml:space="preserve"> aparece en </w:t>
      </w:r>
      <w:r>
        <w:rPr>
          <w:rFonts w:ascii="Times New Roman" w:cs="Times New Roman" w:hAnsi="Times New Roman"/>
          <w:sz w:val="24"/>
          <w:szCs w:val="24"/>
        </w:rPr>
        <w:t>Comunicación, en la Revista, El Directivo al Día. Vol. 20 No 2, abril-junio 2021, ISSN: 1813-3231, RNPS: 2069  y mantener una consulta en el área de salud, atendiendo las secuelas de la enfermedad, utilizando medicina tradicional, sin el uso de antimicrobianos, e impartiendo charlas educativas, sobre las manifestaciones orales de la covid-19 al personal que asistía a dicha consulta y a los servicios de urgencia con una frecuencia semanal.</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En el área de salud existe un proyecto </w:t>
      </w:r>
      <w:r>
        <w:rPr>
          <w:rFonts w:ascii="Times New Roman" w:cs="Times New Roman" w:hAnsi="Times New Roman"/>
          <w:sz w:val="24"/>
          <w:szCs w:val="24"/>
        </w:rPr>
        <w:t>contratado ,</w:t>
      </w:r>
      <w:r>
        <w:rPr>
          <w:rFonts w:ascii="Times New Roman" w:cs="Times New Roman" w:hAnsi="Times New Roman"/>
          <w:sz w:val="24"/>
          <w:szCs w:val="24"/>
        </w:rPr>
        <w:t xml:space="preserve"> desde diciembre del 20</w:t>
      </w:r>
      <w:r>
        <w:rPr>
          <w:rFonts w:ascii="Times New Roman" w:cs="Times New Roman" w:hAnsi="Times New Roman"/>
          <w:sz w:val="24"/>
          <w:szCs w:val="24"/>
        </w:rPr>
        <w:t>19</w:t>
      </w:r>
      <w:r>
        <w:rPr>
          <w:rFonts w:ascii="Times New Roman" w:cs="Times New Roman" w:hAnsi="Times New Roman"/>
          <w:sz w:val="24"/>
          <w:szCs w:val="24"/>
        </w:rPr>
        <w:t xml:space="preserve"> y que debe concluir en diciembre del 2021,</w:t>
      </w:r>
      <w:r>
        <w:rPr>
          <w:rFonts w:ascii="Times New Roman" w:cs="Times New Roman" w:hAnsi="Times New Roman"/>
          <w:sz w:val="24"/>
          <w:szCs w:val="24"/>
        </w:rPr>
        <w:t xml:space="preserve">cuyo título es “ Relación entre manifestaciones bucales y el Lupus eritematoso sistémico, en la </w:t>
      </w:r>
      <w:r>
        <w:rPr>
          <w:rFonts w:ascii="Times New Roman" w:cs="Times New Roman" w:hAnsi="Times New Roman"/>
          <w:sz w:val="24"/>
          <w:szCs w:val="24"/>
        </w:rPr>
        <w:t>atención primaria de salud “en colaboración con medicina general integral, de la detección precoz del Lupus Eritematoso Sistémico, por lo que representa esta enfermedad autoinmune sin ser tratada principalmente en las mujeres al final de la segunda década de vida y principios de la tercera</w:t>
      </w:r>
      <w:r>
        <w:rPr>
          <w:rFonts w:ascii="Times New Roman" w:cs="Times New Roman" w:hAnsi="Times New Roman"/>
          <w:sz w:val="24"/>
          <w:szCs w:val="24"/>
        </w:rPr>
        <w:t>,</w:t>
      </w:r>
      <w:r>
        <w:rPr>
          <w:rFonts w:ascii="Times New Roman" w:cs="Times New Roman" w:hAnsi="Times New Roman"/>
          <w:sz w:val="24"/>
          <w:szCs w:val="24"/>
        </w:rPr>
        <w:t xml:space="preserve"> donde con mayor incidencia se presenta en el mundo ,inclusive en el periodo en que muchas se deciden ser madres y que sin tratamiento la pueden</w:t>
      </w:r>
      <w:r>
        <w:rPr>
          <w:rFonts w:ascii="Times New Roman" w:cs="Times New Roman" w:hAnsi="Times New Roman"/>
          <w:sz w:val="24"/>
          <w:szCs w:val="24"/>
        </w:rPr>
        <w:t xml:space="preserve"> traer compromisos para la vida, dentro</w:t>
      </w:r>
      <w:r>
        <w:rPr>
          <w:rFonts w:ascii="Times New Roman" w:cs="Times New Roman" w:hAnsi="Times New Roman"/>
          <w:sz w:val="24"/>
          <w:szCs w:val="24"/>
        </w:rPr>
        <w:t xml:space="preserve"> de</w:t>
      </w:r>
      <w:r>
        <w:rPr>
          <w:rFonts w:ascii="Times New Roman" w:cs="Times New Roman" w:hAnsi="Times New Roman"/>
          <w:sz w:val="24"/>
          <w:szCs w:val="24"/>
        </w:rPr>
        <w:t xml:space="preserve"> </w:t>
      </w:r>
      <w:r>
        <w:rPr>
          <w:rFonts w:ascii="Times New Roman" w:cs="Times New Roman" w:hAnsi="Times New Roman"/>
          <w:sz w:val="24"/>
          <w:szCs w:val="24"/>
        </w:rPr>
        <w:t>los</w:t>
      </w:r>
      <w:r>
        <w:rPr>
          <w:rFonts w:ascii="Times New Roman" w:cs="Times New Roman" w:hAnsi="Times New Roman"/>
          <w:sz w:val="24"/>
          <w:szCs w:val="24"/>
        </w:rPr>
        <w:t xml:space="preserve"> </w:t>
      </w:r>
      <w:r>
        <w:rPr>
          <w:rFonts w:ascii="Times New Roman" w:cs="Times New Roman" w:hAnsi="Times New Roman"/>
          <w:sz w:val="24"/>
          <w:szCs w:val="24"/>
        </w:rPr>
        <w:t xml:space="preserve">criterios </w:t>
      </w:r>
      <w:r>
        <w:rPr>
          <w:rFonts w:ascii="Times New Roman" w:cs="Times New Roman" w:hAnsi="Times New Roman"/>
          <w:sz w:val="24"/>
          <w:szCs w:val="24"/>
        </w:rPr>
        <w:t xml:space="preserve"> pla</w:t>
      </w:r>
      <w:r>
        <w:rPr>
          <w:rFonts w:ascii="Times New Roman" w:cs="Times New Roman" w:hAnsi="Times New Roman"/>
          <w:sz w:val="24"/>
          <w:szCs w:val="24"/>
        </w:rPr>
        <w:t>ntead</w:t>
      </w:r>
      <w:r>
        <w:rPr>
          <w:rFonts w:ascii="Times New Roman" w:cs="Times New Roman" w:hAnsi="Times New Roman"/>
          <w:sz w:val="24"/>
          <w:szCs w:val="24"/>
        </w:rPr>
        <w:t>o</w:t>
      </w:r>
      <w:r>
        <w:rPr>
          <w:rFonts w:ascii="Times New Roman" w:cs="Times New Roman" w:hAnsi="Times New Roman"/>
          <w:sz w:val="24"/>
          <w:szCs w:val="24"/>
        </w:rPr>
        <w:t>s por el Colegio Americano</w:t>
      </w:r>
      <w:r>
        <w:rPr>
          <w:rFonts w:ascii="Times New Roman" w:cs="Times New Roman" w:hAnsi="Times New Roman"/>
          <w:sz w:val="24"/>
          <w:szCs w:val="24"/>
        </w:rPr>
        <w:t xml:space="preserve"> de Reumatología están las aftas bucales ,c</w:t>
      </w:r>
      <w:r>
        <w:rPr>
          <w:rFonts w:ascii="Times New Roman" w:cs="Times New Roman" w:hAnsi="Times New Roman"/>
          <w:sz w:val="24"/>
          <w:szCs w:val="24"/>
        </w:rPr>
        <w:t>on determinadas características</w:t>
      </w:r>
      <w:r>
        <w:rPr>
          <w:rFonts w:ascii="Times New Roman" w:cs="Times New Roman" w:hAnsi="Times New Roman"/>
          <w:sz w:val="24"/>
          <w:szCs w:val="24"/>
        </w:rPr>
        <w:t xml:space="preserve"> que debe conocer el especialista bucal</w:t>
      </w:r>
      <w:r>
        <w:rPr>
          <w:rFonts w:ascii="Times New Roman" w:cs="Times New Roman" w:hAnsi="Times New Roman"/>
          <w:sz w:val="24"/>
          <w:szCs w:val="24"/>
        </w:rPr>
        <w:t>, además el tratamiento odontológico de estos pacien</w:t>
      </w:r>
      <w:r>
        <w:rPr>
          <w:rFonts w:ascii="Times New Roman" w:cs="Times New Roman" w:hAnsi="Times New Roman"/>
          <w:sz w:val="24"/>
          <w:szCs w:val="24"/>
        </w:rPr>
        <w:t>tes tiene requisitos especiales</w:t>
      </w:r>
      <w:r>
        <w:rPr>
          <w:rFonts w:ascii="Times New Roman" w:cs="Times New Roman" w:hAnsi="Times New Roman"/>
          <w:sz w:val="24"/>
          <w:szCs w:val="24"/>
        </w:rPr>
        <w:t>.</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Debilidad.</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Existe</w:t>
      </w:r>
      <w:r>
        <w:rPr>
          <w:rFonts w:ascii="Times New Roman" w:cs="Times New Roman" w:hAnsi="Times New Roman"/>
          <w:sz w:val="24"/>
          <w:szCs w:val="24"/>
        </w:rPr>
        <w:t>n dificultades</w:t>
      </w:r>
      <w:r>
        <w:rPr>
          <w:rFonts w:ascii="Times New Roman" w:cs="Times New Roman" w:hAnsi="Times New Roman"/>
          <w:sz w:val="24"/>
          <w:szCs w:val="24"/>
        </w:rPr>
        <w:t xml:space="preserve"> en la </w:t>
      </w:r>
      <w:r>
        <w:rPr>
          <w:rFonts w:ascii="Times New Roman" w:cs="Times New Roman" w:hAnsi="Times New Roman"/>
          <w:sz w:val="24"/>
          <w:szCs w:val="24"/>
        </w:rPr>
        <w:t>aplicación, en</w:t>
      </w:r>
      <w:r>
        <w:rPr>
          <w:rFonts w:ascii="Times New Roman" w:cs="Times New Roman" w:hAnsi="Times New Roman"/>
          <w:sz w:val="24"/>
          <w:szCs w:val="24"/>
        </w:rPr>
        <w:t xml:space="preserve"> la práctica de las señales de alarma de las manifestaciones buca</w:t>
      </w:r>
      <w:r>
        <w:rPr>
          <w:rFonts w:ascii="Times New Roman" w:cs="Times New Roman" w:hAnsi="Times New Roman"/>
          <w:sz w:val="24"/>
          <w:szCs w:val="24"/>
        </w:rPr>
        <w:t xml:space="preserve">les y otras enfermedades. </w:t>
      </w:r>
      <w:r>
        <w:rPr>
          <w:rFonts w:ascii="Times New Roman" w:cs="Times New Roman" w:hAnsi="Times New Roman" w:eastAsiaTheme="minorHAnsi"/>
          <w:sz w:val="24"/>
          <w:szCs w:val="24"/>
        </w:rPr>
        <w:t xml:space="preserve">Resulta evidente que los signos y síntomas de patologías bucodentales, tales como úlceras, placas blancas, manchas rojas,  hinchazón, pigmentación anormal y dolor bucodental, hipostesia, movimientos buco facial anormal, halitosis y sequedad bucal, pueden ser manifestaciones tempranas de enfermedades crónicas en otros órganos. En este contexto, es importante reconocer la relación bidireccional y entre las enfermedades bucodentales y las cardiovasculares, así como la importancia de las </w:t>
      </w:r>
      <w:r>
        <w:rPr>
          <w:rFonts w:ascii="Times New Roman" w:cs="Times New Roman" w:hAnsi="Times New Roman" w:eastAsiaTheme="minorHAnsi"/>
          <w:sz w:val="24"/>
          <w:szCs w:val="24"/>
        </w:rPr>
        <w:t xml:space="preserve">manifestaciones </w:t>
      </w:r>
      <w:r>
        <w:rPr>
          <w:rFonts w:ascii="Times New Roman" w:cs="Times New Roman" w:hAnsi="Times New Roman" w:eastAsiaTheme="minorHAnsi"/>
          <w:sz w:val="24"/>
          <w:szCs w:val="24"/>
        </w:rPr>
        <w:t>bucodentales como “aviso temprano” de una enfermedad</w:t>
      </w:r>
      <w:r>
        <w:rPr>
          <w:rFonts w:ascii="Times New Roman" w:cs="Times New Roman" w:hAnsi="Times New Roman" w:eastAsiaTheme="minorHAnsi"/>
          <w:sz w:val="24"/>
          <w:szCs w:val="24"/>
        </w:rPr>
        <w:t>.</w:t>
      </w:r>
    </w:p>
    <w:p>
      <w:pPr>
        <w:pStyle w:val="style0"/>
        <w:autoSpaceDE w:val="false"/>
        <w:autoSpaceDN w:val="false"/>
        <w:adjustRightInd w:val="false"/>
        <w:spacing w:after="0" w:lineRule="auto" w:line="360"/>
        <w:rPr>
          <w:rFonts w:ascii="Times New Roman" w:cs="Times New Roman" w:hAnsi="Times New Roman" w:eastAsiaTheme="minorHAnsi"/>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Existen otras enfermedades endocrinas-metabólicas con manifestaciones </w:t>
      </w:r>
      <w:r>
        <w:rPr>
          <w:rFonts w:ascii="Times New Roman" w:cs="Times New Roman" w:hAnsi="Times New Roman"/>
          <w:sz w:val="24"/>
          <w:szCs w:val="24"/>
        </w:rPr>
        <w:t>bucales, como la diabetes, de una gran prevalencia en el mundo,</w:t>
      </w:r>
      <w:r>
        <w:rPr>
          <w:rFonts w:ascii="Times New Roman" w:cs="Times New Roman" w:hAnsi="Times New Roman"/>
          <w:sz w:val="24"/>
          <w:szCs w:val="24"/>
        </w:rPr>
        <w:t xml:space="preserve"> enfermedades sanguíneas, déficit de vitaminas, enfermedades producidas por bacterias y virus, enfermedades, derm</w:t>
      </w:r>
      <w:r>
        <w:rPr>
          <w:rFonts w:ascii="Times New Roman" w:cs="Times New Roman" w:hAnsi="Times New Roman"/>
          <w:sz w:val="24"/>
          <w:szCs w:val="24"/>
        </w:rPr>
        <w:t>atológicas, enfermedades ósea.</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Falta de capacitación teórica y práctica de comprensión de señales de alarma de l</w:t>
      </w:r>
      <w:r>
        <w:rPr>
          <w:rFonts w:ascii="Times New Roman" w:cs="Times New Roman" w:hAnsi="Times New Roman"/>
          <w:b/>
          <w:sz w:val="24"/>
          <w:szCs w:val="24"/>
        </w:rPr>
        <w:t>as manifestaciones bucales, como aviso temprano, de una enfermedad.</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Pilar 3</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Integración con el personal sanitario de otras áreas de salud</w:t>
      </w:r>
      <w:r>
        <w:rPr>
          <w:rFonts w:ascii="Times New Roman" w:cs="Times New Roman" w:hAnsi="Times New Roman"/>
          <w:b/>
          <w:sz w:val="24"/>
          <w:szCs w:val="24"/>
        </w:rPr>
        <w:t>.</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Fortaleza</w:t>
      </w:r>
      <w:r>
        <w:rPr>
          <w:rFonts w:ascii="Times New Roman" w:cs="Times New Roman" w:hAnsi="Times New Roman"/>
          <w:b/>
          <w:sz w:val="24"/>
          <w:szCs w:val="24"/>
        </w:rPr>
        <w:t>.</w:t>
      </w:r>
    </w:p>
    <w:p>
      <w:pPr>
        <w:pStyle w:val="style0"/>
        <w:spacing w:lineRule="auto" w:line="360"/>
        <w:rPr>
          <w:rFonts w:ascii="Times New Roman" w:cs="Times New Roman" w:hAnsi="Times New Roman"/>
          <w:color w:val="000000"/>
          <w:sz w:val="24"/>
          <w:szCs w:val="24"/>
        </w:rPr>
      </w:pPr>
      <w:r>
        <w:rPr>
          <w:rFonts w:ascii="Times New Roman" w:cs="Times New Roman" w:hAnsi="Times New Roman"/>
          <w:sz w:val="24"/>
          <w:szCs w:val="24"/>
        </w:rPr>
        <w:t xml:space="preserve"> </w:t>
      </w:r>
      <w:r>
        <w:rPr>
          <w:rFonts w:ascii="Times New Roman" w:cs="Times New Roman" w:hAnsi="Times New Roman"/>
          <w:color w:val="000000"/>
          <w:sz w:val="24"/>
          <w:szCs w:val="24"/>
        </w:rPr>
        <w:t>E</w:t>
      </w:r>
      <w:r>
        <w:rPr>
          <w:rFonts w:ascii="Times New Roman" w:cs="Times New Roman" w:hAnsi="Times New Roman"/>
          <w:color w:val="000000"/>
          <w:sz w:val="24"/>
          <w:szCs w:val="24"/>
        </w:rPr>
        <w:t>n e</w:t>
      </w:r>
      <w:r>
        <w:rPr>
          <w:rFonts w:ascii="Times New Roman" w:cs="Times New Roman" w:hAnsi="Times New Roman"/>
          <w:color w:val="000000"/>
          <w:sz w:val="24"/>
          <w:szCs w:val="24"/>
        </w:rPr>
        <w:t>l área de salud</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los estudiantes y  profesionales de la salud </w:t>
      </w:r>
      <w:r>
        <w:rPr>
          <w:rFonts w:ascii="Times New Roman" w:cs="Times New Roman" w:hAnsi="Times New Roman"/>
          <w:color w:val="000000"/>
          <w:sz w:val="24"/>
          <w:szCs w:val="24"/>
        </w:rPr>
        <w:t>bucodental, al</w:t>
      </w:r>
      <w:r>
        <w:rPr>
          <w:rFonts w:ascii="Times New Roman" w:cs="Times New Roman" w:hAnsi="Times New Roman"/>
          <w:color w:val="000000"/>
          <w:sz w:val="24"/>
          <w:szCs w:val="24"/>
        </w:rPr>
        <w:t xml:space="preserve"> igual que en todo el </w:t>
      </w:r>
      <w:r>
        <w:rPr>
          <w:rFonts w:ascii="Times New Roman" w:cs="Times New Roman" w:hAnsi="Times New Roman"/>
          <w:color w:val="000000"/>
          <w:sz w:val="24"/>
          <w:szCs w:val="24"/>
        </w:rPr>
        <w:t>país, hemos</w:t>
      </w:r>
      <w:r>
        <w:rPr>
          <w:rFonts w:ascii="Times New Roman" w:cs="Times New Roman" w:hAnsi="Times New Roman"/>
          <w:color w:val="000000"/>
          <w:sz w:val="24"/>
          <w:szCs w:val="24"/>
        </w:rPr>
        <w:t xml:space="preserve"> estado </w:t>
      </w:r>
      <w:r>
        <w:rPr>
          <w:rFonts w:ascii="Times New Roman" w:cs="Times New Roman" w:hAnsi="Times New Roman"/>
          <w:color w:val="000000"/>
          <w:sz w:val="24"/>
          <w:szCs w:val="24"/>
        </w:rPr>
        <w:t>integrados</w:t>
      </w:r>
      <w:r>
        <w:rPr>
          <w:rFonts w:ascii="Times New Roman" w:cs="Times New Roman" w:hAnsi="Times New Roman"/>
          <w:color w:val="000000"/>
          <w:sz w:val="24"/>
          <w:szCs w:val="24"/>
        </w:rPr>
        <w:t xml:space="preserve"> con el personal sanitario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de otras áreas de </w:t>
      </w:r>
      <w:r>
        <w:rPr>
          <w:rFonts w:ascii="Times New Roman" w:cs="Times New Roman" w:hAnsi="Times New Roman"/>
          <w:color w:val="000000"/>
          <w:sz w:val="24"/>
          <w:szCs w:val="24"/>
        </w:rPr>
        <w:t>salud.</w:t>
      </w:r>
    </w:p>
    <w:p>
      <w:pPr>
        <w:pStyle w:val="style179"/>
        <w:numPr>
          <w:ilvl w:val="0"/>
          <w:numId w:val="1"/>
        </w:numPr>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 xml:space="preserve">Con el área de </w:t>
      </w:r>
      <w:r>
        <w:rPr>
          <w:rFonts w:ascii="Times New Roman" w:cs="Times New Roman" w:hAnsi="Times New Roman"/>
          <w:color w:val="000000"/>
          <w:sz w:val="24"/>
          <w:szCs w:val="24"/>
        </w:rPr>
        <w:t xml:space="preserve"> Higiene y </w:t>
      </w:r>
      <w:r>
        <w:rPr>
          <w:rFonts w:ascii="Times New Roman" w:cs="Times New Roman" w:hAnsi="Times New Roman"/>
          <w:color w:val="000000"/>
          <w:sz w:val="24"/>
          <w:szCs w:val="24"/>
        </w:rPr>
        <w:t>Epidemiología, en</w:t>
      </w:r>
      <w:r>
        <w:rPr>
          <w:rFonts w:ascii="Times New Roman" w:cs="Times New Roman" w:hAnsi="Times New Roman"/>
          <w:color w:val="000000"/>
          <w:sz w:val="24"/>
          <w:szCs w:val="24"/>
        </w:rPr>
        <w:t xml:space="preserve"> el auto </w:t>
      </w:r>
      <w:r>
        <w:rPr>
          <w:rFonts w:ascii="Times New Roman" w:cs="Times New Roman" w:hAnsi="Times New Roman"/>
          <w:color w:val="000000"/>
          <w:sz w:val="24"/>
          <w:szCs w:val="24"/>
        </w:rPr>
        <w:t>focal, en</w:t>
      </w:r>
      <w:r>
        <w:rPr>
          <w:rFonts w:ascii="Times New Roman" w:cs="Times New Roman" w:hAnsi="Times New Roman"/>
          <w:color w:val="000000"/>
          <w:sz w:val="24"/>
          <w:szCs w:val="24"/>
        </w:rPr>
        <w:t xml:space="preserve"> la Campa</w:t>
      </w:r>
      <w:r>
        <w:rPr>
          <w:rFonts w:ascii="Times New Roman" w:cs="Times New Roman" w:hAnsi="Times New Roman"/>
          <w:color w:val="000000"/>
          <w:sz w:val="24"/>
          <w:szCs w:val="24"/>
        </w:rPr>
        <w:t xml:space="preserve">ña contra el Mosquito Aedes </w:t>
      </w:r>
      <w:r>
        <w:rPr>
          <w:rFonts w:ascii="Times New Roman" w:cs="Times New Roman" w:hAnsi="Times New Roman"/>
          <w:color w:val="000000"/>
          <w:sz w:val="24"/>
          <w:szCs w:val="24"/>
        </w:rPr>
        <w:t>Aegipity,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y contra el cólera, en el momento que existía en el país.</w:t>
      </w:r>
    </w:p>
    <w:p>
      <w:pPr>
        <w:pStyle w:val="style179"/>
        <w:numPr>
          <w:ilvl w:val="0"/>
          <w:numId w:val="1"/>
        </w:numPr>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 xml:space="preserve">En </w:t>
      </w:r>
      <w:r>
        <w:rPr>
          <w:rFonts w:ascii="Times New Roman" w:cs="Times New Roman" w:hAnsi="Times New Roman"/>
          <w:color w:val="000000"/>
          <w:sz w:val="24"/>
          <w:szCs w:val="24"/>
        </w:rPr>
        <w:t xml:space="preserve"> la pandemia de la covid-19,  en el pesquisaje al personal de consultorios médicos de la familia ,en el control y supervisión</w:t>
      </w:r>
      <w:r>
        <w:rPr>
          <w:rFonts w:ascii="Times New Roman" w:cs="Times New Roman" w:hAnsi="Times New Roman"/>
          <w:color w:val="000000"/>
          <w:sz w:val="24"/>
          <w:szCs w:val="24"/>
        </w:rPr>
        <w:t xml:space="preserve"> de focos de la covid-19,formando parte de los puestos de mando del área de </w:t>
      </w:r>
      <w:r>
        <w:rPr>
          <w:rFonts w:ascii="Times New Roman" w:cs="Times New Roman" w:hAnsi="Times New Roman"/>
          <w:color w:val="000000"/>
          <w:sz w:val="24"/>
          <w:szCs w:val="24"/>
        </w:rPr>
        <w:t>salud, y</w:t>
      </w:r>
      <w:r>
        <w:rPr>
          <w:rFonts w:ascii="Times New Roman" w:cs="Times New Roman" w:hAnsi="Times New Roman"/>
          <w:color w:val="000000"/>
          <w:sz w:val="24"/>
          <w:szCs w:val="24"/>
        </w:rPr>
        <w:t xml:space="preserve"> participando unido al especialista de análisis</w:t>
      </w:r>
      <w:r>
        <w:rPr>
          <w:rFonts w:ascii="Times New Roman" w:cs="Times New Roman" w:hAnsi="Times New Roman"/>
          <w:color w:val="000000"/>
          <w:sz w:val="24"/>
          <w:szCs w:val="24"/>
        </w:rPr>
        <w:t xml:space="preserve"> clínico-</w:t>
      </w:r>
      <w:r>
        <w:rPr>
          <w:rFonts w:ascii="Times New Roman" w:cs="Times New Roman" w:hAnsi="Times New Roman"/>
          <w:color w:val="000000"/>
          <w:sz w:val="24"/>
          <w:szCs w:val="24"/>
        </w:rPr>
        <w:t>bioquímicos</w:t>
      </w:r>
      <w:r>
        <w:rPr>
          <w:rFonts w:ascii="Times New Roman" w:cs="Times New Roman" w:hAnsi="Times New Roman"/>
          <w:color w:val="000000"/>
          <w:sz w:val="24"/>
          <w:szCs w:val="24"/>
        </w:rPr>
        <w:t xml:space="preserve"> en hacer el test de </w:t>
      </w:r>
      <w:r>
        <w:rPr>
          <w:rFonts w:ascii="Times New Roman" w:cs="Times New Roman" w:hAnsi="Times New Roman"/>
          <w:color w:val="000000"/>
          <w:sz w:val="24"/>
          <w:szCs w:val="24"/>
        </w:rPr>
        <w:t>antígenos, en</w:t>
      </w:r>
      <w:r>
        <w:rPr>
          <w:rFonts w:ascii="Times New Roman" w:cs="Times New Roman" w:hAnsi="Times New Roman"/>
          <w:color w:val="000000"/>
          <w:sz w:val="24"/>
          <w:szCs w:val="24"/>
        </w:rPr>
        <w:t xml:space="preserve"> la comunidad cuando es necesario,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w:t>
      </w:r>
    </w:p>
    <w:p>
      <w:pPr>
        <w:pStyle w:val="style179"/>
        <w:numPr>
          <w:ilvl w:val="0"/>
          <w:numId w:val="1"/>
        </w:numPr>
        <w:spacing w:lineRule="auto" w:line="360"/>
        <w:rPr>
          <w:rFonts w:ascii="Times New Roman" w:cs="Times New Roman" w:hAnsi="Times New Roman"/>
          <w:sz w:val="24"/>
          <w:szCs w:val="24"/>
        </w:rPr>
      </w:pPr>
      <w:r>
        <w:rPr>
          <w:rFonts w:ascii="Times New Roman" w:cs="Times New Roman" w:hAnsi="Times New Roman"/>
          <w:color w:val="000000"/>
          <w:sz w:val="24"/>
          <w:szCs w:val="24"/>
        </w:rPr>
        <w:t>E</w:t>
      </w:r>
      <w:r>
        <w:rPr>
          <w:rFonts w:ascii="Times New Roman" w:cs="Times New Roman" w:hAnsi="Times New Roman"/>
          <w:color w:val="000000"/>
          <w:sz w:val="24"/>
          <w:szCs w:val="24"/>
        </w:rPr>
        <w:t xml:space="preserve">n estos momentos todos los estomatólogos, nos capacitamos para vacunar en la intervención sanitaria masiva que se </w:t>
      </w:r>
      <w:r>
        <w:rPr>
          <w:rFonts w:ascii="Times New Roman" w:cs="Times New Roman" w:hAnsi="Times New Roman"/>
          <w:color w:val="000000"/>
          <w:sz w:val="24"/>
          <w:szCs w:val="24"/>
        </w:rPr>
        <w:t>realizará</w:t>
      </w:r>
      <w:r>
        <w:rPr>
          <w:rFonts w:ascii="Times New Roman" w:cs="Times New Roman" w:hAnsi="Times New Roman"/>
          <w:color w:val="000000"/>
          <w:sz w:val="24"/>
          <w:szCs w:val="24"/>
        </w:rPr>
        <w:t>, con</w:t>
      </w:r>
      <w:r>
        <w:rPr>
          <w:rFonts w:ascii="Times New Roman" w:cs="Times New Roman" w:hAnsi="Times New Roman"/>
          <w:color w:val="000000"/>
          <w:sz w:val="24"/>
          <w:szCs w:val="24"/>
        </w:rPr>
        <w:t xml:space="preserve"> los candidatos vacúnales y</w:t>
      </w:r>
      <w:r>
        <w:rPr>
          <w:rFonts w:ascii="Times New Roman" w:cs="Times New Roman" w:hAnsi="Times New Roman"/>
          <w:color w:val="000000"/>
          <w:sz w:val="24"/>
          <w:szCs w:val="24"/>
        </w:rPr>
        <w:t xml:space="preserve"> la vacuna</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cubana de la covid-19, en integración con el personal sanitario de enfermería.</w:t>
      </w:r>
    </w:p>
    <w:p>
      <w:pPr>
        <w:pStyle w:val="style0"/>
        <w:spacing w:lineRule="auto" w:line="360"/>
        <w:rPr>
          <w:rFonts w:ascii="Times New Roman" w:cs="Times New Roman" w:hAnsi="Times New Roman"/>
          <w:color w:val="414142"/>
          <w:sz w:val="24"/>
          <w:szCs w:val="24"/>
        </w:rPr>
      </w:pPr>
      <w:r>
        <w:rPr>
          <w:rFonts w:ascii="Times New Roman" w:cs="Times New Roman" w:hAnsi="Times New Roman"/>
          <w:sz w:val="24"/>
          <w:szCs w:val="24"/>
        </w:rPr>
        <w:t>E</w:t>
      </w:r>
      <w:r>
        <w:rPr>
          <w:rFonts w:ascii="Times New Roman" w:cs="Times New Roman" w:hAnsi="Times New Roman"/>
          <w:sz w:val="24"/>
          <w:szCs w:val="24"/>
        </w:rPr>
        <w:t xml:space="preserve">l Convenio de </w:t>
      </w:r>
      <w:r>
        <w:rPr>
          <w:rFonts w:ascii="Times New Roman" w:cs="Times New Roman" w:hAnsi="Times New Roman"/>
          <w:sz w:val="24"/>
          <w:szCs w:val="24"/>
        </w:rPr>
        <w:t>Minamata, es</w:t>
      </w:r>
      <w:r>
        <w:rPr>
          <w:rFonts w:ascii="Times New Roman" w:cs="Times New Roman" w:hAnsi="Times New Roman"/>
          <w:color w:val="000000"/>
          <w:sz w:val="24"/>
          <w:szCs w:val="24"/>
        </w:rPr>
        <w:t xml:space="preserve"> el primer acuerdo ambiental mundial negociado en el siglo XXI. El texto fue adoptado el 10 de octubre de 2013, abierto a su firma hasta el 9 de octubre de 2014 y en agosto de 2017 entró en vigor. Trata </w:t>
      </w:r>
      <w:r>
        <w:rPr>
          <w:rFonts w:ascii="Times New Roman" w:cs="Times New Roman" w:hAnsi="Times New Roman"/>
          <w:sz w:val="24"/>
          <w:szCs w:val="24"/>
        </w:rPr>
        <w:t xml:space="preserve">sobre el Mercurio del Programa de las Naciones Unidas para el Medio Ambiente (PNUMA) requiere una disminución gradual en el uso de amalgamas y la gestión de los desechos de amalgamas con base en las mejores prácticas, basándose en nueve </w:t>
      </w:r>
      <w:r>
        <w:rPr>
          <w:rFonts w:ascii="Times New Roman" w:cs="Times New Roman" w:hAnsi="Times New Roman"/>
          <w:sz w:val="24"/>
          <w:szCs w:val="24"/>
        </w:rPr>
        <w:t>disposiciones.</w:t>
      </w:r>
      <w:r>
        <w:rPr>
          <w:rFonts w:ascii="Times New Roman" w:cs="Times New Roman" w:hAnsi="Times New Roman"/>
          <w:sz w:val="24"/>
          <w:szCs w:val="24"/>
          <w:vertAlign w:val="superscript"/>
        </w:rPr>
        <w:t xml:space="preserve"> (7)</w:t>
      </w:r>
      <w:r>
        <w:rPr>
          <w:rFonts w:ascii="Times New Roman" w:cs="Times New Roman" w:hAnsi="Times New Roman"/>
          <w:sz w:val="24"/>
          <w:szCs w:val="24"/>
        </w:rPr>
        <w:t xml:space="preserve"> La FDI respalda plenamente el Convenio de Minamata sobre el Mercurio, y se insta a los países a adoptar más que las dos medidas</w:t>
      </w:r>
      <w:r>
        <w:rPr>
          <w:rFonts w:ascii="Times New Roman" w:cs="Times New Roman" w:hAnsi="Times New Roman"/>
          <w:sz w:val="24"/>
          <w:szCs w:val="24"/>
        </w:rPr>
        <w:t xml:space="preserve"> requeridas para cumplir con el anexo A, parte II, del convenio para la disminución gradual del uso de las amalgamas dentales.</w:t>
      </w:r>
      <w:r>
        <w:rPr>
          <w:rFonts w:ascii="Times New Roman" w:cs="Times New Roman" w:hAnsi="Times New Roman"/>
          <w:sz w:val="24"/>
          <w:szCs w:val="24"/>
          <w:vertAlign w:val="superscript"/>
        </w:rPr>
        <w:t>(1)</w:t>
      </w:r>
      <w:r>
        <w:rPr>
          <w:rFonts w:ascii="Times New Roman" w:cs="Times New Roman" w:hAnsi="Times New Roman"/>
          <w:sz w:val="24"/>
          <w:szCs w:val="24"/>
        </w:rPr>
        <w:t xml:space="preserve"> El Convenio de Minamata presenta una oportunidad única para la profesión a fin de destacar la importancia de la prevención de las caries dentales a nivel de la atención primaria, como estrategia óptima para ir desterrando gradualmente el uso de las amalgamas dentales.</w:t>
      </w:r>
      <w:r>
        <w:rPr>
          <w:rFonts w:ascii="Times New Roman" w:cs="Times New Roman" w:hAnsi="Times New Roman"/>
          <w:color w:val="414142"/>
          <w:sz w:val="24"/>
          <w:szCs w:val="24"/>
        </w:rPr>
        <w:t xml:space="preserve"> </w:t>
      </w:r>
      <w:r>
        <w:rPr>
          <w:rFonts w:ascii="Times New Roman" w:cs="Times New Roman" w:hAnsi="Times New Roman"/>
          <w:color w:val="414142"/>
          <w:sz w:val="24"/>
          <w:szCs w:val="24"/>
        </w:rPr>
        <w:t>Cuba, como</w:t>
      </w:r>
      <w:r>
        <w:rPr>
          <w:rFonts w:ascii="Times New Roman" w:cs="Times New Roman" w:hAnsi="Times New Roman"/>
          <w:color w:val="414142"/>
          <w:sz w:val="24"/>
          <w:szCs w:val="24"/>
        </w:rPr>
        <w:t xml:space="preserve"> país miembro de la OMS, dentro de los países latinoamericanos fue firmante de la </w:t>
      </w:r>
      <w:r>
        <w:rPr>
          <w:rFonts w:ascii="Times New Roman" w:cs="Times New Roman" w:hAnsi="Times New Roman"/>
          <w:color w:val="414142"/>
          <w:sz w:val="24"/>
          <w:szCs w:val="24"/>
        </w:rPr>
        <w:t>Declaración</w:t>
      </w:r>
      <w:r>
        <w:rPr>
          <w:rFonts w:ascii="Times New Roman" w:cs="Times New Roman" w:hAnsi="Times New Roman"/>
          <w:color w:val="414142"/>
          <w:sz w:val="24"/>
          <w:szCs w:val="24"/>
        </w:rPr>
        <w:t xml:space="preserve"> de Montevideo para promover la participación del sector de la salud en la ratificación y la implementación del Convenio de </w:t>
      </w:r>
      <w:r>
        <w:rPr>
          <w:rFonts w:ascii="Times New Roman" w:cs="Times New Roman" w:hAnsi="Times New Roman"/>
          <w:color w:val="414142"/>
          <w:sz w:val="24"/>
          <w:szCs w:val="24"/>
        </w:rPr>
        <w:t>Minamata, la</w:t>
      </w:r>
      <w:r>
        <w:rPr>
          <w:rFonts w:ascii="Times New Roman" w:cs="Times New Roman" w:hAnsi="Times New Roman"/>
          <w:color w:val="414142"/>
          <w:sz w:val="24"/>
          <w:szCs w:val="24"/>
        </w:rPr>
        <w:t xml:space="preserve"> necesidad de identificar alternativas seguras y rentables a las amalgamas </w:t>
      </w:r>
      <w:r>
        <w:rPr>
          <w:rFonts w:ascii="Times New Roman" w:cs="Times New Roman" w:hAnsi="Times New Roman"/>
          <w:color w:val="414142"/>
          <w:sz w:val="24"/>
          <w:szCs w:val="24"/>
        </w:rPr>
        <w:t xml:space="preserve">dentales, </w:t>
      </w:r>
      <w:r>
        <w:rPr>
          <w:rFonts w:ascii="Times New Roman" w:cs="Times New Roman" w:hAnsi="Times New Roman"/>
          <w:color w:val="414142"/>
          <w:sz w:val="24"/>
          <w:szCs w:val="24"/>
        </w:rPr>
        <w:t xml:space="preserve"> siendo</w:t>
      </w:r>
      <w:r>
        <w:rPr>
          <w:rFonts w:ascii="Times New Roman" w:cs="Times New Roman" w:hAnsi="Times New Roman"/>
          <w:color w:val="414142"/>
          <w:sz w:val="24"/>
          <w:szCs w:val="24"/>
        </w:rPr>
        <w:t xml:space="preserve"> poco</w:t>
      </w:r>
      <w:r>
        <w:rPr>
          <w:rFonts w:ascii="Times New Roman" w:cs="Times New Roman" w:hAnsi="Times New Roman"/>
          <w:color w:val="414142"/>
          <w:sz w:val="24"/>
          <w:szCs w:val="24"/>
        </w:rPr>
        <w:t xml:space="preserve"> conocido dicho documento, ni por los estudiantes de pregrado, ni postgrado.</w:t>
      </w:r>
    </w:p>
    <w:p>
      <w:pPr>
        <w:pStyle w:val="style0"/>
        <w:spacing w:lineRule="auto" w:line="360"/>
        <w:rPr>
          <w:rFonts w:ascii="Times New Roman" w:cs="Times New Roman" w:hAnsi="Times New Roman"/>
          <w:color w:val="414142"/>
          <w:sz w:val="24"/>
          <w:szCs w:val="24"/>
        </w:rPr>
      </w:pPr>
      <w:r>
        <w:rPr>
          <w:rFonts w:ascii="Times New Roman" w:cs="Times New Roman" w:hAnsi="Times New Roman"/>
          <w:color w:val="414142"/>
          <w:sz w:val="24"/>
          <w:szCs w:val="24"/>
        </w:rPr>
        <w:t>Debilidad.</w:t>
      </w:r>
    </w:p>
    <w:p>
      <w:pPr>
        <w:pStyle w:val="style0"/>
        <w:autoSpaceDE w:val="false"/>
        <w:autoSpaceDN w:val="false"/>
        <w:adjustRightInd w:val="false"/>
        <w:spacing w:after="0" w:lineRule="auto" w:line="360"/>
        <w:rPr>
          <w:rFonts w:ascii="Times New Roman" w:cs="Times New Roman" w:hAnsi="Times New Roman"/>
          <w:color w:val="414142"/>
          <w:sz w:val="24"/>
          <w:szCs w:val="24"/>
        </w:rPr>
      </w:pPr>
      <w:r>
        <w:rPr>
          <w:rFonts w:ascii="Times New Roman" w:cs="Times New Roman" w:hAnsi="Times New Roman"/>
          <w:color w:val="414142"/>
          <w:sz w:val="24"/>
          <w:szCs w:val="24"/>
        </w:rPr>
        <w:t xml:space="preserve">En cuanto a la eliminación paulatina de la </w:t>
      </w:r>
      <w:r>
        <w:rPr>
          <w:rFonts w:ascii="Times New Roman" w:cs="Times New Roman" w:hAnsi="Times New Roman"/>
          <w:color w:val="414142"/>
          <w:sz w:val="24"/>
          <w:szCs w:val="24"/>
        </w:rPr>
        <w:t>amalgama</w:t>
      </w:r>
      <w:r>
        <w:rPr>
          <w:rFonts w:ascii="Times New Roman" w:cs="Times New Roman" w:hAnsi="Times New Roman"/>
          <w:color w:val="414142"/>
          <w:sz w:val="24"/>
          <w:szCs w:val="24"/>
        </w:rPr>
        <w:t xml:space="preserve"> hasta el </w:t>
      </w:r>
      <w:r>
        <w:rPr>
          <w:rFonts w:ascii="Times New Roman" w:cs="Times New Roman" w:hAnsi="Times New Roman"/>
          <w:color w:val="414142"/>
          <w:sz w:val="24"/>
          <w:szCs w:val="24"/>
        </w:rPr>
        <w:t>2030,</w:t>
      </w:r>
      <w:r>
        <w:rPr>
          <w:rFonts w:ascii="Times New Roman" w:cs="Times New Roman" w:hAnsi="Times New Roman"/>
          <w:color w:val="414142"/>
          <w:sz w:val="24"/>
          <w:szCs w:val="24"/>
        </w:rPr>
        <w:t xml:space="preserve"> debemos</w:t>
      </w:r>
      <w:r>
        <w:rPr>
          <w:rFonts w:ascii="Times New Roman" w:cs="Times New Roman" w:hAnsi="Times New Roman"/>
          <w:color w:val="414142"/>
          <w:sz w:val="24"/>
          <w:szCs w:val="24"/>
        </w:rPr>
        <w:t xml:space="preserve"> tener presente que en el actual contexto </w:t>
      </w:r>
      <w:r>
        <w:rPr>
          <w:rFonts w:ascii="Times New Roman" w:cs="Times New Roman" w:hAnsi="Times New Roman"/>
          <w:color w:val="414142"/>
          <w:sz w:val="24"/>
          <w:szCs w:val="24"/>
        </w:rPr>
        <w:t xml:space="preserve">cubano, en estos momentos, no es posible prescindir totalmente de </w:t>
      </w:r>
      <w:r>
        <w:rPr>
          <w:rFonts w:ascii="Times New Roman" w:cs="Times New Roman" w:hAnsi="Times New Roman"/>
          <w:color w:val="414142"/>
          <w:sz w:val="24"/>
          <w:szCs w:val="24"/>
        </w:rPr>
        <w:t>ella, porque</w:t>
      </w:r>
      <w:r>
        <w:rPr>
          <w:rFonts w:ascii="Times New Roman" w:cs="Times New Roman" w:hAnsi="Times New Roman"/>
          <w:color w:val="414142"/>
          <w:sz w:val="24"/>
          <w:szCs w:val="24"/>
        </w:rPr>
        <w:t xml:space="preserve"> es </w:t>
      </w:r>
      <w:r>
        <w:rPr>
          <w:rFonts w:ascii="Times New Roman" w:cs="Times New Roman" w:hAnsi="Times New Roman"/>
          <w:color w:val="414142"/>
          <w:sz w:val="24"/>
          <w:szCs w:val="24"/>
        </w:rPr>
        <w:t>más</w:t>
      </w:r>
      <w:r>
        <w:rPr>
          <w:rFonts w:ascii="Times New Roman" w:cs="Times New Roman" w:hAnsi="Times New Roman"/>
          <w:color w:val="414142"/>
          <w:sz w:val="24"/>
          <w:szCs w:val="24"/>
        </w:rPr>
        <w:t xml:space="preserve"> </w:t>
      </w:r>
      <w:r>
        <w:rPr>
          <w:rFonts w:ascii="Times New Roman" w:cs="Times New Roman" w:hAnsi="Times New Roman"/>
          <w:color w:val="414142"/>
          <w:sz w:val="24"/>
          <w:szCs w:val="24"/>
        </w:rPr>
        <w:t>duradera, menos</w:t>
      </w:r>
      <w:r>
        <w:rPr>
          <w:rFonts w:ascii="Times New Roman" w:cs="Times New Roman" w:hAnsi="Times New Roman"/>
          <w:color w:val="414142"/>
          <w:sz w:val="24"/>
          <w:szCs w:val="24"/>
        </w:rPr>
        <w:t xml:space="preserve"> </w:t>
      </w:r>
      <w:r>
        <w:rPr>
          <w:rFonts w:ascii="Times New Roman" w:cs="Times New Roman" w:hAnsi="Times New Roman"/>
          <w:color w:val="414142"/>
          <w:sz w:val="24"/>
          <w:szCs w:val="24"/>
        </w:rPr>
        <w:t>costosa, es</w:t>
      </w:r>
      <w:r>
        <w:rPr>
          <w:rFonts w:ascii="Times New Roman" w:cs="Times New Roman" w:hAnsi="Times New Roman"/>
          <w:color w:val="414142"/>
          <w:sz w:val="24"/>
          <w:szCs w:val="24"/>
        </w:rPr>
        <w:t xml:space="preserve"> utilizada hace </w:t>
      </w:r>
      <w:r>
        <w:rPr>
          <w:rFonts w:ascii="Times New Roman" w:cs="Times New Roman" w:hAnsi="Times New Roman"/>
          <w:color w:val="414142"/>
          <w:sz w:val="24"/>
          <w:szCs w:val="24"/>
        </w:rPr>
        <w:t>más</w:t>
      </w:r>
      <w:r>
        <w:rPr>
          <w:rFonts w:ascii="Times New Roman" w:cs="Times New Roman" w:hAnsi="Times New Roman"/>
          <w:color w:val="414142"/>
          <w:sz w:val="24"/>
          <w:szCs w:val="24"/>
        </w:rPr>
        <w:t xml:space="preserve"> 150 </w:t>
      </w:r>
      <w:r>
        <w:rPr>
          <w:rFonts w:ascii="Times New Roman" w:cs="Times New Roman" w:hAnsi="Times New Roman"/>
          <w:color w:val="414142"/>
          <w:sz w:val="24"/>
          <w:szCs w:val="24"/>
        </w:rPr>
        <w:t>años, pero</w:t>
      </w:r>
      <w:r>
        <w:rPr>
          <w:rFonts w:ascii="Times New Roman" w:cs="Times New Roman" w:hAnsi="Times New Roman"/>
          <w:color w:val="414142"/>
          <w:sz w:val="24"/>
          <w:szCs w:val="24"/>
        </w:rPr>
        <w:t xml:space="preserve"> si debemos</w:t>
      </w:r>
      <w:r>
        <w:rPr>
          <w:rFonts w:ascii="Times New Roman" w:cs="Times New Roman" w:hAnsi="Times New Roman"/>
          <w:color w:val="414142"/>
          <w:sz w:val="24"/>
          <w:szCs w:val="24"/>
        </w:rPr>
        <w:t xml:space="preserve"> tomar</w:t>
      </w:r>
      <w:r>
        <w:rPr>
          <w:rFonts w:ascii="Times New Roman" w:cs="Times New Roman" w:hAnsi="Times New Roman"/>
          <w:color w:val="414142"/>
          <w:sz w:val="24"/>
          <w:szCs w:val="24"/>
        </w:rPr>
        <w:t xml:space="preserve"> precauciones que </w:t>
      </w:r>
      <w:r>
        <w:rPr>
          <w:rFonts w:ascii="Times New Roman" w:cs="Times New Roman" w:hAnsi="Times New Roman"/>
          <w:color w:val="414142"/>
          <w:sz w:val="24"/>
          <w:szCs w:val="24"/>
        </w:rPr>
        <w:t>eliminen los riesgos de pacientes y personal estomatológico.</w:t>
      </w:r>
      <w:r>
        <w:rPr>
          <w:rFonts w:ascii="Times New Roman" w:cs="Times New Roman" w:hAnsi="Times New Roman"/>
          <w:color w:val="414142"/>
          <w:sz w:val="24"/>
          <w:szCs w:val="24"/>
        </w:rPr>
        <w:t xml:space="preserve"> </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Excepto, conservar las sobras de amalgamas en envases </w:t>
      </w:r>
      <w:r>
        <w:rPr>
          <w:rFonts w:ascii="Times New Roman" w:cs="Times New Roman" w:hAnsi="Times New Roman"/>
          <w:sz w:val="24"/>
          <w:szCs w:val="24"/>
        </w:rPr>
        <w:t xml:space="preserve">cerrados, los </w:t>
      </w:r>
      <w:r>
        <w:rPr>
          <w:rFonts w:ascii="Times New Roman" w:cs="Times New Roman" w:hAnsi="Times New Roman"/>
          <w:sz w:val="24"/>
          <w:szCs w:val="24"/>
        </w:rPr>
        <w:t>demás</w:t>
      </w:r>
      <w:r>
        <w:rPr>
          <w:rFonts w:ascii="Times New Roman" w:cs="Times New Roman" w:hAnsi="Times New Roman"/>
          <w:sz w:val="24"/>
          <w:szCs w:val="24"/>
        </w:rPr>
        <w:t xml:space="preserve"> </w:t>
      </w:r>
      <w:r>
        <w:rPr>
          <w:rFonts w:ascii="Times New Roman" w:cs="Times New Roman" w:hAnsi="Times New Roman"/>
          <w:sz w:val="24"/>
          <w:szCs w:val="24"/>
        </w:rPr>
        <w:t>requisitos, para la colocación y retiro de la amalgama, así como las condiciones de bioseguridad que se deben cumplir para su uso,</w:t>
      </w:r>
      <w:r>
        <w:rPr>
          <w:rFonts w:ascii="Times New Roman" w:cs="Times New Roman" w:hAnsi="Times New Roman"/>
          <w:sz w:val="24"/>
          <w:szCs w:val="24"/>
        </w:rPr>
        <w:t xml:space="preserve"> </w:t>
      </w:r>
      <w:r>
        <w:rPr>
          <w:rFonts w:ascii="Times New Roman" w:cs="Times New Roman" w:hAnsi="Times New Roman"/>
          <w:sz w:val="24"/>
          <w:szCs w:val="24"/>
        </w:rPr>
        <w:t xml:space="preserve"> tienen muy poco conocimiento</w:t>
      </w:r>
      <w:r>
        <w:rPr>
          <w:rFonts w:ascii="Times New Roman" w:cs="Times New Roman" w:hAnsi="Times New Roman"/>
          <w:sz w:val="24"/>
          <w:szCs w:val="24"/>
        </w:rPr>
        <w:t xml:space="preserve"> y aplicación en</w:t>
      </w:r>
      <w:r>
        <w:rPr>
          <w:rFonts w:ascii="Times New Roman" w:cs="Times New Roman" w:hAnsi="Times New Roman"/>
          <w:sz w:val="24"/>
          <w:szCs w:val="24"/>
        </w:rPr>
        <w:t>tre</w:t>
      </w:r>
      <w:r>
        <w:rPr>
          <w:rFonts w:ascii="Times New Roman" w:cs="Times New Roman" w:hAnsi="Times New Roman"/>
          <w:sz w:val="24"/>
          <w:szCs w:val="24"/>
        </w:rPr>
        <w:t xml:space="preserve"> los estudiantes de pregrado y pos</w:t>
      </w:r>
      <w:r>
        <w:rPr>
          <w:rFonts w:ascii="Times New Roman" w:cs="Times New Roman" w:hAnsi="Times New Roman"/>
          <w:sz w:val="24"/>
          <w:szCs w:val="24"/>
        </w:rPr>
        <w:t>t</w:t>
      </w:r>
      <w:r>
        <w:rPr>
          <w:rFonts w:ascii="Times New Roman" w:cs="Times New Roman" w:hAnsi="Times New Roman"/>
          <w:sz w:val="24"/>
          <w:szCs w:val="24"/>
        </w:rPr>
        <w:t>-grado que atendemos, teniendo en cuenta las carencias que además existen.</w:t>
      </w:r>
    </w:p>
    <w:p>
      <w:pPr>
        <w:pStyle w:val="style0"/>
        <w:autoSpaceDE w:val="false"/>
        <w:autoSpaceDN w:val="false"/>
        <w:adjustRightInd w:val="false"/>
        <w:spacing w:after="0" w:lineRule="auto" w:line="360"/>
        <w:rPr>
          <w:rFonts w:ascii="Times New Roman" w:cs="Times New Roman" w:hAnsi="Times New Roman"/>
          <w:color w:val="414142"/>
          <w:sz w:val="24"/>
          <w:szCs w:val="24"/>
        </w:rPr>
      </w:pPr>
    </w:p>
    <w:p>
      <w:pPr>
        <w:pStyle w:val="style0"/>
        <w:autoSpaceDE w:val="false"/>
        <w:autoSpaceDN w:val="false"/>
        <w:adjustRightInd w:val="false"/>
        <w:spacing w:after="0" w:lineRule="auto" w:line="360"/>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Falta de conocimientos de la </w:t>
      </w:r>
      <w:r>
        <w:rPr>
          <w:rFonts w:ascii="Times New Roman" w:cs="Times New Roman" w:hAnsi="Times New Roman"/>
          <w:b/>
          <w:color w:val="000000"/>
          <w:sz w:val="24"/>
          <w:szCs w:val="24"/>
        </w:rPr>
        <w:t>Visión</w:t>
      </w:r>
      <w:r>
        <w:rPr>
          <w:rFonts w:ascii="Times New Roman" w:cs="Times New Roman" w:hAnsi="Times New Roman"/>
          <w:b/>
          <w:color w:val="000000"/>
          <w:sz w:val="24"/>
          <w:szCs w:val="24"/>
        </w:rPr>
        <w:t xml:space="preserve"> 2030</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del</w:t>
      </w:r>
      <w:r>
        <w:rPr>
          <w:rFonts w:ascii="Times New Roman" w:cs="Times New Roman" w:hAnsi="Times New Roman"/>
          <w:b/>
          <w:color w:val="000000"/>
          <w:sz w:val="24"/>
          <w:szCs w:val="24"/>
        </w:rPr>
        <w:t xml:space="preserve"> Convenio de </w:t>
      </w:r>
      <w:r>
        <w:rPr>
          <w:rFonts w:ascii="Times New Roman" w:cs="Times New Roman" w:hAnsi="Times New Roman"/>
          <w:b/>
          <w:color w:val="000000"/>
          <w:sz w:val="24"/>
          <w:szCs w:val="24"/>
        </w:rPr>
        <w:t>Minamata</w:t>
      </w:r>
      <w:r>
        <w:rPr>
          <w:rFonts w:ascii="Times New Roman" w:cs="Times New Roman" w:hAnsi="Times New Roman"/>
          <w:b/>
          <w:color w:val="000000"/>
          <w:sz w:val="24"/>
          <w:szCs w:val="24"/>
        </w:rPr>
        <w:t xml:space="preserve"> y de los requisitos pa</w:t>
      </w:r>
      <w:r>
        <w:rPr>
          <w:rFonts w:ascii="Times New Roman" w:cs="Times New Roman" w:hAnsi="Times New Roman"/>
          <w:b/>
          <w:color w:val="000000"/>
          <w:sz w:val="24"/>
          <w:szCs w:val="24"/>
        </w:rPr>
        <w:t xml:space="preserve">ra el uso de la amalgama </w:t>
      </w:r>
      <w:r>
        <w:rPr>
          <w:rFonts w:ascii="Times New Roman" w:cs="Times New Roman" w:hAnsi="Times New Roman"/>
          <w:b/>
          <w:color w:val="000000"/>
          <w:sz w:val="24"/>
          <w:szCs w:val="24"/>
        </w:rPr>
        <w:t>dental.</w:t>
      </w:r>
    </w:p>
    <w:p>
      <w:pPr>
        <w:pStyle w:val="style0"/>
        <w:autoSpaceDE w:val="false"/>
        <w:autoSpaceDN w:val="false"/>
        <w:adjustRightInd w:val="false"/>
        <w:spacing w:after="0" w:lineRule="auto" w:line="360"/>
        <w:rPr>
          <w:rFonts w:ascii="Times New Roman" w:cs="Times New Roman" w:hAnsi="Times New Roman"/>
          <w:b/>
          <w:color w:val="000000"/>
          <w:sz w:val="24"/>
          <w:szCs w:val="24"/>
        </w:rPr>
      </w:pPr>
    </w:p>
    <w:p>
      <w:pPr>
        <w:pStyle w:val="style0"/>
        <w:autoSpaceDE w:val="false"/>
        <w:autoSpaceDN w:val="false"/>
        <w:adjustRightInd w:val="false"/>
        <w:spacing w:after="0" w:lineRule="auto" w:line="360"/>
        <w:rPr>
          <w:rFonts w:ascii="Times New Roman" w:cs="Times New Roman" w:hAnsi="Times New Roman"/>
          <w:b/>
          <w:color w:val="000000"/>
          <w:sz w:val="24"/>
          <w:szCs w:val="24"/>
        </w:rPr>
      </w:pPr>
      <w:r>
        <w:rPr>
          <w:rFonts w:ascii="Times New Roman" w:cs="Times New Roman" w:hAnsi="Times New Roman"/>
          <w:b/>
          <w:color w:val="000000"/>
          <w:sz w:val="24"/>
          <w:szCs w:val="24"/>
        </w:rPr>
        <w:t>PROBLEMA RELEVANTE</w:t>
      </w:r>
    </w:p>
    <w:p>
      <w:pPr>
        <w:pStyle w:val="style0"/>
        <w:autoSpaceDE w:val="false"/>
        <w:autoSpaceDN w:val="false"/>
        <w:adjustRightInd w:val="false"/>
        <w:spacing w:after="0" w:lineRule="auto" w:line="360"/>
        <w:rPr>
          <w:rFonts w:ascii="Times New Roman" w:cs="Times New Roman" w:hAnsi="Times New Roman"/>
          <w:b/>
          <w:color w:val="000000"/>
          <w:sz w:val="24"/>
          <w:szCs w:val="24"/>
        </w:rPr>
      </w:pPr>
      <w:r>
        <w:rPr>
          <w:rFonts w:ascii="Times New Roman" w:cs="Times New Roman" w:hAnsi="Times New Roman"/>
          <w:b/>
          <w:color w:val="000000"/>
          <w:sz w:val="24"/>
          <w:szCs w:val="24"/>
        </w:rPr>
        <w:t>D</w:t>
      </w:r>
      <w:r>
        <w:rPr>
          <w:rFonts w:ascii="Times New Roman" w:cs="Times New Roman" w:hAnsi="Times New Roman"/>
          <w:b/>
          <w:color w:val="000000"/>
          <w:sz w:val="24"/>
          <w:szCs w:val="24"/>
        </w:rPr>
        <w:t>ebilidad</w:t>
      </w:r>
      <w:r>
        <w:rPr>
          <w:rFonts w:ascii="Times New Roman" w:cs="Times New Roman" w:hAnsi="Times New Roman"/>
          <w:b/>
          <w:color w:val="000000"/>
          <w:sz w:val="24"/>
          <w:szCs w:val="24"/>
        </w:rPr>
        <w:t>es</w:t>
      </w:r>
      <w:r>
        <w:rPr>
          <w:rFonts w:ascii="Times New Roman" w:cs="Times New Roman" w:hAnsi="Times New Roman"/>
          <w:b/>
          <w:color w:val="000000"/>
          <w:sz w:val="24"/>
          <w:szCs w:val="24"/>
        </w:rPr>
        <w:t xml:space="preserve"> en</w:t>
      </w:r>
      <w:r>
        <w:rPr>
          <w:rFonts w:ascii="Times New Roman" w:cs="Times New Roman" w:hAnsi="Times New Roman"/>
          <w:b/>
          <w:color w:val="000000"/>
          <w:sz w:val="24"/>
          <w:szCs w:val="24"/>
        </w:rPr>
        <w:t xml:space="preserve"> aspectos de</w:t>
      </w:r>
      <w:r>
        <w:rPr>
          <w:rFonts w:ascii="Times New Roman" w:cs="Times New Roman" w:hAnsi="Times New Roman"/>
          <w:b/>
          <w:color w:val="000000"/>
          <w:sz w:val="24"/>
          <w:szCs w:val="24"/>
        </w:rPr>
        <w:t xml:space="preserve"> la </w:t>
      </w:r>
      <w:r>
        <w:rPr>
          <w:rFonts w:ascii="Times New Roman" w:cs="Times New Roman" w:hAnsi="Times New Roman"/>
          <w:b/>
          <w:color w:val="000000"/>
          <w:sz w:val="24"/>
          <w:szCs w:val="24"/>
        </w:rPr>
        <w:t>formación</w:t>
      </w:r>
      <w:r>
        <w:rPr>
          <w:rFonts w:ascii="Times New Roman" w:cs="Times New Roman" w:hAnsi="Times New Roman"/>
          <w:b/>
          <w:color w:val="000000"/>
          <w:sz w:val="24"/>
          <w:szCs w:val="24"/>
        </w:rPr>
        <w:t xml:space="preserve"> en</w:t>
      </w:r>
      <w:r>
        <w:rPr>
          <w:rFonts w:ascii="Times New Roman" w:cs="Times New Roman" w:hAnsi="Times New Roman"/>
          <w:b/>
          <w:color w:val="000000"/>
          <w:sz w:val="24"/>
          <w:szCs w:val="24"/>
        </w:rPr>
        <w:t xml:space="preserve"> la</w:t>
      </w:r>
      <w:r>
        <w:rPr>
          <w:rFonts w:ascii="Times New Roman" w:cs="Times New Roman" w:hAnsi="Times New Roman"/>
          <w:b/>
          <w:color w:val="000000"/>
          <w:sz w:val="24"/>
          <w:szCs w:val="24"/>
        </w:rPr>
        <w:t>s</w:t>
      </w:r>
      <w:r>
        <w:rPr>
          <w:rFonts w:ascii="Times New Roman" w:cs="Times New Roman" w:hAnsi="Times New Roman"/>
          <w:b/>
          <w:color w:val="000000"/>
          <w:sz w:val="24"/>
          <w:szCs w:val="24"/>
        </w:rPr>
        <w:t xml:space="preserve"> competencia</w:t>
      </w:r>
      <w:r>
        <w:rPr>
          <w:rFonts w:ascii="Times New Roman" w:cs="Times New Roman" w:hAnsi="Times New Roman"/>
          <w:b/>
          <w:color w:val="000000"/>
          <w:sz w:val="24"/>
          <w:szCs w:val="24"/>
        </w:rPr>
        <w:t>s</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de</w:t>
      </w:r>
      <w:r>
        <w:rPr>
          <w:rFonts w:ascii="Times New Roman" w:cs="Times New Roman" w:hAnsi="Times New Roman"/>
          <w:b/>
          <w:color w:val="000000"/>
          <w:sz w:val="24"/>
          <w:szCs w:val="24"/>
        </w:rPr>
        <w:t xml:space="preserve"> estudia</w:t>
      </w:r>
      <w:r>
        <w:rPr>
          <w:rFonts w:ascii="Times New Roman" w:cs="Times New Roman" w:hAnsi="Times New Roman"/>
          <w:b/>
          <w:color w:val="000000"/>
          <w:sz w:val="24"/>
          <w:szCs w:val="24"/>
        </w:rPr>
        <w:t xml:space="preserve">ntes y profesionales de la </w:t>
      </w:r>
      <w:r>
        <w:rPr>
          <w:rFonts w:ascii="Times New Roman" w:cs="Times New Roman" w:hAnsi="Times New Roman"/>
          <w:b/>
          <w:color w:val="000000"/>
          <w:sz w:val="24"/>
          <w:szCs w:val="24"/>
        </w:rPr>
        <w:t>estomatología.</w:t>
      </w:r>
      <w:r>
        <w:rPr>
          <w:rFonts w:ascii="Times New Roman" w:cs="Times New Roman" w:hAnsi="Times New Roman"/>
          <w:b/>
          <w:color w:val="000000"/>
          <w:sz w:val="24"/>
          <w:szCs w:val="24"/>
        </w:rPr>
        <w:t xml:space="preserve"> </w:t>
      </w:r>
    </w:p>
    <w:p>
      <w:pPr>
        <w:pStyle w:val="style0"/>
        <w:autoSpaceDE w:val="false"/>
        <w:autoSpaceDN w:val="false"/>
        <w:adjustRightInd w:val="false"/>
        <w:spacing w:after="0" w:lineRule="auto" w:line="360"/>
        <w:rPr>
          <w:rFonts w:ascii="Times New Roman" w:cs="Times New Roman" w:hAnsi="Times New Roman"/>
          <w:b/>
          <w:color w:val="000000"/>
          <w:sz w:val="24"/>
          <w:szCs w:val="24"/>
        </w:rPr>
      </w:pPr>
    </w:p>
    <w:p>
      <w:pPr>
        <w:pStyle w:val="style0"/>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La actual pandemia</w:t>
      </w:r>
      <w:r>
        <w:rPr>
          <w:rFonts w:ascii="Times New Roman" w:cs="Times New Roman" w:hAnsi="Times New Roman"/>
          <w:color w:val="000000"/>
          <w:sz w:val="24"/>
          <w:szCs w:val="24"/>
        </w:rPr>
        <w:t xml:space="preserve"> de la covid-19 tiene un antes y un después en la docencia </w:t>
      </w:r>
      <w:r>
        <w:rPr>
          <w:rFonts w:ascii="Times New Roman" w:cs="Times New Roman" w:hAnsi="Times New Roman"/>
          <w:color w:val="000000"/>
          <w:sz w:val="24"/>
          <w:szCs w:val="24"/>
        </w:rPr>
        <w:t>cubana. Ante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el actual escenario el </w:t>
      </w:r>
      <w:r>
        <w:rPr>
          <w:rFonts w:ascii="Times New Roman" w:cs="Times New Roman" w:hAnsi="Times New Roman"/>
          <w:color w:val="000000"/>
          <w:sz w:val="24"/>
          <w:szCs w:val="24"/>
        </w:rPr>
        <w:t>MINSAP, emitió</w:t>
      </w:r>
      <w:r>
        <w:rPr>
          <w:rFonts w:ascii="Times New Roman" w:cs="Times New Roman" w:hAnsi="Times New Roman"/>
          <w:color w:val="000000"/>
          <w:sz w:val="24"/>
          <w:szCs w:val="24"/>
        </w:rPr>
        <w:t xml:space="preserve"> la </w:t>
      </w:r>
      <w:r>
        <w:rPr>
          <w:rFonts w:ascii="Times New Roman" w:cs="Times New Roman" w:hAnsi="Times New Roman"/>
          <w:color w:val="000000"/>
          <w:sz w:val="24"/>
          <w:szCs w:val="24"/>
        </w:rPr>
        <w:t xml:space="preserve">resolución 82/20, sobre la reorganización de los planes de estudio en todas las universidades de Ciencias </w:t>
      </w:r>
      <w:r>
        <w:rPr>
          <w:rFonts w:ascii="Times New Roman" w:cs="Times New Roman" w:hAnsi="Times New Roman"/>
          <w:color w:val="000000"/>
          <w:sz w:val="24"/>
          <w:szCs w:val="24"/>
        </w:rPr>
        <w:t>Médicas</w:t>
      </w:r>
      <w:r>
        <w:rPr>
          <w:rFonts w:ascii="Times New Roman" w:cs="Times New Roman" w:hAnsi="Times New Roman"/>
          <w:color w:val="000000"/>
          <w:sz w:val="24"/>
          <w:szCs w:val="24"/>
        </w:rPr>
        <w:t xml:space="preserve"> del </w:t>
      </w:r>
      <w:r>
        <w:rPr>
          <w:rFonts w:ascii="Times New Roman" w:cs="Times New Roman" w:hAnsi="Times New Roman"/>
          <w:color w:val="000000"/>
          <w:sz w:val="24"/>
          <w:szCs w:val="24"/>
        </w:rPr>
        <w:t>país, hoy</w:t>
      </w:r>
      <w:r>
        <w:rPr>
          <w:rFonts w:ascii="Times New Roman" w:cs="Times New Roman" w:hAnsi="Times New Roman"/>
          <w:color w:val="000000"/>
          <w:sz w:val="24"/>
          <w:szCs w:val="24"/>
        </w:rPr>
        <w:t xml:space="preserve"> se realizan innumerables esfuerzos mediante la tecnología digital en la parte </w:t>
      </w:r>
      <w:r>
        <w:rPr>
          <w:rFonts w:ascii="Times New Roman" w:cs="Times New Roman" w:hAnsi="Times New Roman"/>
          <w:color w:val="000000"/>
          <w:sz w:val="24"/>
          <w:szCs w:val="24"/>
        </w:rPr>
        <w:t>teórica</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pero en las habilidades practicas preclínicas se necesita destreza manual </w:t>
      </w:r>
      <w:r>
        <w:rPr>
          <w:rFonts w:ascii="Times New Roman" w:cs="Times New Roman" w:hAnsi="Times New Roman"/>
          <w:color w:val="000000"/>
          <w:sz w:val="24"/>
          <w:szCs w:val="24"/>
        </w:rPr>
        <w:t>como en casi ninguna profesión, se necesita el contacto con el paciente, en muchas horas de prácticas. En el mundo</w:t>
      </w:r>
      <w:r>
        <w:rPr>
          <w:rFonts w:ascii="Times New Roman" w:cs="Times New Roman" w:hAnsi="Times New Roman"/>
          <w:color w:val="000000"/>
          <w:sz w:val="24"/>
          <w:szCs w:val="24"/>
        </w:rPr>
        <w:t xml:space="preserve"> de</w:t>
      </w:r>
      <w:r>
        <w:rPr>
          <w:rFonts w:ascii="Times New Roman" w:cs="Times New Roman" w:hAnsi="Times New Roman"/>
          <w:color w:val="000000"/>
          <w:sz w:val="24"/>
          <w:szCs w:val="24"/>
        </w:rPr>
        <w:t xml:space="preserve"> hoy se implementan plataformas virtuales de aprendizaje con el manejo de docentes y alumnos de la tecnología de la información y comunicación (TIP), como en el Reino Unido con uso de maniquís como simuladores y la aplicación de sistemas de realidad virtual en un entorno </w:t>
      </w:r>
      <w:r>
        <w:rPr>
          <w:rFonts w:ascii="Times New Roman" w:cs="Times New Roman" w:hAnsi="Times New Roman"/>
          <w:color w:val="000000"/>
          <w:sz w:val="24"/>
          <w:szCs w:val="24"/>
        </w:rPr>
        <w:t>tridimensional</w:t>
      </w:r>
      <w:r>
        <w:rPr>
          <w:rFonts w:ascii="Times New Roman" w:cs="Times New Roman" w:hAnsi="Times New Roman"/>
          <w:color w:val="000000"/>
          <w:sz w:val="24"/>
          <w:szCs w:val="24"/>
        </w:rPr>
        <w:t>, en universidades privadas de Latinoamérica</w:t>
      </w:r>
      <w:r>
        <w:rPr>
          <w:rFonts w:ascii="Times New Roman" w:cs="Times New Roman" w:hAnsi="Times New Roman"/>
          <w:color w:val="000000"/>
          <w:sz w:val="24"/>
          <w:szCs w:val="24"/>
        </w:rPr>
        <w:t xml:space="preserve"> se usan simuladores hapticos con realidad virtual ,que consisten en equipos que reproducen de manera </w:t>
      </w:r>
      <w:r>
        <w:rPr>
          <w:rFonts w:ascii="Times New Roman" w:cs="Times New Roman" w:hAnsi="Times New Roman"/>
          <w:color w:val="000000"/>
          <w:sz w:val="24"/>
          <w:szCs w:val="24"/>
        </w:rPr>
        <w:t>fidedigna</w:t>
      </w:r>
      <w:r>
        <w:rPr>
          <w:rFonts w:ascii="Times New Roman" w:cs="Times New Roman" w:hAnsi="Times New Roman"/>
          <w:color w:val="000000"/>
          <w:sz w:val="24"/>
          <w:szCs w:val="24"/>
        </w:rPr>
        <w:t xml:space="preserve"> la sensación del tacto que el operador experimente con los objetos </w:t>
      </w:r>
      <w:r>
        <w:rPr>
          <w:rFonts w:ascii="Times New Roman" w:cs="Times New Roman" w:hAnsi="Times New Roman"/>
          <w:color w:val="000000"/>
          <w:sz w:val="24"/>
          <w:szCs w:val="24"/>
        </w:rPr>
        <w:t>reales, sin</w:t>
      </w:r>
      <w:r>
        <w:rPr>
          <w:rFonts w:ascii="Times New Roman" w:cs="Times New Roman" w:hAnsi="Times New Roman"/>
          <w:color w:val="000000"/>
          <w:sz w:val="24"/>
          <w:szCs w:val="24"/>
        </w:rPr>
        <w:t xml:space="preserve"> estar en contacto físicos </w:t>
      </w:r>
      <w:r>
        <w:rPr>
          <w:rFonts w:ascii="Times New Roman" w:cs="Times New Roman" w:hAnsi="Times New Roman"/>
          <w:color w:val="000000"/>
          <w:sz w:val="24"/>
          <w:szCs w:val="24"/>
        </w:rPr>
        <w:t xml:space="preserve">con estos, para mantener a los alumnos y docentes en la parte práctica, aunque sabemos que la relación médico-paciente es insustituible .Conocemos del desarrollo de la tecnología de la informática en el país mediante los medios de difusión, y también de las limitantes económicas, las más críticas de los últimos años </w:t>
      </w:r>
      <w:r>
        <w:rPr>
          <w:rFonts w:ascii="Times New Roman" w:cs="Times New Roman" w:hAnsi="Times New Roman"/>
          <w:color w:val="000000"/>
          <w:sz w:val="24"/>
          <w:szCs w:val="24"/>
        </w:rPr>
        <w:t>,agudizadas por la actual pandemia, pero consideramos que</w:t>
      </w:r>
      <w:r>
        <w:rPr>
          <w:rFonts w:ascii="Times New Roman" w:cs="Times New Roman" w:hAnsi="Times New Roman"/>
          <w:color w:val="000000"/>
          <w:sz w:val="24"/>
          <w:szCs w:val="24"/>
        </w:rPr>
        <w:t xml:space="preserve"> la estomatología cubana debe integrarse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a las ciencias como  </w:t>
      </w:r>
      <w:r>
        <w:rPr>
          <w:rFonts w:ascii="Times New Roman" w:cs="Times New Roman" w:hAnsi="Times New Roman"/>
          <w:color w:val="000000"/>
          <w:sz w:val="24"/>
          <w:szCs w:val="24"/>
        </w:rPr>
        <w:t>matemática, física</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computación</w:t>
      </w:r>
      <w:r>
        <w:rPr>
          <w:rFonts w:ascii="Times New Roman" w:cs="Times New Roman" w:hAnsi="Times New Roman"/>
          <w:color w:val="000000"/>
          <w:sz w:val="24"/>
          <w:szCs w:val="24"/>
        </w:rPr>
        <w:t xml:space="preserve"> entre otras</w:t>
      </w:r>
      <w:r>
        <w:rPr>
          <w:rFonts w:ascii="Times New Roman" w:cs="Times New Roman" w:hAnsi="Times New Roman"/>
          <w:color w:val="000000"/>
          <w:sz w:val="24"/>
          <w:szCs w:val="24"/>
        </w:rPr>
        <w:t xml:space="preserve"> para apostar por innovaciones tecnológicas que pongan a los estudiantes de estomatología cubana a la par de otras partes del </w:t>
      </w:r>
      <w:r>
        <w:rPr>
          <w:rFonts w:ascii="Times New Roman" w:cs="Times New Roman" w:hAnsi="Times New Roman"/>
          <w:color w:val="000000"/>
          <w:sz w:val="24"/>
          <w:szCs w:val="24"/>
        </w:rPr>
        <w:t>mundo, consideramos</w:t>
      </w:r>
      <w:r>
        <w:rPr>
          <w:rFonts w:ascii="Times New Roman" w:cs="Times New Roman" w:hAnsi="Times New Roman"/>
          <w:color w:val="000000"/>
          <w:sz w:val="24"/>
          <w:szCs w:val="24"/>
        </w:rPr>
        <w:t xml:space="preserve"> que el llamado de estos tiempos en primer lugar del Presidente </w:t>
      </w:r>
      <w:r>
        <w:rPr>
          <w:rFonts w:ascii="Times New Roman" w:cs="Times New Roman" w:hAnsi="Times New Roman"/>
          <w:color w:val="000000"/>
          <w:sz w:val="24"/>
          <w:szCs w:val="24"/>
        </w:rPr>
        <w:t>cubano, es</w:t>
      </w:r>
      <w:r>
        <w:rPr>
          <w:rFonts w:ascii="Times New Roman" w:cs="Times New Roman" w:hAnsi="Times New Roman"/>
          <w:color w:val="000000"/>
          <w:sz w:val="24"/>
          <w:szCs w:val="24"/>
        </w:rPr>
        <w:t xml:space="preserve"> ponerle corazón a Cuba y no seguir siendo conformista</w:t>
      </w:r>
      <w:r>
        <w:rPr>
          <w:rFonts w:ascii="Times New Roman" w:cs="Times New Roman" w:hAnsi="Times New Roman"/>
          <w:color w:val="000000"/>
          <w:sz w:val="24"/>
          <w:szCs w:val="24"/>
        </w:rPr>
        <w:t xml:space="preserve"> ante las dificultades, de lo contrario no alcanzaríamos los desafíos de estos tiempos ,ni los que están por venir para lograr la Visión 2030.</w:t>
      </w:r>
      <w:r>
        <w:rPr>
          <w:rFonts w:ascii="Times New Roman" w:cs="Times New Roman" w:hAnsi="Times New Roman"/>
          <w:color w:val="000000"/>
          <w:sz w:val="24"/>
          <w:szCs w:val="24"/>
        </w:rPr>
        <w:t xml:space="preserve"> </w:t>
      </w:r>
    </w:p>
    <w:p>
      <w:pPr>
        <w:pStyle w:val="style0"/>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Entre las instituciones de educación superior, especial</w:t>
      </w:r>
      <w:r>
        <w:t/>
      </w:r>
      <w:r>
        <w:rPr>
          <w:rFonts w:ascii="Times New Roman" w:cs="Times New Roman" w:hAnsi="Times New Roman"/>
          <w:color w:val="000000"/>
          <w:sz w:val="24"/>
          <w:szCs w:val="24"/>
        </w:rPr>
        <w:t>mente en aquellas dedicadas a la formación de profe</w:t>
      </w:r>
      <w:r>
        <w:t/>
      </w:r>
      <w:r>
        <w:rPr>
          <w:rFonts w:ascii="Times New Roman" w:cs="Times New Roman" w:hAnsi="Times New Roman"/>
          <w:color w:val="000000"/>
          <w:sz w:val="24"/>
          <w:szCs w:val="24"/>
        </w:rPr>
        <w:t>sionales de la salud, existe el consenso de que las com</w:t>
      </w:r>
      <w:r>
        <w:t/>
      </w:r>
      <w:r>
        <w:rPr>
          <w:rFonts w:ascii="Times New Roman" w:cs="Times New Roman" w:hAnsi="Times New Roman"/>
          <w:color w:val="000000"/>
          <w:sz w:val="24"/>
          <w:szCs w:val="24"/>
        </w:rPr>
        <w:t>petencias transversales y el profesionalismo son temas que deben estar incorporados en la estructura curricular de las profesiones desde un comienzo. Específicamente en el campo de la odontología, diversas organizaciones e instituciones consideran de gran relevancia la formación de estos aspectos en el futuro profesional odontólogo.</w:t>
      </w:r>
      <w:r>
        <w:rPr>
          <w:rFonts w:ascii="Times New Roman" w:cs="Times New Roman" w:hAnsi="Times New Roman"/>
          <w:color w:val="000000"/>
          <w:sz w:val="24"/>
          <w:szCs w:val="24"/>
        </w:rPr>
        <w:t xml:space="preserve"> El General Dental Council de Inglaterra</w:t>
      </w:r>
      <w:r>
        <w:rPr>
          <w:rStyle w:val="style4115"/>
          <w:rFonts w:ascii="Times New Roman" w:cs="Times New Roman" w:hAnsi="Times New Roman"/>
          <w:sz w:val="24"/>
          <w:szCs w:val="24"/>
        </w:rPr>
        <w:t xml:space="preserve"> </w:t>
      </w:r>
      <w:r>
        <w:rPr>
          <w:rFonts w:ascii="Times New Roman" w:cs="Times New Roman" w:hAnsi="Times New Roman"/>
          <w:color w:val="000000"/>
          <w:sz w:val="24"/>
          <w:szCs w:val="24"/>
        </w:rPr>
        <w:t>es categórico en afirmar que las escuelas están obligadas a desarrollar planes de es</w:t>
      </w:r>
      <w:r>
        <w:t/>
      </w:r>
      <w:r>
        <w:rPr>
          <w:rFonts w:ascii="Times New Roman" w:cs="Times New Roman" w:hAnsi="Times New Roman"/>
          <w:color w:val="000000"/>
          <w:sz w:val="24"/>
          <w:szCs w:val="24"/>
        </w:rPr>
        <w:t>tudio que incorporen tanto conocimientos técnicos espe</w:t>
      </w:r>
      <w:r>
        <w:t/>
      </w:r>
      <w:r>
        <w:rPr>
          <w:rFonts w:ascii="Times New Roman" w:cs="Times New Roman" w:hAnsi="Times New Roman"/>
          <w:color w:val="000000"/>
          <w:sz w:val="24"/>
          <w:szCs w:val="24"/>
        </w:rPr>
        <w:t xml:space="preserve">cíficos como competencias transversales que aseguren la formación de actitudes, valores y comportamientos éticos en los </w:t>
      </w:r>
      <w:r>
        <w:rPr>
          <w:rFonts w:ascii="Times New Roman" w:cs="Times New Roman" w:hAnsi="Times New Roman"/>
          <w:color w:val="000000"/>
          <w:sz w:val="24"/>
          <w:szCs w:val="24"/>
        </w:rPr>
        <w:t>estudiantes. Dentro</w:t>
      </w:r>
      <w:r>
        <w:rPr>
          <w:rFonts w:ascii="Times New Roman" w:cs="Times New Roman" w:hAnsi="Times New Roman"/>
          <w:color w:val="000000"/>
          <w:sz w:val="24"/>
          <w:szCs w:val="24"/>
        </w:rPr>
        <w:t xml:space="preserve"> de ello es fundamental la formación de </w:t>
      </w:r>
      <w:r>
        <w:rPr>
          <w:rFonts w:ascii="Times New Roman" w:cs="Times New Roman" w:hAnsi="Times New Roman"/>
          <w:color w:val="000000"/>
          <w:sz w:val="24"/>
          <w:szCs w:val="24"/>
        </w:rPr>
        <w:t>hábitos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investigativos, porque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la historia de la investigación en odontología es una ruta de avances permanentes y los logros de constantes desafíos, el odontólogo necesita la búsqueda y conocimiento de las técnicas vanguardistas.</w:t>
      </w:r>
    </w:p>
    <w:p>
      <w:pPr>
        <w:pStyle w:val="style0"/>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 xml:space="preserve">Machado &amp; Montes de Oca(2009),refiere que las habilidades investigativas constituyen  eje transversal de la formación investigativa “ El desarrollo de habilidades investigativas es una de las vías que permiten integrar el conocimiento a la vez que sirve como sustento de aprendizaje constante ,no solo porque ellas facilitan la solución de las más diversas contradicciones que surgen en el ámbito laboral y científico, sino además porque permiten la auto capacitación  permanente y la actualización sistemática de los conocimientos , lo cual es un indicador de competitividad en la época </w:t>
      </w:r>
      <w:r>
        <w:rPr>
          <w:rFonts w:ascii="Times New Roman" w:cs="Times New Roman" w:hAnsi="Times New Roman"/>
          <w:color w:val="000000"/>
          <w:sz w:val="24"/>
          <w:szCs w:val="24"/>
        </w:rPr>
        <w:t>moderna. Sin</w:t>
      </w:r>
      <w:r>
        <w:rPr>
          <w:rFonts w:ascii="Times New Roman" w:cs="Times New Roman" w:hAnsi="Times New Roman"/>
          <w:color w:val="000000"/>
          <w:sz w:val="24"/>
          <w:szCs w:val="24"/>
        </w:rPr>
        <w:t xml:space="preserve"> embargo,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w:t>
      </w:r>
      <w:r>
        <w:rPr>
          <w:rFonts w:ascii="Times New Roman" w:cs="Times New Roman" w:hAnsi="Times New Roman"/>
          <w:color w:val="000000"/>
          <w:sz w:val="24"/>
          <w:szCs w:val="24"/>
        </w:rPr>
        <w:t>n las observaciones se ha demostrado , la falta de consolidación en temas de Medicina Bucal, como la comprensión de las señales de alarma, así como el problema del diagnóstico de enfermedades como la halitosis, el desconocimiento de la Visión 2030, el Convenio de Minamata y el uso de las amalgamas dentales.</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El Dr. Agustín </w:t>
      </w:r>
      <w:r>
        <w:rPr>
          <w:rFonts w:ascii="Times New Roman" w:cs="Times New Roman" w:hAnsi="Times New Roman"/>
          <w:sz w:val="24"/>
          <w:szCs w:val="24"/>
        </w:rPr>
        <w:t>Zeron,</w:t>
      </w:r>
      <w:r>
        <w:rPr>
          <w:rFonts w:ascii="Times New Roman" w:cs="Times New Roman" w:hAnsi="Times New Roman"/>
          <w:sz w:val="24"/>
          <w:szCs w:val="24"/>
        </w:rPr>
        <w:t xml:space="preserve"> endoperiodontologo mexicano, en su artículo “Visión profesional de las competencias en la odontología del Siglo XX1”, refier</w:t>
      </w:r>
      <w:r>
        <w:rPr>
          <w:rFonts w:ascii="Times New Roman" w:cs="Times New Roman" w:hAnsi="Times New Roman"/>
          <w:sz w:val="24"/>
          <w:szCs w:val="24"/>
        </w:rPr>
        <w:t>e,</w:t>
      </w:r>
      <w:r>
        <w:rPr>
          <w:rFonts w:ascii="Times New Roman" w:cs="Times New Roman" w:hAnsi="Times New Roman"/>
          <w:sz w:val="24"/>
          <w:szCs w:val="24"/>
        </w:rPr>
        <w:t xml:space="preserve"> si la palabra Doctor deriva del docere, el doctor no solo es el que cura sino el que enseña a sus pacientes a no enfermarse, el enfoque en las asignaturas de pregrado y más en el posgrado deben constantemente ir en evolución, en lugar de enseñar a los </w:t>
      </w:r>
      <w:r>
        <w:rPr>
          <w:rFonts w:ascii="Times New Roman" w:cs="Times New Roman" w:hAnsi="Times New Roman"/>
          <w:sz w:val="24"/>
          <w:szCs w:val="24"/>
        </w:rPr>
        <w:t>alumnos, operatoria dental,</w:t>
      </w:r>
      <w:r>
        <w:rPr>
          <w:rFonts w:ascii="Times New Roman" w:cs="Times New Roman" w:hAnsi="Times New Roman"/>
          <w:sz w:val="24"/>
          <w:szCs w:val="24"/>
        </w:rPr>
        <w:t xml:space="preserve"> a tapar dientes cariados hay que fomentar razonamientos científicos enseñando cariologia para prevenir, tratar o controlar lesiones cariosas, igual seria en periodoncia enseñando no solo a tratar secuelas, sino promoviendo que los alumnos aprendan los principios científicos de la periodontologia para evaluar genotipos de susceptibilidad y virulencias microbianas a fin de modificar los factores de riesgo como estrategia </w:t>
      </w:r>
      <w:r>
        <w:rPr>
          <w:rFonts w:ascii="Times New Roman" w:cs="Times New Roman" w:hAnsi="Times New Roman"/>
          <w:sz w:val="24"/>
          <w:szCs w:val="24"/>
        </w:rPr>
        <w:t>preventiva. En el programa de</w:t>
      </w:r>
      <w:r>
        <w:rPr>
          <w:rFonts w:ascii="Times New Roman" w:cs="Times New Roman" w:hAnsi="Times New Roman"/>
          <w:sz w:val="24"/>
          <w:szCs w:val="24"/>
        </w:rPr>
        <w:t xml:space="preserve"> estudios del tercer año de la carrera se enseñan primero las técnicas invasivas, que las conservadoras por lo que no se le da prioridad a la cariologia.</w:t>
      </w: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color w:val="000000"/>
          <w:sz w:val="24"/>
          <w:szCs w:val="24"/>
        </w:rPr>
        <w:t>Aunque ha prevalecido la resiliencia, integrándonos a tareas de la covid-19 nos ha faltado espíritu creativo para diseñar nuevos métodos de prevención y promoción de salud, observando un marcado deterioro de la salud bucal en el área de salud, que solo no se presenta en Cuba, al respecto,</w:t>
      </w:r>
      <w:r>
        <w:rPr>
          <w:rFonts w:ascii="Times New Roman" w:cs="Times New Roman" w:hAnsi="Times New Roman"/>
          <w:sz w:val="24"/>
          <w:szCs w:val="24"/>
        </w:rPr>
        <w:t xml:space="preserve"> el 18 de marzo del 2021,en Ginebra ,en víspera del “Día Mundial de la Salud Bucodental”, el Dr. Gerhar Konrad Seeberger ,Presidente de la FDI, en su informe “ Catástrofe dental , un año después de los primeros confinamientos manifestó y cito “Llamemos a las cosas por su nombre ,estamos frente a una catástrofe dental</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Demuestra que</w:t>
      </w:r>
      <w:r>
        <w:rPr>
          <w:rFonts w:ascii="Times New Roman" w:cs="Times New Roman" w:hAnsi="Times New Roman"/>
          <w:sz w:val="24"/>
          <w:szCs w:val="24"/>
        </w:rPr>
        <w:t xml:space="preserve"> las técnicas de </w:t>
      </w:r>
      <w:r>
        <w:rPr>
          <w:rFonts w:ascii="Times New Roman" w:cs="Times New Roman" w:hAnsi="Times New Roman"/>
          <w:sz w:val="24"/>
          <w:szCs w:val="24"/>
        </w:rPr>
        <w:t>comunicación</w:t>
      </w:r>
      <w:r>
        <w:rPr>
          <w:rFonts w:ascii="Times New Roman" w:cs="Times New Roman" w:hAnsi="Times New Roman"/>
          <w:sz w:val="24"/>
          <w:szCs w:val="24"/>
        </w:rPr>
        <w:t xml:space="preserve"> que hemos utilizado hasta ahora no han sido todo lo eficaces que debieron ser,</w:t>
      </w:r>
      <w:r>
        <w:rPr>
          <w:rFonts w:ascii="Times New Roman" w:cs="Times New Roman" w:hAnsi="Times New Roman"/>
          <w:sz w:val="24"/>
          <w:szCs w:val="24"/>
        </w:rPr>
        <w:t xml:space="preserve"> no han </w:t>
      </w:r>
      <w:r>
        <w:rPr>
          <w:rFonts w:ascii="Times New Roman" w:cs="Times New Roman" w:hAnsi="Times New Roman"/>
          <w:sz w:val="24"/>
          <w:szCs w:val="24"/>
        </w:rPr>
        <w:t>perdurado, de</w:t>
      </w:r>
      <w:r>
        <w:rPr>
          <w:rFonts w:ascii="Times New Roman" w:cs="Times New Roman" w:hAnsi="Times New Roman"/>
          <w:sz w:val="24"/>
          <w:szCs w:val="24"/>
        </w:rPr>
        <w:t xml:space="preserve"> lo contrario no estaríamos ante una eventualidad como </w:t>
      </w:r>
      <w:r>
        <w:rPr>
          <w:rFonts w:ascii="Times New Roman" w:cs="Times New Roman" w:hAnsi="Times New Roman"/>
          <w:sz w:val="24"/>
          <w:szCs w:val="24"/>
        </w:rPr>
        <w:t>esta,</w:t>
      </w:r>
      <w:r>
        <w:rPr>
          <w:rFonts w:ascii="Times New Roman" w:cs="Times New Roman" w:hAnsi="Times New Roman"/>
          <w:sz w:val="24"/>
          <w:szCs w:val="24"/>
        </w:rPr>
        <w:t xml:space="preserve"> además</w:t>
      </w:r>
      <w:r>
        <w:rPr>
          <w:rFonts w:ascii="Times New Roman" w:cs="Times New Roman" w:hAnsi="Times New Roman"/>
          <w:sz w:val="24"/>
          <w:szCs w:val="24"/>
        </w:rPr>
        <w:t xml:space="preserve"> en tiempos de pandemia debimos incorporar </w:t>
      </w:r>
      <w:r>
        <w:rPr>
          <w:rFonts w:ascii="Times New Roman" w:cs="Times New Roman" w:hAnsi="Times New Roman"/>
          <w:sz w:val="24"/>
          <w:szCs w:val="24"/>
        </w:rPr>
        <w:t>boletines, mensajes</w:t>
      </w:r>
      <w:r>
        <w:rPr>
          <w:rFonts w:ascii="Times New Roman" w:cs="Times New Roman" w:hAnsi="Times New Roman"/>
          <w:sz w:val="24"/>
          <w:szCs w:val="24"/>
        </w:rPr>
        <w:t xml:space="preserve"> radiales ,</w:t>
      </w:r>
      <w:r>
        <w:rPr>
          <w:rFonts w:ascii="Times New Roman" w:cs="Times New Roman" w:hAnsi="Times New Roman"/>
          <w:sz w:val="24"/>
          <w:szCs w:val="24"/>
        </w:rPr>
        <w:t>televisivos, utilizado</w:t>
      </w:r>
      <w:r>
        <w:rPr>
          <w:rFonts w:ascii="Times New Roman" w:cs="Times New Roman" w:hAnsi="Times New Roman"/>
          <w:sz w:val="24"/>
          <w:szCs w:val="24"/>
        </w:rPr>
        <w:t xml:space="preserve"> las redes sociales en relación a la importancia de prevención de las enfermedades bucales haciendo hincapié en las consecuencias que el confinamiento y la ansiedad de estos tiempos provocan </w:t>
      </w:r>
      <w:r>
        <w:rPr>
          <w:rFonts w:ascii="Times New Roman" w:cs="Times New Roman" w:hAnsi="Times New Roman"/>
          <w:sz w:val="24"/>
          <w:szCs w:val="24"/>
        </w:rPr>
        <w:t xml:space="preserve">en la dieta, higiene dental .hábitos </w:t>
      </w:r>
      <w:r>
        <w:rPr>
          <w:rFonts w:ascii="Times New Roman" w:cs="Times New Roman" w:hAnsi="Times New Roman"/>
          <w:sz w:val="24"/>
          <w:szCs w:val="24"/>
        </w:rPr>
        <w:t>tóxicos, fundamentalmente en niños y adolescentes</w:t>
      </w:r>
      <w:r>
        <w:rPr>
          <w:rFonts w:ascii="Times New Roman" w:cs="Times New Roman" w:hAnsi="Times New Roman"/>
          <w:sz w:val="24"/>
          <w:szCs w:val="24"/>
        </w:rPr>
        <w:t xml:space="preserve"> . La</w:t>
      </w:r>
      <w:r>
        <w:rPr>
          <w:rFonts w:ascii="Times New Roman" w:cs="Times New Roman" w:hAnsi="Times New Roman"/>
          <w:sz w:val="24"/>
          <w:szCs w:val="24"/>
        </w:rPr>
        <w:t xml:space="preserve"> General Dental Council y la American Dental Education Association, esta última en el 2008, incluyo las habilidades comunicacionales en los programas educativos, de las seis competencias de un recién graduado. </w:t>
      </w: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Refiere (Espinoza Troconi 2016)</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que son insuficientes los rudimentos teóricos de la Metodología de la Investigación en la carrera de Odontología, agrega que es importante que cada educando </w:t>
      </w:r>
      <w:r>
        <w:rPr>
          <w:rFonts w:ascii="Times New Roman" w:cs="Times New Roman" w:hAnsi="Times New Roman"/>
          <w:color w:val="000000"/>
          <w:sz w:val="24"/>
          <w:szCs w:val="24"/>
        </w:rPr>
        <w:t>alcance cualidades específicas ,creatividad, espíritu innovador, motivación permanente hacia la labor que realiza, tener sentido de pertenencia, tener aspiraciones de alcanzar un nivel elevado en el desarrollo socio-económico y cultural.</w:t>
      </w:r>
      <w:r>
        <w:rPr>
          <w:rFonts w:ascii="Times New Roman" w:cs="Times New Roman" w:hAnsi="Times New Roman"/>
          <w:color w:val="000000"/>
          <w:sz w:val="24"/>
          <w:szCs w:val="24"/>
        </w:rPr>
        <w:t xml:space="preserve"> Existen limitantes, conocidas en los recursos y condiciones para investigar, pero debemos elevar el espíritu innovador, la motivación por lo que hacemos, trabajar en equipo y solucionar problemas con decisiones acertadas para lograr la calidad del trabajo y la satisfacción de los pacientes</w:t>
      </w:r>
      <w:r>
        <w:rPr>
          <w:rFonts w:ascii="Times New Roman" w:cs="Times New Roman" w:hAnsi="Times New Roman"/>
          <w:color w:val="000000"/>
          <w:sz w:val="24"/>
          <w:szCs w:val="24"/>
        </w:rPr>
        <w:t>.</w:t>
      </w:r>
      <w:r>
        <w:rPr>
          <w:rFonts w:ascii="Times New Roman" w:cs="Times New Roman" w:hAnsi="Times New Roman"/>
          <w:color w:val="000000"/>
          <w:sz w:val="24"/>
          <w:szCs w:val="24"/>
        </w:rPr>
        <w:t>Los profesionales de la salud en general y entre ellos los odontólogos, nunca volverán a ser los mismos, hoy podemos hablar de una “Era Post-Covid”, los odontólogos saben que tienen que formarse más allá de lo convencional, por lo que estudiantes en formación tienen que formarse con esos preceptos.</w:t>
      </w:r>
    </w:p>
    <w:p>
      <w:pPr>
        <w:pStyle w:val="style0"/>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 xml:space="preserve">.En Cuba </w:t>
      </w:r>
      <w:r>
        <w:rPr>
          <w:rFonts w:ascii="Times New Roman" w:cs="Times New Roman" w:hAnsi="Times New Roman"/>
          <w:sz w:val="24"/>
          <w:szCs w:val="24"/>
        </w:rPr>
        <w:t xml:space="preserve">país asediado y bloqueado, donde no tenemos los recursos, ni los medios en muchas ocasiones para estar actualizados de lo último de la estomatología mundial, ni el acceso a las más importantes revistas científicas </w:t>
      </w:r>
      <w:r>
        <w:rPr>
          <w:rFonts w:ascii="Times New Roman" w:cs="Times New Roman" w:hAnsi="Times New Roman"/>
          <w:sz w:val="24"/>
          <w:szCs w:val="24"/>
        </w:rPr>
        <w:t>fácilmente,</w:t>
      </w:r>
      <w:r>
        <w:rPr>
          <w:rFonts w:ascii="Times New Roman" w:cs="Times New Roman" w:hAnsi="Times New Roman"/>
          <w:sz w:val="24"/>
          <w:szCs w:val="24"/>
        </w:rPr>
        <w:t xml:space="preserve"> incluso los docentes de educación en el trabajo no tienen acceso a Internet en sus hogares como los docentes de las universidades, teniendo que utilizar grandes recursos económicos para poder tener acceso desde sus celulares a la literatura científica, </w:t>
      </w:r>
      <w:r>
        <w:rPr>
          <w:rFonts w:ascii="Times New Roman" w:cs="Times New Roman" w:hAnsi="Times New Roman"/>
          <w:sz w:val="24"/>
          <w:szCs w:val="24"/>
        </w:rPr>
        <w:t xml:space="preserve"> tenemos que </w:t>
      </w:r>
      <w:r>
        <w:rPr>
          <w:rFonts w:ascii="Times New Roman" w:cs="Times New Roman" w:hAnsi="Times New Roman"/>
          <w:sz w:val="24"/>
          <w:szCs w:val="24"/>
        </w:rPr>
        <w:t>intensificar la formación de los estudiantes con fórmulas que se parezcan a nuestro país, pero que sobre todo, se parezcan a estos tiempos, para mantener la estomatología a los más altos escaño</w:t>
      </w:r>
      <w:r>
        <w:rPr>
          <w:rFonts w:ascii="Times New Roman" w:cs="Times New Roman" w:hAnsi="Times New Roman"/>
          <w:sz w:val="24"/>
          <w:szCs w:val="24"/>
        </w:rPr>
        <w:t>s de la estomatología universal, o sea empoderar nuestra profesión.</w:t>
      </w: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Para ello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se reitera como uno de los principales objetivos de la </w:t>
      </w:r>
      <w:r>
        <w:rPr>
          <w:rFonts w:ascii="Times New Roman" w:cs="Times New Roman" w:hAnsi="Times New Roman"/>
          <w:color w:val="000000"/>
          <w:sz w:val="24"/>
          <w:szCs w:val="24"/>
        </w:rPr>
        <w:t>Educación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Superior, la</w:t>
      </w:r>
      <w:r>
        <w:rPr>
          <w:rFonts w:ascii="Times New Roman" w:cs="Times New Roman" w:hAnsi="Times New Roman"/>
          <w:color w:val="000000"/>
          <w:sz w:val="24"/>
          <w:szCs w:val="24"/>
        </w:rPr>
        <w:t xml:space="preserve"> producción de conocimientos mediante la investigación </w:t>
      </w:r>
      <w:r>
        <w:rPr>
          <w:rFonts w:ascii="Times New Roman" w:cs="Times New Roman" w:hAnsi="Times New Roman"/>
          <w:color w:val="000000"/>
          <w:sz w:val="24"/>
          <w:szCs w:val="24"/>
        </w:rPr>
        <w:t xml:space="preserve">científica, pero esto no es posible sin la formación de habilidades investigativas en el proceso de enseñanza </w:t>
      </w:r>
      <w:r>
        <w:rPr>
          <w:rFonts w:ascii="Times New Roman" w:cs="Times New Roman" w:hAnsi="Times New Roman"/>
          <w:color w:val="000000"/>
          <w:sz w:val="24"/>
          <w:szCs w:val="24"/>
        </w:rPr>
        <w:t>aprendizaje. La</w:t>
      </w:r>
      <w:r>
        <w:rPr>
          <w:rFonts w:ascii="Times New Roman" w:cs="Times New Roman" w:hAnsi="Times New Roman"/>
          <w:color w:val="000000"/>
          <w:sz w:val="24"/>
          <w:szCs w:val="24"/>
        </w:rPr>
        <w:t xml:space="preserve"> capacidad para lograr </w:t>
      </w:r>
      <w:r>
        <w:rPr>
          <w:rFonts w:ascii="Times New Roman" w:cs="Times New Roman" w:hAnsi="Times New Roman"/>
          <w:color w:val="000000"/>
          <w:sz w:val="24"/>
          <w:szCs w:val="24"/>
        </w:rPr>
        <w:t>investigaciones, se</w:t>
      </w:r>
      <w:r>
        <w:rPr>
          <w:rFonts w:ascii="Times New Roman" w:cs="Times New Roman" w:hAnsi="Times New Roman"/>
          <w:color w:val="000000"/>
          <w:sz w:val="24"/>
          <w:szCs w:val="24"/>
        </w:rPr>
        <w:t xml:space="preserve"> logra haciendo </w:t>
      </w:r>
      <w:r>
        <w:rPr>
          <w:rFonts w:ascii="Times New Roman" w:cs="Times New Roman" w:hAnsi="Times New Roman"/>
          <w:color w:val="000000"/>
          <w:sz w:val="24"/>
          <w:szCs w:val="24"/>
        </w:rPr>
        <w:t>investigaciones. La</w:t>
      </w:r>
      <w:r>
        <w:rPr>
          <w:rFonts w:ascii="Times New Roman" w:cs="Times New Roman" w:hAnsi="Times New Roman"/>
          <w:color w:val="000000"/>
          <w:sz w:val="24"/>
          <w:szCs w:val="24"/>
        </w:rPr>
        <w:t xml:space="preserve"> investigación supone </w:t>
      </w:r>
      <w:r>
        <w:rPr>
          <w:rFonts w:ascii="Times New Roman" w:cs="Times New Roman" w:hAnsi="Times New Roman"/>
          <w:color w:val="000000"/>
          <w:sz w:val="24"/>
          <w:szCs w:val="24"/>
        </w:rPr>
        <w:t>una aproximaci</w:t>
      </w:r>
      <w:r>
        <w:rPr>
          <w:rFonts w:ascii="Times New Roman" w:cs="Times New Roman" w:hAnsi="Times New Roman"/>
          <w:color w:val="000000"/>
          <w:sz w:val="24"/>
          <w:szCs w:val="24"/>
        </w:rPr>
        <w:t>ón a los conocimientos teóricos, para aplicarlos en la práctica.</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Lograr el objetivo de la Visión 2030, más que una acción estratégica, es una necesidad de la </w:t>
      </w:r>
      <w:r>
        <w:rPr>
          <w:rFonts w:ascii="Times New Roman" w:cs="Times New Roman" w:hAnsi="Times New Roman"/>
          <w:sz w:val="24"/>
          <w:szCs w:val="24"/>
        </w:rPr>
        <w:t>odontología</w:t>
      </w:r>
      <w:r>
        <w:rPr>
          <w:rFonts w:ascii="Times New Roman" w:cs="Times New Roman" w:hAnsi="Times New Roman"/>
          <w:sz w:val="24"/>
          <w:szCs w:val="24"/>
        </w:rPr>
        <w:t xml:space="preserve"> </w:t>
      </w:r>
      <w:r>
        <w:rPr>
          <w:rFonts w:ascii="Times New Roman" w:cs="Times New Roman" w:hAnsi="Times New Roman"/>
          <w:sz w:val="24"/>
          <w:szCs w:val="24"/>
        </w:rPr>
        <w:t>universal, para</w:t>
      </w:r>
      <w:r>
        <w:rPr>
          <w:rFonts w:ascii="Times New Roman" w:cs="Times New Roman" w:hAnsi="Times New Roman"/>
          <w:sz w:val="24"/>
          <w:szCs w:val="24"/>
        </w:rPr>
        <w:t xml:space="preserve"> que todos tengan acceso a una salud bucodental de calidad.</w:t>
      </w:r>
      <w:r>
        <w:rPr>
          <w:rFonts w:ascii="Times New Roman" w:cs="Times New Roman" w:hAnsi="Times New Roman"/>
          <w:sz w:val="24"/>
          <w:szCs w:val="24"/>
        </w:rPr>
        <w:t xml:space="preserve"> Cuba que tiene garantías de salud bucodental como pocos países en el mundo, que forma en las universidades, profesionales con conocimientos y habilidades que se ponen al servicio de la sociedad y de otros países del mundo, debe fortalecer los aspectos señalados como problemas en la presente investigación, con el objetivo ,en primer lugar de empoderar la </w:t>
      </w:r>
      <w:r>
        <w:rPr>
          <w:rFonts w:ascii="Times New Roman" w:cs="Times New Roman" w:hAnsi="Times New Roman"/>
          <w:sz w:val="24"/>
          <w:szCs w:val="24"/>
        </w:rPr>
        <w:t>profesión, de</w:t>
      </w:r>
      <w:r>
        <w:rPr>
          <w:rFonts w:ascii="Times New Roman" w:cs="Times New Roman" w:hAnsi="Times New Roman"/>
          <w:sz w:val="24"/>
          <w:szCs w:val="24"/>
        </w:rPr>
        <w:t xml:space="preserve"> que</w:t>
      </w:r>
      <w:r>
        <w:rPr>
          <w:rFonts w:ascii="Times New Roman" w:cs="Times New Roman" w:hAnsi="Times New Roman"/>
          <w:sz w:val="24"/>
          <w:szCs w:val="24"/>
        </w:rPr>
        <w:t xml:space="preserve"> a</w:t>
      </w:r>
      <w:r>
        <w:rPr>
          <w:rFonts w:ascii="Times New Roman" w:cs="Times New Roman" w:hAnsi="Times New Roman"/>
          <w:sz w:val="24"/>
          <w:szCs w:val="24"/>
        </w:rPr>
        <w:t xml:space="preserve"> </w:t>
      </w:r>
      <w:r>
        <w:rPr>
          <w:rFonts w:ascii="Times New Roman" w:cs="Times New Roman" w:hAnsi="Times New Roman"/>
          <w:sz w:val="24"/>
          <w:szCs w:val="24"/>
        </w:rPr>
        <w:t xml:space="preserve">cada estomatólogo cubano </w:t>
      </w:r>
      <w:r>
        <w:rPr>
          <w:rFonts w:ascii="Times New Roman" w:cs="Times New Roman" w:hAnsi="Times New Roman"/>
          <w:sz w:val="24"/>
          <w:szCs w:val="24"/>
        </w:rPr>
        <w:t>,</w:t>
      </w:r>
      <w:r>
        <w:rPr>
          <w:rFonts w:ascii="Times New Roman" w:cs="Times New Roman" w:hAnsi="Times New Roman"/>
          <w:sz w:val="24"/>
          <w:szCs w:val="24"/>
        </w:rPr>
        <w:t xml:space="preserve"> no le sea ajeno </w:t>
      </w:r>
      <w:r>
        <w:rPr>
          <w:rFonts w:ascii="Times New Roman" w:cs="Times New Roman" w:hAnsi="Times New Roman"/>
          <w:sz w:val="24"/>
          <w:szCs w:val="24"/>
        </w:rPr>
        <w:t>ninguna</w:t>
      </w:r>
      <w:r>
        <w:rPr>
          <w:rFonts w:ascii="Times New Roman" w:cs="Times New Roman" w:hAnsi="Times New Roman"/>
          <w:sz w:val="24"/>
          <w:szCs w:val="24"/>
        </w:rPr>
        <w:t xml:space="preserve"> eventuali</w:t>
      </w:r>
      <w:r>
        <w:rPr>
          <w:rFonts w:ascii="Times New Roman" w:cs="Times New Roman" w:hAnsi="Times New Roman"/>
          <w:sz w:val="24"/>
          <w:szCs w:val="24"/>
        </w:rPr>
        <w:t>dad</w:t>
      </w:r>
      <w:r>
        <w:rPr>
          <w:rFonts w:ascii="Times New Roman" w:cs="Times New Roman" w:hAnsi="Times New Roman"/>
          <w:sz w:val="24"/>
          <w:szCs w:val="24"/>
        </w:rPr>
        <w:t xml:space="preserve"> que se produzca a su alrededor y que seamos capaces de formar en nuestras universidades profesionales que conduzcan los pilares de la  </w:t>
      </w:r>
      <w:r>
        <w:rPr>
          <w:rFonts w:ascii="Times New Roman" w:cs="Times New Roman" w:hAnsi="Times New Roman"/>
          <w:sz w:val="24"/>
          <w:szCs w:val="24"/>
        </w:rPr>
        <w:t>Visión</w:t>
      </w:r>
      <w:r>
        <w:rPr>
          <w:rFonts w:ascii="Times New Roman" w:cs="Times New Roman" w:hAnsi="Times New Roman"/>
          <w:sz w:val="24"/>
          <w:szCs w:val="24"/>
        </w:rPr>
        <w:t xml:space="preserve"> 2030,a los </w:t>
      </w:r>
      <w:r>
        <w:rPr>
          <w:rFonts w:ascii="Times New Roman" w:cs="Times New Roman" w:hAnsi="Times New Roman"/>
          <w:sz w:val="24"/>
          <w:szCs w:val="24"/>
        </w:rPr>
        <w:t>más</w:t>
      </w:r>
      <w:r>
        <w:rPr>
          <w:rFonts w:ascii="Times New Roman" w:cs="Times New Roman" w:hAnsi="Times New Roman"/>
          <w:sz w:val="24"/>
          <w:szCs w:val="24"/>
        </w:rPr>
        <w:t xml:space="preserve"> altos planos de la estomatología latinoamericana y mu</w:t>
      </w:r>
      <w:r>
        <w:rPr>
          <w:rFonts w:ascii="Times New Roman" w:cs="Times New Roman" w:hAnsi="Times New Roman"/>
          <w:sz w:val="24"/>
          <w:szCs w:val="24"/>
        </w:rPr>
        <w:t xml:space="preserve">ndial y con ello a la medicina </w:t>
      </w:r>
      <w:r>
        <w:rPr>
          <w:rFonts w:ascii="Times New Roman" w:cs="Times New Roman" w:hAnsi="Times New Roman"/>
          <w:sz w:val="24"/>
          <w:szCs w:val="24"/>
        </w:rPr>
        <w:t>bucomaxilofacial</w:t>
      </w:r>
      <w:r>
        <w:rPr>
          <w:rFonts w:ascii="Times New Roman" w:cs="Times New Roman" w:hAnsi="Times New Roman"/>
          <w:sz w:val="24"/>
          <w:szCs w:val="24"/>
        </w:rPr>
        <w:t xml:space="preserve"> cubana.</w:t>
      </w: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b/>
          <w:sz w:val="24"/>
          <w:szCs w:val="24"/>
        </w:rPr>
        <w:t>RESULTADOS</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Como se indicó anteriormente, la observación se realizó en el Policlínico Docente Universitario “Marta Abreu”,</w:t>
      </w:r>
      <w:r>
        <w:rPr>
          <w:rFonts w:ascii="Times New Roman" w:cs="Times New Roman" w:hAnsi="Times New Roman"/>
          <w:sz w:val="24"/>
          <w:szCs w:val="24"/>
        </w:rPr>
        <w:t xml:space="preserve"> mediante encuesta on line de 10</w:t>
      </w:r>
      <w:r>
        <w:rPr>
          <w:rFonts w:ascii="Times New Roman" w:cs="Times New Roman" w:hAnsi="Times New Roman"/>
          <w:sz w:val="24"/>
          <w:szCs w:val="24"/>
        </w:rPr>
        <w:t xml:space="preserve"> preguntas, siendo convocados, </w:t>
      </w:r>
      <w:r>
        <w:rPr>
          <w:rFonts w:ascii="Times New Roman" w:cs="Times New Roman" w:hAnsi="Times New Roman"/>
          <w:sz w:val="24"/>
          <w:szCs w:val="24"/>
        </w:rPr>
        <w:t xml:space="preserve"> 12</w:t>
      </w:r>
      <w:r>
        <w:rPr>
          <w:rFonts w:ascii="Times New Roman" w:cs="Times New Roman" w:hAnsi="Times New Roman"/>
          <w:sz w:val="24"/>
          <w:szCs w:val="24"/>
        </w:rPr>
        <w:t xml:space="preserve"> estudiantes de pregrado, a partir de tercer hasta quinto año, de estudio de la carrera de Estomatología y 15 estudiantes de posgrado del primer año de la Especialidad de Estomatología General </w:t>
      </w:r>
      <w:r>
        <w:rPr>
          <w:rFonts w:ascii="Times New Roman" w:cs="Times New Roman" w:hAnsi="Times New Roman"/>
          <w:sz w:val="24"/>
          <w:szCs w:val="24"/>
        </w:rPr>
        <w:t>Integral, Entre</w:t>
      </w:r>
      <w:r>
        <w:rPr>
          <w:rFonts w:ascii="Times New Roman" w:cs="Times New Roman" w:hAnsi="Times New Roman"/>
          <w:sz w:val="24"/>
          <w:szCs w:val="24"/>
        </w:rPr>
        <w:t xml:space="preserve"> </w:t>
      </w:r>
      <w:r>
        <w:rPr>
          <w:rFonts w:ascii="Times New Roman" w:cs="Times New Roman" w:hAnsi="Times New Roman"/>
          <w:sz w:val="24"/>
          <w:szCs w:val="24"/>
        </w:rPr>
        <w:t>las edades comprendidas de 22 a 28 años de edad y todas del sexo femenino</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Respondieron el cuestionario 7 estudiantes de pregrado y 10</w:t>
      </w:r>
      <w:r>
        <w:rPr>
          <w:rFonts w:ascii="Times New Roman" w:cs="Times New Roman" w:hAnsi="Times New Roman"/>
          <w:sz w:val="24"/>
          <w:szCs w:val="24"/>
        </w:rPr>
        <w:t xml:space="preserve"> de </w:t>
      </w:r>
      <w:r>
        <w:rPr>
          <w:rFonts w:ascii="Times New Roman" w:cs="Times New Roman" w:hAnsi="Times New Roman"/>
          <w:sz w:val="24"/>
          <w:szCs w:val="24"/>
        </w:rPr>
        <w:t xml:space="preserve"> </w:t>
      </w:r>
      <w:r>
        <w:rPr>
          <w:rFonts w:ascii="Times New Roman" w:cs="Times New Roman" w:hAnsi="Times New Roman"/>
          <w:sz w:val="24"/>
          <w:szCs w:val="24"/>
        </w:rPr>
        <w:t xml:space="preserve">postgrado, para un 63% de los </w:t>
      </w:r>
      <w:r>
        <w:rPr>
          <w:rFonts w:ascii="Times New Roman" w:cs="Times New Roman" w:hAnsi="Times New Roman"/>
          <w:sz w:val="24"/>
          <w:szCs w:val="24"/>
        </w:rPr>
        <w:t xml:space="preserve">convocados. La evaluación se realizó con la escala siguiente: 1-no sabemos nada ,2- </w:t>
      </w:r>
      <w:r>
        <w:rPr>
          <w:rFonts w:ascii="Times New Roman" w:cs="Times New Roman" w:hAnsi="Times New Roman"/>
          <w:sz w:val="24"/>
          <w:szCs w:val="24"/>
        </w:rPr>
        <w:t>Mal,</w:t>
      </w:r>
      <w:r>
        <w:rPr>
          <w:rFonts w:ascii="Times New Roman" w:cs="Times New Roman" w:hAnsi="Times New Roman"/>
          <w:sz w:val="24"/>
          <w:szCs w:val="24"/>
        </w:rPr>
        <w:t xml:space="preserve"> 3- Regular, 4- Bien y 5- Muy </w:t>
      </w:r>
      <w:r>
        <w:rPr>
          <w:rFonts w:ascii="Times New Roman" w:cs="Times New Roman" w:hAnsi="Times New Roman"/>
          <w:sz w:val="24"/>
          <w:szCs w:val="24"/>
        </w:rPr>
        <w:t xml:space="preserve">Bien. En las competencias </w:t>
      </w:r>
      <w:r>
        <w:rPr>
          <w:rFonts w:ascii="Times New Roman" w:cs="Times New Roman" w:hAnsi="Times New Roman"/>
          <w:sz w:val="24"/>
          <w:szCs w:val="24"/>
        </w:rPr>
        <w:t>específicas</w:t>
      </w:r>
      <w:r>
        <w:rPr>
          <w:rFonts w:ascii="Times New Roman" w:cs="Times New Roman" w:hAnsi="Times New Roman"/>
          <w:sz w:val="24"/>
          <w:szCs w:val="24"/>
        </w:rPr>
        <w:t xml:space="preserve"> de los estudiantes de pregrado se presentan mejores resultados que en las competencias </w:t>
      </w:r>
      <w:r>
        <w:rPr>
          <w:rFonts w:ascii="Times New Roman" w:cs="Times New Roman" w:hAnsi="Times New Roman"/>
          <w:sz w:val="24"/>
          <w:szCs w:val="24"/>
        </w:rPr>
        <w:t>transversales, aunque en ambas se exhiben deficiencias, en los estudiantes de posgrado existen similares resultados en ambos tipos de competencias.</w:t>
      </w: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sz w:val="24"/>
          <w:szCs w:val="24"/>
        </w:rPr>
        <w:t>Tabla 1- Percepción de competencias en estudiantes de pregrado</w:t>
      </w:r>
    </w:p>
    <w:tbl>
      <w:tblPr>
        <w:tblStyle w:val="style154"/>
        <w:tblW w:w="9747" w:type="dxa"/>
        <w:tblLayout w:type="fixed"/>
        <w:tblLook w:firstRow="1" w:lastRow="0" w:firstColumn="1" w:lastColumn="0" w:noHBand="0" w:noVBand="1"/>
      </w:tblPr>
      <w:tblGrid>
        <w:gridCol w:w="3085"/>
        <w:gridCol w:w="567"/>
        <w:gridCol w:w="709"/>
        <w:gridCol w:w="567"/>
        <w:gridCol w:w="709"/>
        <w:gridCol w:w="567"/>
        <w:gridCol w:w="708"/>
        <w:gridCol w:w="567"/>
        <w:gridCol w:w="851"/>
        <w:gridCol w:w="709"/>
        <w:gridCol w:w="708"/>
      </w:tblGrid>
      <w:tr>
        <w:trPr/>
        <w:tc>
          <w:tcPr>
            <w:tcW w:w="3085"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Habilidades</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3</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4</w:t>
            </w:r>
          </w:p>
        </w:tc>
        <w:tc>
          <w:tcPr>
            <w:tcW w:w="851"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5</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w:t>
            </w:r>
          </w:p>
        </w:tc>
      </w:tr>
      <w:tr>
        <w:tblPrEx/>
        <w:trPr/>
        <w:tc>
          <w:tcPr>
            <w:tcW w:w="3085"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Actividad educativa</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28,6</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3</w:t>
            </w:r>
          </w:p>
        </w:tc>
        <w:tc>
          <w:tcPr>
            <w:tcW w:w="851"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42,9</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28,6</w:t>
            </w:r>
          </w:p>
        </w:tc>
      </w:tr>
      <w:tr>
        <w:tblPrEx/>
        <w:trPr/>
        <w:tc>
          <w:tcPr>
            <w:tcW w:w="3085"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Confección Historia Clínica</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4</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57,1</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w:t>
            </w:r>
          </w:p>
        </w:tc>
        <w:tc>
          <w:tcPr>
            <w:tcW w:w="851"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28,6</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14,3</w:t>
            </w:r>
          </w:p>
        </w:tc>
      </w:tr>
      <w:tr>
        <w:tblPrEx/>
        <w:trPr/>
        <w:tc>
          <w:tcPr>
            <w:tcW w:w="3085"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Procedimientos clínicos</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14,3</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5</w:t>
            </w:r>
          </w:p>
        </w:tc>
        <w:tc>
          <w:tcPr>
            <w:tcW w:w="851"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71,4</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14,3</w:t>
            </w:r>
          </w:p>
        </w:tc>
      </w:tr>
      <w:tr>
        <w:tblPrEx/>
        <w:trPr/>
        <w:tc>
          <w:tcPr>
            <w:tcW w:w="3085"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Preparación en covid-19</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5</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71,4</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28,6</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851"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r>
      <w:tr>
        <w:tblPrEx/>
        <w:trPr/>
        <w:tc>
          <w:tcPr>
            <w:tcW w:w="3085"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Habilidades investigativas</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5</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71,4</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28,6</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851"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r>
      <w:tr>
        <w:tblPrEx/>
        <w:trPr/>
        <w:tc>
          <w:tcPr>
            <w:tcW w:w="3085"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Hab</w:t>
            </w:r>
            <w:r>
              <w:rPr>
                <w:rFonts w:ascii="Times New Roman" w:cs="Times New Roman" w:hAnsi="Times New Roman"/>
                <w:sz w:val="24"/>
                <w:szCs w:val="24"/>
              </w:rPr>
              <w:t xml:space="preserve">ilidades </w:t>
            </w:r>
            <w:r>
              <w:rPr>
                <w:rFonts w:ascii="Times New Roman" w:cs="Times New Roman" w:hAnsi="Times New Roman"/>
                <w:sz w:val="24"/>
                <w:szCs w:val="24"/>
              </w:rPr>
              <w:t>comunicativas</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28,6</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3</w:t>
            </w:r>
          </w:p>
        </w:tc>
        <w:tc>
          <w:tcPr>
            <w:tcW w:w="851"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42,9</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28,6</w:t>
            </w:r>
          </w:p>
        </w:tc>
      </w:tr>
      <w:tr>
        <w:tblPrEx/>
        <w:trPr/>
        <w:tc>
          <w:tcPr>
            <w:tcW w:w="3085"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Integración en equipo</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28,6</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4</w:t>
            </w:r>
          </w:p>
        </w:tc>
        <w:tc>
          <w:tcPr>
            <w:tcW w:w="851"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57,1</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14,3</w:t>
            </w:r>
          </w:p>
        </w:tc>
      </w:tr>
      <w:tr>
        <w:tblPrEx/>
        <w:trPr/>
        <w:tc>
          <w:tcPr>
            <w:tcW w:w="3085"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Creatividad</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5</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71,4</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14,3</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w:t>
            </w:r>
          </w:p>
        </w:tc>
        <w:tc>
          <w:tcPr>
            <w:tcW w:w="851"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14,3</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r>
      <w:tr>
        <w:tblPrEx/>
        <w:trPr/>
        <w:tc>
          <w:tcPr>
            <w:tcW w:w="3085"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Resiliencia</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5</w:t>
            </w:r>
          </w:p>
        </w:tc>
        <w:tc>
          <w:tcPr>
            <w:tcW w:w="851"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71,4</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28,6</w:t>
            </w:r>
          </w:p>
        </w:tc>
      </w:tr>
    </w:tbl>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sz w:val="24"/>
          <w:szCs w:val="24"/>
        </w:rPr>
        <w:t>Tabla 2- Percepción de competencias en estudiantes de posgrado</w:t>
      </w:r>
    </w:p>
    <w:p>
      <w:pPr>
        <w:pStyle w:val="style0"/>
        <w:autoSpaceDE w:val="false"/>
        <w:autoSpaceDN w:val="false"/>
        <w:adjustRightInd w:val="false"/>
        <w:spacing w:after="0" w:lineRule="auto" w:line="360"/>
        <w:rPr>
          <w:rFonts w:ascii="Times New Roman" w:cs="Times New Roman" w:hAnsi="Times New Roman"/>
          <w:b/>
          <w:sz w:val="24"/>
          <w:szCs w:val="24"/>
        </w:rPr>
      </w:pPr>
    </w:p>
    <w:tbl>
      <w:tblPr>
        <w:tblStyle w:val="style154"/>
        <w:tblW w:w="10617" w:type="dxa"/>
        <w:tblLayout w:type="fixed"/>
        <w:tblLook w:firstRow="1" w:lastRow="0" w:firstColumn="1" w:lastColumn="0" w:noHBand="0" w:noVBand="1"/>
      </w:tblPr>
      <w:tblGrid>
        <w:gridCol w:w="4503"/>
        <w:gridCol w:w="567"/>
        <w:gridCol w:w="567"/>
        <w:gridCol w:w="567"/>
        <w:gridCol w:w="708"/>
        <w:gridCol w:w="567"/>
        <w:gridCol w:w="567"/>
        <w:gridCol w:w="567"/>
        <w:gridCol w:w="709"/>
        <w:gridCol w:w="567"/>
        <w:gridCol w:w="728"/>
      </w:tblGrid>
      <w:tr>
        <w:trPr/>
        <w:tc>
          <w:tcPr>
            <w:tcW w:w="4503"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Habilidades</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3</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4</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5</w:t>
            </w:r>
          </w:p>
        </w:tc>
        <w:tc>
          <w:tcPr>
            <w:tcW w:w="72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w:t>
            </w:r>
          </w:p>
        </w:tc>
      </w:tr>
      <w:tr>
        <w:tblPrEx/>
        <w:trPr/>
        <w:tc>
          <w:tcPr>
            <w:tcW w:w="4503"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Diagnóstico y tratamiento de halitosis</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6</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60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3</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30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2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r>
      <w:tr>
        <w:tblPrEx/>
        <w:trPr/>
        <w:tc>
          <w:tcPr>
            <w:tcW w:w="4503"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Uso y precauciones, con la amalgama dental</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6</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60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2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r>
      <w:tr>
        <w:tblPrEx/>
        <w:trPr/>
        <w:tc>
          <w:tcPr>
            <w:tcW w:w="4503"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Conoces enfermedades que tengan señales de alarma en las manifestaciones bucales</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5</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50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3</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30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w:t>
            </w:r>
          </w:p>
        </w:tc>
        <w:tc>
          <w:tcPr>
            <w:tcW w:w="72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10</w:t>
            </w:r>
          </w:p>
        </w:tc>
      </w:tr>
      <w:tr>
        <w:tblPrEx/>
        <w:trPr/>
        <w:tc>
          <w:tcPr>
            <w:tcW w:w="4503"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Preparación en covid-19</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6</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60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4</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40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2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r>
      <w:tr>
        <w:tblPrEx/>
        <w:trPr/>
        <w:tc>
          <w:tcPr>
            <w:tcW w:w="4503"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Hab</w:t>
            </w:r>
            <w:r>
              <w:rPr>
                <w:rFonts w:ascii="Times New Roman" w:cs="Times New Roman" w:hAnsi="Times New Roman"/>
                <w:sz w:val="24"/>
                <w:szCs w:val="24"/>
              </w:rPr>
              <w:t xml:space="preserve">ilidades </w:t>
            </w:r>
            <w:r>
              <w:rPr>
                <w:rFonts w:ascii="Times New Roman" w:cs="Times New Roman" w:hAnsi="Times New Roman"/>
                <w:sz w:val="24"/>
                <w:szCs w:val="24"/>
              </w:rPr>
              <w:t>investigativas</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5</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50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4</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40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2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r>
      <w:tr>
        <w:tblPrEx/>
        <w:trPr/>
        <w:tc>
          <w:tcPr>
            <w:tcW w:w="4503"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Hab</w:t>
            </w:r>
            <w:r>
              <w:rPr>
                <w:rFonts w:ascii="Times New Roman" w:cs="Times New Roman" w:hAnsi="Times New Roman"/>
                <w:sz w:val="24"/>
                <w:szCs w:val="24"/>
              </w:rPr>
              <w:t xml:space="preserve">ilidades </w:t>
            </w:r>
            <w:r>
              <w:rPr>
                <w:rFonts w:ascii="Times New Roman" w:cs="Times New Roman" w:hAnsi="Times New Roman"/>
                <w:sz w:val="24"/>
                <w:szCs w:val="24"/>
              </w:rPr>
              <w:t>comunicativas</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3</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30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3</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30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3</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30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w:t>
            </w:r>
          </w:p>
        </w:tc>
        <w:tc>
          <w:tcPr>
            <w:tcW w:w="72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10</w:t>
            </w:r>
          </w:p>
        </w:tc>
      </w:tr>
      <w:tr>
        <w:tblPrEx/>
        <w:trPr/>
        <w:tc>
          <w:tcPr>
            <w:tcW w:w="4503"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Integración en equipo</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5</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50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4</w:t>
            </w:r>
          </w:p>
        </w:tc>
        <w:tc>
          <w:tcPr>
            <w:tcW w:w="72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40</w:t>
            </w:r>
          </w:p>
        </w:tc>
      </w:tr>
      <w:tr>
        <w:tblPrEx/>
        <w:trPr/>
        <w:tc>
          <w:tcPr>
            <w:tcW w:w="4503"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Creatividad</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6</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60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3</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30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2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r>
      <w:tr>
        <w:tblPrEx/>
        <w:trPr/>
        <w:tc>
          <w:tcPr>
            <w:tcW w:w="4503"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Resiliencia</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70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5</w:t>
            </w:r>
          </w:p>
        </w:tc>
        <w:tc>
          <w:tcPr>
            <w:tcW w:w="709"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50</w:t>
            </w:r>
          </w:p>
        </w:tc>
        <w:tc>
          <w:tcPr>
            <w:tcW w:w="567"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5</w:t>
            </w:r>
          </w:p>
        </w:tc>
        <w:tc>
          <w:tcPr>
            <w:tcW w:w="728" w:type="dxa"/>
            <w:tcBorders/>
            <w:tcFitText w:val="false"/>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50</w:t>
            </w:r>
          </w:p>
        </w:tc>
      </w:tr>
    </w:tbl>
    <w:p>
      <w:pPr>
        <w:pStyle w:val="style0"/>
        <w:autoSpaceDE w:val="false"/>
        <w:autoSpaceDN w:val="false"/>
        <w:adjustRightInd w:val="false"/>
        <w:spacing w:after="0" w:lineRule="auto" w:line="360"/>
        <w:rPr>
          <w:rFonts w:ascii="Times New Roman" w:cs="Times New Roman" w:hAnsi="Times New Roman"/>
          <w:b/>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sz w:val="24"/>
          <w:szCs w:val="24"/>
        </w:rPr>
        <w:t>CONCLUSIONES</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La enseñanza de la estomatología cubana tiene los recursos humanos y la resiliencia, para asumir los retos impuestos en la docencia pos-covid-19, pero </w:t>
      </w:r>
      <w:r>
        <w:rPr>
          <w:rFonts w:ascii="Times New Roman" w:cs="Times New Roman" w:hAnsi="Times New Roman"/>
          <w:sz w:val="24"/>
          <w:szCs w:val="24"/>
        </w:rPr>
        <w:t>debe resolver deficiencias en</w:t>
      </w:r>
      <w:r>
        <w:rPr>
          <w:rFonts w:ascii="Times New Roman" w:cs="Times New Roman" w:hAnsi="Times New Roman"/>
          <w:sz w:val="24"/>
          <w:szCs w:val="24"/>
        </w:rPr>
        <w:t xml:space="preserve"> la</w:t>
      </w:r>
      <w:r>
        <w:rPr>
          <w:rFonts w:ascii="Times New Roman" w:cs="Times New Roman" w:hAnsi="Times New Roman"/>
          <w:sz w:val="24"/>
          <w:szCs w:val="24"/>
        </w:rPr>
        <w:t xml:space="preserve"> </w:t>
      </w:r>
      <w:r>
        <w:rPr>
          <w:rFonts w:ascii="Times New Roman" w:cs="Times New Roman" w:hAnsi="Times New Roman"/>
          <w:sz w:val="24"/>
          <w:szCs w:val="24"/>
        </w:rPr>
        <w:t xml:space="preserve">formación de </w:t>
      </w:r>
      <w:r>
        <w:rPr>
          <w:rFonts w:ascii="Times New Roman" w:cs="Times New Roman" w:hAnsi="Times New Roman"/>
          <w:sz w:val="24"/>
          <w:szCs w:val="24"/>
        </w:rPr>
        <w:t>competencias específicas y competencias transversales,</w:t>
      </w:r>
      <w:r>
        <w:rPr>
          <w:rFonts w:ascii="Times New Roman" w:cs="Times New Roman" w:hAnsi="Times New Roman"/>
          <w:sz w:val="24"/>
          <w:szCs w:val="24"/>
        </w:rPr>
        <w:t xml:space="preserve"> </w:t>
      </w:r>
      <w:r>
        <w:rPr>
          <w:rFonts w:ascii="Times New Roman" w:cs="Times New Roman" w:hAnsi="Times New Roman"/>
          <w:sz w:val="24"/>
          <w:szCs w:val="24"/>
        </w:rPr>
        <w:t>para</w:t>
      </w:r>
      <w:bookmarkStart w:id="0" w:name="_GoBack"/>
      <w:bookmarkEnd w:id="0"/>
      <w:r>
        <w:rPr>
          <w:rFonts w:ascii="Times New Roman" w:cs="Times New Roman" w:hAnsi="Times New Roman"/>
          <w:sz w:val="24"/>
          <w:szCs w:val="24"/>
        </w:rPr>
        <w:t>, proporcionar</w:t>
      </w:r>
      <w:r>
        <w:rPr>
          <w:rFonts w:ascii="Times New Roman" w:cs="Times New Roman" w:hAnsi="Times New Roman"/>
          <w:sz w:val="24"/>
          <w:szCs w:val="24"/>
        </w:rPr>
        <w:t xml:space="preserve"> </w:t>
      </w:r>
      <w:r>
        <w:rPr>
          <w:rFonts w:ascii="Times New Roman" w:cs="Times New Roman" w:hAnsi="Times New Roman"/>
          <w:sz w:val="24"/>
          <w:szCs w:val="24"/>
        </w:rPr>
        <w:t>salud bucodental con</w:t>
      </w:r>
      <w:r>
        <w:rPr>
          <w:rFonts w:ascii="Times New Roman" w:cs="Times New Roman" w:hAnsi="Times New Roman"/>
          <w:sz w:val="24"/>
          <w:szCs w:val="24"/>
        </w:rPr>
        <w:t xml:space="preserve"> calidad </w:t>
      </w:r>
      <w:r>
        <w:rPr>
          <w:rFonts w:ascii="Times New Roman" w:cs="Times New Roman" w:hAnsi="Times New Roman"/>
          <w:sz w:val="24"/>
          <w:szCs w:val="24"/>
        </w:rPr>
        <w:t>óptima para todos</w:t>
      </w:r>
      <w:r>
        <w:rPr>
          <w:rFonts w:ascii="Times New Roman" w:cs="Times New Roman" w:hAnsi="Times New Roman"/>
          <w:sz w:val="24"/>
          <w:szCs w:val="24"/>
        </w:rPr>
        <w:t xml:space="preserve"> </w:t>
      </w:r>
      <w:r>
        <w:rPr>
          <w:rFonts w:ascii="Times New Roman" w:cs="Times New Roman" w:hAnsi="Times New Roman"/>
          <w:sz w:val="24"/>
          <w:szCs w:val="24"/>
        </w:rPr>
        <w:t>y</w:t>
      </w:r>
      <w:r>
        <w:rPr>
          <w:rFonts w:ascii="Times New Roman" w:cs="Times New Roman" w:hAnsi="Times New Roman"/>
          <w:sz w:val="24"/>
          <w:szCs w:val="24"/>
        </w:rPr>
        <w:t xml:space="preserve"> </w:t>
      </w:r>
      <w:r>
        <w:rPr>
          <w:rFonts w:ascii="Times New Roman" w:cs="Times New Roman" w:hAnsi="Times New Roman"/>
          <w:sz w:val="24"/>
          <w:szCs w:val="24"/>
        </w:rPr>
        <w:t>alcanzar los retos,</w:t>
      </w:r>
      <w:r>
        <w:rPr>
          <w:rFonts w:ascii="Times New Roman" w:cs="Times New Roman" w:hAnsi="Times New Roman"/>
          <w:sz w:val="24"/>
          <w:szCs w:val="24"/>
        </w:rPr>
        <w:t xml:space="preserve"> a que nos convoca </w:t>
      </w:r>
      <w:r>
        <w:rPr>
          <w:rFonts w:ascii="Times New Roman" w:cs="Times New Roman" w:hAnsi="Times New Roman"/>
          <w:sz w:val="24"/>
          <w:szCs w:val="24"/>
        </w:rPr>
        <w:t xml:space="preserve">la Federación Dental </w:t>
      </w:r>
      <w:r>
        <w:rPr>
          <w:rFonts w:ascii="Times New Roman" w:cs="Times New Roman" w:hAnsi="Times New Roman"/>
          <w:sz w:val="24"/>
          <w:szCs w:val="24"/>
        </w:rPr>
        <w:t>Internacional,</w:t>
      </w:r>
      <w:r>
        <w:rPr>
          <w:rFonts w:ascii="Times New Roman" w:cs="Times New Roman" w:hAnsi="Times New Roman"/>
          <w:sz w:val="24"/>
          <w:szCs w:val="24"/>
        </w:rPr>
        <w:t xml:space="preserve"> </w:t>
      </w:r>
      <w:r>
        <w:rPr>
          <w:rFonts w:ascii="Times New Roman" w:cs="Times New Roman" w:hAnsi="Times New Roman"/>
          <w:sz w:val="24"/>
          <w:szCs w:val="24"/>
        </w:rPr>
        <w:t xml:space="preserve"> en su informe Visión 2030</w:t>
      </w:r>
      <w:r>
        <w:rPr>
          <w:rFonts w:ascii="Times New Roman" w:cs="Times New Roman" w:hAnsi="Times New Roman"/>
          <w:sz w:val="24"/>
          <w:szCs w:val="24"/>
        </w:rPr>
        <w:t>.</w:t>
      </w: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sz w:val="24"/>
          <w:szCs w:val="24"/>
        </w:rPr>
        <w:t>PROYECCIONES</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Formación</w:t>
      </w:r>
      <w:r>
        <w:rPr>
          <w:rFonts w:ascii="Times New Roman" w:cs="Times New Roman" w:hAnsi="Times New Roman"/>
          <w:sz w:val="24"/>
          <w:szCs w:val="24"/>
        </w:rPr>
        <w:t xml:space="preserve"> de profesionales</w:t>
      </w:r>
      <w:r>
        <w:rPr>
          <w:rFonts w:ascii="Times New Roman" w:cs="Times New Roman" w:hAnsi="Times New Roman"/>
          <w:sz w:val="24"/>
          <w:szCs w:val="24"/>
        </w:rPr>
        <w:t xml:space="preserve"> de estomatología,</w:t>
      </w:r>
      <w:r>
        <w:rPr>
          <w:rFonts w:ascii="Times New Roman" w:cs="Times New Roman" w:hAnsi="Times New Roman"/>
          <w:sz w:val="24"/>
          <w:szCs w:val="24"/>
        </w:rPr>
        <w:t xml:space="preserve"> de la “Era Post-</w:t>
      </w:r>
      <w:r>
        <w:rPr>
          <w:rFonts w:ascii="Times New Roman" w:cs="Times New Roman" w:hAnsi="Times New Roman"/>
          <w:sz w:val="24"/>
          <w:szCs w:val="24"/>
        </w:rPr>
        <w:t>Covid”, que</w:t>
      </w:r>
      <w:r>
        <w:rPr>
          <w:rFonts w:ascii="Times New Roman" w:cs="Times New Roman" w:hAnsi="Times New Roman"/>
          <w:sz w:val="24"/>
          <w:szCs w:val="24"/>
        </w:rPr>
        <w:t xml:space="preserve"> además de altos conocimientos </w:t>
      </w:r>
      <w:r>
        <w:rPr>
          <w:rFonts w:ascii="Times New Roman" w:cs="Times New Roman" w:hAnsi="Times New Roman"/>
          <w:sz w:val="24"/>
          <w:szCs w:val="24"/>
        </w:rPr>
        <w:t>profesionales, tengan</w:t>
      </w:r>
      <w:r>
        <w:rPr>
          <w:rFonts w:ascii="Times New Roman" w:cs="Times New Roman" w:hAnsi="Times New Roman"/>
          <w:sz w:val="24"/>
          <w:szCs w:val="24"/>
        </w:rPr>
        <w:t xml:space="preserve"> un conjunto de competencias sociales que permitan integrarse en los ambientes </w:t>
      </w:r>
      <w:r>
        <w:rPr>
          <w:rFonts w:ascii="Times New Roman" w:cs="Times New Roman" w:hAnsi="Times New Roman"/>
          <w:sz w:val="24"/>
          <w:szCs w:val="24"/>
        </w:rPr>
        <w:t>más</w:t>
      </w:r>
      <w:r>
        <w:rPr>
          <w:rFonts w:ascii="Times New Roman" w:cs="Times New Roman" w:hAnsi="Times New Roman"/>
          <w:sz w:val="24"/>
          <w:szCs w:val="24"/>
        </w:rPr>
        <w:t xml:space="preserve"> diversos,</w:t>
      </w:r>
      <w:r>
        <w:rPr>
          <w:rFonts w:ascii="Times New Roman" w:cs="Times New Roman" w:hAnsi="Times New Roman"/>
          <w:sz w:val="24"/>
          <w:szCs w:val="24"/>
        </w:rPr>
        <w:t xml:space="preserve"> </w:t>
      </w:r>
      <w:r>
        <w:rPr>
          <w:rFonts w:ascii="Times New Roman" w:cs="Times New Roman" w:hAnsi="Times New Roman"/>
          <w:sz w:val="24"/>
          <w:szCs w:val="24"/>
        </w:rPr>
        <w:t>comunicación,</w:t>
      </w:r>
      <w:r>
        <w:rPr>
          <w:rFonts w:ascii="Times New Roman" w:cs="Times New Roman" w:hAnsi="Times New Roman"/>
          <w:sz w:val="24"/>
          <w:szCs w:val="24"/>
        </w:rPr>
        <w:t xml:space="preserve"> </w:t>
      </w:r>
      <w:r>
        <w:rPr>
          <w:rFonts w:ascii="Times New Roman" w:cs="Times New Roman" w:hAnsi="Times New Roman"/>
          <w:sz w:val="24"/>
          <w:szCs w:val="24"/>
        </w:rPr>
        <w:t>organización,</w:t>
      </w:r>
      <w:r>
        <w:rPr>
          <w:rFonts w:ascii="Times New Roman" w:cs="Times New Roman" w:hAnsi="Times New Roman"/>
          <w:sz w:val="24"/>
          <w:szCs w:val="24"/>
        </w:rPr>
        <w:t xml:space="preserve"> </w:t>
      </w:r>
      <w:r>
        <w:rPr>
          <w:rFonts w:ascii="Times New Roman" w:cs="Times New Roman" w:hAnsi="Times New Roman"/>
          <w:sz w:val="24"/>
          <w:szCs w:val="24"/>
        </w:rPr>
        <w:t>trabajo en equipo,</w:t>
      </w:r>
      <w:r>
        <w:rPr>
          <w:rFonts w:ascii="Times New Roman" w:cs="Times New Roman" w:hAnsi="Times New Roman"/>
          <w:sz w:val="24"/>
          <w:szCs w:val="24"/>
        </w:rPr>
        <w:t xml:space="preserve"> </w:t>
      </w:r>
      <w:r>
        <w:rPr>
          <w:rFonts w:ascii="Times New Roman" w:cs="Times New Roman" w:hAnsi="Times New Roman"/>
          <w:sz w:val="24"/>
          <w:szCs w:val="24"/>
        </w:rPr>
        <w:t>creatividad,</w:t>
      </w:r>
      <w:r>
        <w:rPr>
          <w:rFonts w:ascii="Times New Roman" w:cs="Times New Roman" w:hAnsi="Times New Roman"/>
          <w:sz w:val="24"/>
          <w:szCs w:val="24"/>
        </w:rPr>
        <w:t xml:space="preserve"> </w:t>
      </w:r>
      <w:r>
        <w:rPr>
          <w:rFonts w:ascii="Times New Roman" w:cs="Times New Roman" w:hAnsi="Times New Roman"/>
          <w:sz w:val="24"/>
          <w:szCs w:val="24"/>
        </w:rPr>
        <w:t xml:space="preserve">pensamiento </w:t>
      </w:r>
      <w:r>
        <w:rPr>
          <w:rFonts w:ascii="Times New Roman" w:cs="Times New Roman" w:hAnsi="Times New Roman"/>
          <w:sz w:val="24"/>
          <w:szCs w:val="24"/>
        </w:rPr>
        <w:t>crítico</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adaptabilidad, que</w:t>
      </w:r>
      <w:r>
        <w:rPr>
          <w:rFonts w:ascii="Times New Roman" w:cs="Times New Roman" w:hAnsi="Times New Roman"/>
          <w:sz w:val="24"/>
          <w:szCs w:val="24"/>
        </w:rPr>
        <w:t xml:space="preserve"> posean con creces ese grupo de habilidades que esgrimen y dominan los mejores y que en ello está el </w:t>
      </w:r>
      <w:r>
        <w:rPr>
          <w:rFonts w:ascii="Times New Roman" w:cs="Times New Roman" w:hAnsi="Times New Roman"/>
          <w:sz w:val="24"/>
          <w:szCs w:val="24"/>
        </w:rPr>
        <w:t>éxito</w:t>
      </w:r>
      <w:r>
        <w:rPr>
          <w:rFonts w:ascii="Times New Roman" w:cs="Times New Roman" w:hAnsi="Times New Roman"/>
          <w:sz w:val="24"/>
          <w:szCs w:val="24"/>
        </w:rPr>
        <w:t>, no solo es el desarrollo del experto que sea competente en una determinada área del saber, si no hay que apuntar al ideal de una persona comprometida con lo que hace.</w:t>
      </w:r>
    </w:p>
    <w:sectPr>
      <w:pgSz w:w="12240" w:h="15840" w:code="1" w:orient="portrait"/>
      <w:pgMar w:top="1418" w:right="1418" w:bottom="1418"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20002A87" w:usb1="80000000" w:usb2="00000008" w:usb3="00000000" w:csb0="000001FF" w:csb1="00000000"/>
  </w:font>
  <w:font w:name="Courier New">
    <w:altName w:val="Courier New"/>
    <w:panose1 w:val="02070309020002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Tahoma">
    <w:altName w:val="Tahoma"/>
    <w:panose1 w:val="020b0604030005040204"/>
    <w:charset w:val="00"/>
    <w:family w:val="swiss"/>
    <w:pitch w:val="variable"/>
    <w:sig w:usb0="61002A87" w:usb1="80000000" w:usb2="00000008" w:usb3="00000000" w:csb0="000101FF" w:csb1="00000000"/>
  </w:font>
  <w:font w:name="DIN Next LT Pro Light Condensed">
    <w:altName w:val="DIN Next LT Pro Light Condensed"/>
    <w:panose1 w:val="00000000000000000000"/>
    <w:charset w:val="00"/>
    <w:family w:val="swiss"/>
    <w:pitch w:val="default"/>
    <w:sig w:usb0="00000003" w:usb1="00000000" w:usb2="00000000" w:usb3="00000000" w:csb0="00000001" w:csb1="00000000"/>
  </w:font>
  <w:font w:name="Cambria">
    <w:altName w:val="Cambria"/>
    <w:panose1 w:val="02040503050004030204"/>
    <w:charset w:val="00"/>
    <w:family w:val="roman"/>
    <w:pitch w:val="variable"/>
    <w:sig w:usb0="E00002FF" w:usb1="400004FF" w:usb2="00000000" w:usb3="00000000" w:csb0="0000019F" w:csb1="00000000"/>
  </w:font>
  <w:font w:name="Swis721 Cn BT">
    <w:altName w:val="Swis721 Cn BT"/>
    <w:panose1 w:val="00000000000000000000"/>
    <w:charset w:val="00"/>
    <w:family w:val="roman"/>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7F80772"/>
    <w:lvl w:ilvl="0" w:tplc="CB2E3BF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0000001"/>
    <w:multiLevelType w:val="hybridMultilevel"/>
    <w:tmpl w:val="297E09EA"/>
    <w:lvl w:ilvl="0" w:tplc="1F3239C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0000002"/>
    <w:multiLevelType w:val="hybridMultilevel"/>
    <w:tmpl w:val="F2787FFA"/>
    <w:lvl w:ilvl="0" w:tplc="FDA07F98">
      <w:start w:val="1"/>
      <w:numFmt w:val="decimal"/>
      <w:lvlText w:val="%1-"/>
      <w:lvlJc w:val="left"/>
      <w:pPr>
        <w:ind w:left="360" w:hanging="360"/>
      </w:pPr>
      <w:rPr>
        <w:rFonts w:hint="default"/>
        <w:b w:val="false"/>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00000003"/>
    <w:multiLevelType w:val="hybridMultilevel"/>
    <w:tmpl w:val="18DAA8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cs="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cs="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cs="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00000004"/>
    <w:multiLevelType w:val="hybridMultilevel"/>
    <w:tmpl w:val="AE34AA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68421C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8BE6784A"/>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DFBA95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AB16E9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046E3E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984AEE4C"/>
    <w:lvl w:ilvl="0" w:tplc="8AB85D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0000000B"/>
    <w:multiLevelType w:val="hybridMultilevel"/>
    <w:tmpl w:val="984AEE4C"/>
    <w:lvl w:ilvl="0" w:tplc="8AB85D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0000000C"/>
    <w:multiLevelType w:val="hybridMultilevel"/>
    <w:tmpl w:val="95D0D3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6FCC7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71621A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0000000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drawingGridHorizontalSpacing w:val="181"/>
  <w:drawingGridVerticalSpacing w:val="181"/>
  <w:displayHorizont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decimalSymbol w:val=","/>
  <w:listSeparator w:val=";"/>
</w:settings>
</file>

<file path=word/styles.xml><?xml version="1.0" encoding="utf-8"?>
<w:styles xmlns:w="http://schemas.openxmlformats.org/wordprocessingml/2006/main">
  <w:docDefaults>
    <w:rPrDefault>
      <w:rPr>
        <w:rFonts w:asciiTheme="minorHAnsi" w:eastAsiaTheme="minorEastAsia" w:hAnsiTheme="minorHAnsi" w:cstheme="minorBidi"/>
        <w:lang w:val="es-ES" w:bidi="ar-SA" w:eastAsia="en-US"/>
      </w:rPr>
    </w:rPrDefault>
    <w:pPrDefault>
      <w:pPr>
        <w:spacing w:after="200" w:lineRule="auto" w:line="276"/>
        <w:jc w:val="both"/>
      </w:pPr>
    </w:pPrDefault>
  </w:docDefaults>
  <w:style w:type="paragraph" w:default="1" w:styleId="style0">
    <w:name w:val="Normal"/>
    <w:next w:val="style0"/>
    <w:qFormat/>
    <w:pPr/>
  </w:style>
  <w:style w:type="paragraph" w:styleId="style1">
    <w:name w:val="heading 1"/>
    <w:basedOn w:val="style0"/>
    <w:next w:val="style0"/>
    <w:link w:val="style4101"/>
    <w:qFormat/>
    <w:uiPriority w:val="9"/>
    <w:pPr>
      <w:spacing w:before="300" w:after="40"/>
      <w:jc w:val="left"/>
      <w:outlineLvl w:val="0"/>
    </w:pPr>
    <w:rPr>
      <w:smallCaps/>
      <w:spacing w:val="5"/>
      <w:sz w:val="32"/>
      <w:szCs w:val="32"/>
    </w:rPr>
  </w:style>
  <w:style w:type="paragraph" w:styleId="style2">
    <w:name w:val="heading 2"/>
    <w:basedOn w:val="style0"/>
    <w:next w:val="style0"/>
    <w:link w:val="style4102"/>
    <w:qFormat/>
    <w:uiPriority w:val="9"/>
    <w:pPr>
      <w:spacing w:before="240" w:after="80"/>
      <w:jc w:val="left"/>
      <w:outlineLvl w:val="1"/>
    </w:pPr>
    <w:rPr>
      <w:smallCaps/>
      <w:spacing w:val="5"/>
      <w:sz w:val="28"/>
      <w:szCs w:val="28"/>
    </w:rPr>
  </w:style>
  <w:style w:type="paragraph" w:styleId="style3">
    <w:name w:val="heading 3"/>
    <w:basedOn w:val="style0"/>
    <w:next w:val="style0"/>
    <w:link w:val="style4103"/>
    <w:qFormat/>
    <w:uiPriority w:val="9"/>
    <w:pPr>
      <w:spacing w:after="0"/>
      <w:jc w:val="left"/>
      <w:outlineLvl w:val="2"/>
    </w:pPr>
    <w:rPr>
      <w:smallCaps/>
      <w:spacing w:val="5"/>
      <w:sz w:val="24"/>
      <w:szCs w:val="24"/>
    </w:rPr>
  </w:style>
  <w:style w:type="paragraph" w:styleId="style4">
    <w:name w:val="heading 4"/>
    <w:basedOn w:val="style0"/>
    <w:next w:val="style0"/>
    <w:link w:val="style4104"/>
    <w:qFormat/>
    <w:uiPriority w:val="9"/>
    <w:pPr>
      <w:spacing w:before="240" w:after="0"/>
      <w:jc w:val="left"/>
      <w:outlineLvl w:val="3"/>
    </w:pPr>
    <w:rPr>
      <w:smallCaps/>
      <w:spacing w:val="10"/>
      <w:sz w:val="22"/>
      <w:szCs w:val="22"/>
    </w:rPr>
  </w:style>
  <w:style w:type="paragraph" w:styleId="style5">
    <w:name w:val="heading 5"/>
    <w:basedOn w:val="style0"/>
    <w:next w:val="style0"/>
    <w:link w:val="style4105"/>
    <w:qFormat/>
    <w:uiPriority w:val="9"/>
    <w:pPr>
      <w:spacing w:before="200" w:after="0"/>
      <w:jc w:val="left"/>
      <w:outlineLvl w:val="4"/>
    </w:pPr>
    <w:rPr>
      <w:smallCaps/>
      <w:color w:val="943634"/>
      <w:spacing w:val="10"/>
      <w:sz w:val="22"/>
      <w:szCs w:val="26"/>
    </w:rPr>
  </w:style>
  <w:style w:type="paragraph" w:styleId="style6">
    <w:name w:val="heading 6"/>
    <w:basedOn w:val="style0"/>
    <w:next w:val="style0"/>
    <w:link w:val="style4106"/>
    <w:qFormat/>
    <w:uiPriority w:val="9"/>
    <w:pPr>
      <w:spacing w:after="0"/>
      <w:jc w:val="left"/>
      <w:outlineLvl w:val="5"/>
    </w:pPr>
    <w:rPr>
      <w:smallCaps/>
      <w:color w:val="c0504d"/>
      <w:spacing w:val="5"/>
      <w:sz w:val="22"/>
    </w:rPr>
  </w:style>
  <w:style w:type="paragraph" w:styleId="style7">
    <w:name w:val="heading 7"/>
    <w:basedOn w:val="style0"/>
    <w:next w:val="style0"/>
    <w:link w:val="style4107"/>
    <w:qFormat/>
    <w:uiPriority w:val="9"/>
    <w:pPr>
      <w:spacing w:after="0"/>
      <w:jc w:val="left"/>
      <w:outlineLvl w:val="6"/>
    </w:pPr>
    <w:rPr>
      <w:b/>
      <w:smallCaps/>
      <w:color w:val="c0504d"/>
      <w:spacing w:val="10"/>
    </w:rPr>
  </w:style>
  <w:style w:type="paragraph" w:styleId="style8">
    <w:name w:val="heading 8"/>
    <w:basedOn w:val="style0"/>
    <w:next w:val="style0"/>
    <w:link w:val="style4108"/>
    <w:qFormat/>
    <w:uiPriority w:val="9"/>
    <w:pPr>
      <w:spacing w:after="0"/>
      <w:jc w:val="left"/>
      <w:outlineLvl w:val="7"/>
    </w:pPr>
    <w:rPr>
      <w:b/>
      <w:i/>
      <w:smallCaps/>
      <w:color w:val="943634"/>
    </w:rPr>
  </w:style>
  <w:style w:type="paragraph" w:styleId="style9">
    <w:name w:val="heading 9"/>
    <w:basedOn w:val="style0"/>
    <w:next w:val="style0"/>
    <w:link w:val="style4109"/>
    <w:qFormat/>
    <w:uiPriority w:val="9"/>
    <w:pPr>
      <w:spacing w:after="0"/>
      <w:jc w:val="left"/>
      <w:outlineLvl w:val="8"/>
    </w:pPr>
    <w:rPr>
      <w:b/>
      <w:i/>
      <w:smallCaps/>
      <w:color w:val="622423"/>
    </w:r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Texto de globo Car"/>
    <w:basedOn w:val="style65"/>
    <w:next w:val="style4097"/>
    <w:link w:val="style153"/>
    <w:uiPriority w:val="99"/>
    <w:rPr>
      <w:rFonts w:ascii="Tahoma" w:cs="Tahoma" w:hAnsi="Tahoma"/>
      <w:sz w:val="16"/>
      <w:szCs w:val="16"/>
    </w:rPr>
  </w:style>
  <w:style w:type="table" w:styleId="style154">
    <w:name w:val="Table Grid"/>
    <w:basedOn w:val="style105"/>
    <w:next w:val="style154"/>
    <w:uiPriority w:val="59"/>
    <w:pPr>
      <w:spacing w:after="0" w:lineRule="auto" w:line="240"/>
    </w:pPr>
    <w:rPr/>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4">
    <w:name w:val="caption"/>
    <w:basedOn w:val="style0"/>
    <w:next w:val="style0"/>
    <w:qFormat/>
    <w:uiPriority w:val="35"/>
    <w:pPr/>
    <w:rPr>
      <w:b/>
      <w:bCs/>
      <w:caps/>
      <w:sz w:val="16"/>
      <w:szCs w:val="18"/>
    </w:rPr>
  </w:style>
  <w:style w:type="paragraph" w:styleId="style31">
    <w:name w:val="header"/>
    <w:basedOn w:val="style0"/>
    <w:next w:val="style31"/>
    <w:link w:val="style4098"/>
    <w:uiPriority w:val="99"/>
    <w:pPr>
      <w:tabs>
        <w:tab w:val="center" w:leader="none" w:pos="4252"/>
        <w:tab w:val="right" w:leader="none" w:pos="8504"/>
      </w:tabs>
      <w:spacing w:after="0" w:lineRule="auto" w:line="240"/>
    </w:pPr>
    <w:rPr/>
  </w:style>
  <w:style w:type="character" w:customStyle="1" w:styleId="style4098">
    <w:name w:val="Encabezado Car"/>
    <w:basedOn w:val="style65"/>
    <w:next w:val="style4098"/>
    <w:link w:val="style31"/>
    <w:uiPriority w:val="99"/>
  </w:style>
  <w:style w:type="paragraph" w:styleId="style32">
    <w:name w:val="footer"/>
    <w:basedOn w:val="style0"/>
    <w:next w:val="style32"/>
    <w:link w:val="style4099"/>
    <w:uiPriority w:val="99"/>
    <w:pPr>
      <w:tabs>
        <w:tab w:val="center" w:leader="none" w:pos="4252"/>
        <w:tab w:val="right" w:leader="none" w:pos="8504"/>
      </w:tabs>
      <w:spacing w:after="0" w:lineRule="auto" w:line="240"/>
    </w:pPr>
    <w:rPr/>
  </w:style>
  <w:style w:type="character" w:customStyle="1" w:styleId="style4099">
    <w:name w:val="Pie de página Car"/>
    <w:basedOn w:val="style65"/>
    <w:next w:val="style4099"/>
    <w:link w:val="style32"/>
    <w:uiPriority w:val="99"/>
  </w:style>
  <w:style w:type="character" w:styleId="style85">
    <w:name w:val="Hyperlink"/>
    <w:basedOn w:val="style65"/>
    <w:next w:val="style85"/>
    <w:uiPriority w:val="99"/>
    <w:rPr>
      <w:color w:val="0000ff"/>
      <w:u w:val="single"/>
    </w:rPr>
  </w:style>
  <w:style w:type="paragraph" w:customStyle="1" w:styleId="style4100">
    <w:name w:val="Default"/>
    <w:next w:val="style4100"/>
    <w:pPr>
      <w:autoSpaceDE w:val="false"/>
      <w:autoSpaceDN w:val="false"/>
      <w:adjustRightInd w:val="false"/>
      <w:spacing w:after="0" w:lineRule="auto" w:line="240"/>
    </w:pPr>
    <w:rPr>
      <w:rFonts w:ascii="DIN Next LT Pro Light Condensed" w:cs="DIN Next LT Pro Light Condensed" w:hAnsi="DIN Next LT Pro Light Condensed"/>
      <w:color w:val="000000"/>
      <w:sz w:val="24"/>
      <w:szCs w:val="24"/>
    </w:rPr>
  </w:style>
  <w:style w:type="character" w:customStyle="1" w:styleId="style4101">
    <w:name w:val="Título 1 Car"/>
    <w:basedOn w:val="style65"/>
    <w:next w:val="style4101"/>
    <w:link w:val="style1"/>
    <w:uiPriority w:val="9"/>
    <w:rPr>
      <w:smallCaps/>
      <w:spacing w:val="5"/>
      <w:sz w:val="32"/>
      <w:szCs w:val="32"/>
    </w:rPr>
  </w:style>
  <w:style w:type="character" w:customStyle="1" w:styleId="style4102">
    <w:name w:val="Título 2 Car"/>
    <w:basedOn w:val="style65"/>
    <w:next w:val="style4102"/>
    <w:link w:val="style2"/>
    <w:uiPriority w:val="9"/>
    <w:rPr>
      <w:smallCaps/>
      <w:spacing w:val="5"/>
      <w:sz w:val="28"/>
      <w:szCs w:val="28"/>
    </w:rPr>
  </w:style>
  <w:style w:type="character" w:customStyle="1" w:styleId="style4103">
    <w:name w:val="Título 3 Car"/>
    <w:basedOn w:val="style65"/>
    <w:next w:val="style4103"/>
    <w:link w:val="style3"/>
    <w:uiPriority w:val="9"/>
    <w:rPr>
      <w:smallCaps/>
      <w:spacing w:val="5"/>
      <w:sz w:val="24"/>
      <w:szCs w:val="24"/>
    </w:rPr>
  </w:style>
  <w:style w:type="character" w:customStyle="1" w:styleId="style4104">
    <w:name w:val="Título 4 Car"/>
    <w:basedOn w:val="style65"/>
    <w:next w:val="style4104"/>
    <w:link w:val="style4"/>
    <w:uiPriority w:val="9"/>
    <w:rPr>
      <w:smallCaps/>
      <w:spacing w:val="10"/>
      <w:sz w:val="22"/>
      <w:szCs w:val="22"/>
    </w:rPr>
  </w:style>
  <w:style w:type="character" w:customStyle="1" w:styleId="style4105">
    <w:name w:val="Título 5 Car"/>
    <w:basedOn w:val="style65"/>
    <w:next w:val="style4105"/>
    <w:link w:val="style5"/>
    <w:uiPriority w:val="9"/>
    <w:rPr>
      <w:smallCaps/>
      <w:color w:val="943634"/>
      <w:spacing w:val="10"/>
      <w:sz w:val="22"/>
      <w:szCs w:val="26"/>
    </w:rPr>
  </w:style>
  <w:style w:type="character" w:customStyle="1" w:styleId="style4106">
    <w:name w:val="Título 6 Car"/>
    <w:basedOn w:val="style65"/>
    <w:next w:val="style4106"/>
    <w:link w:val="style6"/>
    <w:uiPriority w:val="9"/>
    <w:rPr>
      <w:smallCaps/>
      <w:color w:val="c0504d"/>
      <w:spacing w:val="5"/>
      <w:sz w:val="22"/>
    </w:rPr>
  </w:style>
  <w:style w:type="character" w:customStyle="1" w:styleId="style4107">
    <w:name w:val="Título 7 Car"/>
    <w:basedOn w:val="style65"/>
    <w:next w:val="style4107"/>
    <w:link w:val="style7"/>
    <w:uiPriority w:val="9"/>
    <w:rPr>
      <w:b/>
      <w:smallCaps/>
      <w:color w:val="c0504d"/>
      <w:spacing w:val="10"/>
    </w:rPr>
  </w:style>
  <w:style w:type="character" w:customStyle="1" w:styleId="style4108">
    <w:name w:val="Título 8 Car"/>
    <w:basedOn w:val="style65"/>
    <w:next w:val="style4108"/>
    <w:link w:val="style8"/>
    <w:uiPriority w:val="9"/>
    <w:rPr>
      <w:b/>
      <w:i/>
      <w:smallCaps/>
      <w:color w:val="943634"/>
    </w:rPr>
  </w:style>
  <w:style w:type="character" w:customStyle="1" w:styleId="style4109">
    <w:name w:val="Título 9 Car"/>
    <w:basedOn w:val="style65"/>
    <w:next w:val="style4109"/>
    <w:link w:val="style9"/>
    <w:uiPriority w:val="9"/>
    <w:rPr>
      <w:b/>
      <w:i/>
      <w:smallCaps/>
      <w:color w:val="622423"/>
    </w:rPr>
  </w:style>
  <w:style w:type="paragraph" w:styleId="style62">
    <w:name w:val="Title"/>
    <w:basedOn w:val="style0"/>
    <w:next w:val="style0"/>
    <w:link w:val="style4110"/>
    <w:qFormat/>
    <w:uiPriority w:val="10"/>
    <w:pPr>
      <w:pBdr>
        <w:top w:val="single" w:sz="12" w:space="1" w:color="c0504d"/>
      </w:pBdr>
      <w:spacing w:lineRule="auto" w:line="240"/>
      <w:jc w:val="right"/>
    </w:pPr>
    <w:rPr>
      <w:smallCaps/>
      <w:sz w:val="48"/>
      <w:szCs w:val="48"/>
    </w:rPr>
  </w:style>
  <w:style w:type="character" w:customStyle="1" w:styleId="style4110">
    <w:name w:val="Título Car"/>
    <w:basedOn w:val="style65"/>
    <w:next w:val="style4110"/>
    <w:link w:val="style62"/>
    <w:uiPriority w:val="10"/>
    <w:rPr>
      <w:smallCaps/>
      <w:sz w:val="48"/>
      <w:szCs w:val="48"/>
    </w:rPr>
  </w:style>
  <w:style w:type="paragraph" w:styleId="style74">
    <w:name w:val="Subtitle"/>
    <w:basedOn w:val="style0"/>
    <w:next w:val="style0"/>
    <w:link w:val="style4111"/>
    <w:qFormat/>
    <w:uiPriority w:val="11"/>
    <w:pPr>
      <w:spacing w:after="720" w:lineRule="auto" w:line="240"/>
      <w:jc w:val="right"/>
    </w:pPr>
    <w:rPr>
      <w:rFonts w:asciiTheme="majorHAnsi" w:eastAsiaTheme="majorEastAsia" w:hAnsiTheme="majorHAnsi" w:cstheme="majorBidi"/>
      <w:szCs w:val="22"/>
    </w:rPr>
  </w:style>
  <w:style w:type="character" w:customStyle="1" w:styleId="style4111">
    <w:name w:val="Subtítulo Car"/>
    <w:basedOn w:val="style65"/>
    <w:next w:val="style4111"/>
    <w:link w:val="style74"/>
    <w:uiPriority w:val="11"/>
    <w:rPr>
      <w:rFonts w:asciiTheme="majorHAnsi" w:eastAsiaTheme="majorEastAsia" w:hAnsiTheme="majorHAnsi" w:cstheme="majorBidi"/>
      <w:szCs w:val="22"/>
    </w:rPr>
  </w:style>
  <w:style w:type="character" w:styleId="style87">
    <w:name w:val="Strong"/>
    <w:next w:val="style87"/>
    <w:qFormat/>
    <w:uiPriority w:val="22"/>
    <w:rPr>
      <w:b/>
      <w:color w:val="c0504d"/>
    </w:rPr>
  </w:style>
  <w:style w:type="character" w:styleId="style88">
    <w:name w:val="Emphasis"/>
    <w:next w:val="style88"/>
    <w:qFormat/>
    <w:uiPriority w:val="20"/>
    <w:rPr>
      <w:b/>
      <w:i/>
      <w:spacing w:val="10"/>
    </w:rPr>
  </w:style>
  <w:style w:type="paragraph" w:styleId="style157">
    <w:name w:val="No Spacing"/>
    <w:basedOn w:val="style0"/>
    <w:next w:val="style157"/>
    <w:link w:val="style4112"/>
    <w:qFormat/>
    <w:uiPriority w:val="1"/>
    <w:pPr>
      <w:spacing w:after="0" w:lineRule="auto" w:line="240"/>
    </w:pPr>
    <w:rPr/>
  </w:style>
  <w:style w:type="character" w:customStyle="1" w:styleId="style4112">
    <w:name w:val="Sin espaciado Car"/>
    <w:basedOn w:val="style65"/>
    <w:next w:val="style4112"/>
    <w:link w:val="style157"/>
    <w:uiPriority w:val="1"/>
  </w:style>
  <w:style w:type="paragraph" w:styleId="style180">
    <w:name w:val="Quote"/>
    <w:basedOn w:val="style0"/>
    <w:next w:val="style0"/>
    <w:link w:val="style4113"/>
    <w:qFormat/>
    <w:uiPriority w:val="29"/>
    <w:pPr/>
    <w:rPr>
      <w:i/>
    </w:rPr>
  </w:style>
  <w:style w:type="character" w:customStyle="1" w:styleId="style4113">
    <w:name w:val="Cita Car"/>
    <w:basedOn w:val="style65"/>
    <w:next w:val="style4113"/>
    <w:link w:val="style180"/>
    <w:uiPriority w:val="29"/>
    <w:rPr>
      <w:i/>
    </w:rPr>
  </w:style>
  <w:style w:type="paragraph" w:styleId="style181">
    <w:name w:val="Intense Quote"/>
    <w:basedOn w:val="style0"/>
    <w:next w:val="style0"/>
    <w:link w:val="style4114"/>
    <w:qFormat/>
    <w:uiPriority w:val="30"/>
    <w:pPr>
      <w:pBdr>
        <w:left w:val="single" w:sz="8" w:space="10" w:color="943634"/>
        <w:right w:val="single" w:sz="8" w:space="10" w:color="943634"/>
        <w:top w:val="single" w:sz="8" w:space="10" w:color="943634"/>
        <w:bottom w:val="single" w:sz="8" w:space="10" w:color="943634"/>
      </w:pBdr>
      <w:shd w:val="clear" w:color="auto" w:fill="c0504d"/>
      <w:spacing w:before="140" w:after="140"/>
      <w:ind w:left="1440" w:right="1440"/>
    </w:pPr>
    <w:rPr>
      <w:b/>
      <w:i/>
      <w:color w:val="ffffff"/>
    </w:rPr>
  </w:style>
  <w:style w:type="character" w:customStyle="1" w:styleId="style4114">
    <w:name w:val="Cita destacada Car"/>
    <w:basedOn w:val="style65"/>
    <w:next w:val="style4114"/>
    <w:link w:val="style181"/>
    <w:uiPriority w:val="30"/>
    <w:rPr>
      <w:b/>
      <w:i/>
      <w:color w:val="ffffff"/>
      <w:shd w:val="clear" w:color="auto" w:fill="c0504d"/>
    </w:rPr>
  </w:style>
  <w:style w:type="character" w:styleId="style260">
    <w:name w:val="Subtle Emphasis"/>
    <w:next w:val="style260"/>
    <w:qFormat/>
    <w:uiPriority w:val="19"/>
    <w:rPr>
      <w:i/>
    </w:rPr>
  </w:style>
  <w:style w:type="character" w:styleId="style261">
    <w:name w:val="Intense Emphasis"/>
    <w:next w:val="style261"/>
    <w:qFormat/>
    <w:uiPriority w:val="21"/>
    <w:rPr>
      <w:b/>
      <w:i/>
      <w:color w:val="c0504d"/>
      <w:spacing w:val="10"/>
    </w:rPr>
  </w:style>
  <w:style w:type="character" w:styleId="style262">
    <w:name w:val="Subtle Reference"/>
    <w:next w:val="style262"/>
    <w:qFormat/>
    <w:uiPriority w:val="31"/>
    <w:rPr>
      <w:b/>
    </w:rPr>
  </w:style>
  <w:style w:type="character" w:styleId="style263">
    <w:name w:val="Intense Reference"/>
    <w:next w:val="style263"/>
    <w:qFormat/>
    <w:uiPriority w:val="32"/>
    <w:rPr>
      <w:b/>
      <w:bCs/>
      <w:smallCaps/>
      <w:spacing w:val="5"/>
      <w:sz w:val="22"/>
      <w:szCs w:val="22"/>
      <w:u w:val="single"/>
    </w:rPr>
  </w:style>
  <w:style w:type="character" w:styleId="style264">
    <w:name w:val="Book Title"/>
    <w:next w:val="style264"/>
    <w:qFormat/>
    <w:uiPriority w:val="33"/>
    <w:rPr>
      <w:rFonts w:asciiTheme="majorHAnsi" w:eastAsiaTheme="majorEastAsia" w:hAnsiTheme="majorHAnsi" w:cstheme="majorBidi"/>
      <w:i/>
      <w:iCs/>
      <w:sz w:val="20"/>
      <w:szCs w:val="20"/>
    </w:rPr>
  </w:style>
  <w:style w:type="paragraph" w:styleId="style266">
    <w:name w:val="TOC Heading"/>
    <w:basedOn w:val="style1"/>
    <w:next w:val="style0"/>
    <w:qFormat/>
    <w:uiPriority w:val="39"/>
    <w:pPr>
      <w:outlineLvl w:val="9"/>
    </w:pPr>
    <w:rPr>
      <w:lang w:bidi="en-US"/>
    </w:rPr>
  </w:style>
  <w:style w:type="character" w:customStyle="1" w:styleId="style4115">
    <w:name w:val="A7"/>
    <w:next w:val="style4115"/>
    <w:uiPriority w:val="99"/>
    <w:rPr>
      <w:rFonts w:cs="Swis721 Cn BT"/>
      <w:color w:val="000000"/>
      <w:sz w:val="12"/>
      <w:szCs w:val="12"/>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1" Type="http://schemas.openxmlformats.org/officeDocument/2006/relationships/numbering" Target="numbering.xml"/><Relationship Id="rId4"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1636</TotalTime>
  <Words>6373</Words>
  <Characters>28040</Characters>
  <Application>Kingsoft Office Writer</Application>
  <DocSecurity>0</DocSecurity>
  <Paragraphs>357</Paragraphs>
  <ScaleCrop>false</ScaleCrop>
  <Company>Hogar</Company>
  <LinksUpToDate>false</LinksUpToDate>
  <CharactersWithSpaces>33357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2002-01-01T14:02:00Z</dcterms:created>
  <dc:creator>Ismaray</dc:creator>
  <lastModifiedBy>Kingsoft Office</lastModifiedBy>
  <dcterms:modified xsi:type="dcterms:W3CDTF">2021-10-16T18:18:03Z</dcterms:modified>
  <revision>128</revision>
</coreProperties>
</file>