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28025" w14:textId="3FE681F5" w:rsidR="009D67CD" w:rsidRDefault="008B7E00" w:rsidP="00667F10">
      <w:pPr>
        <w:spacing w:after="0"/>
        <w:jc w:val="center"/>
        <w:rPr>
          <w:rFonts w:ascii="Times New Roman" w:hAnsi="Times New Roman" w:cs="Times New Roman"/>
          <w:b/>
          <w:sz w:val="28"/>
          <w:szCs w:val="28"/>
        </w:rPr>
      </w:pPr>
      <w:r>
        <w:rPr>
          <w:rFonts w:ascii="Times New Roman" w:hAnsi="Times New Roman" w:cs="Times New Roman"/>
          <w:b/>
          <w:sz w:val="28"/>
          <w:szCs w:val="28"/>
        </w:rPr>
        <w:t>SIMPOSIO INTERNACIONAL “HÁBITAT Y DESARROLLO COMUNITARIO SOSTENIBLE”</w:t>
      </w:r>
    </w:p>
    <w:p w14:paraId="09145D70" w14:textId="4AED8497" w:rsidR="00AA0AC8" w:rsidRPr="009D5E02" w:rsidRDefault="00AA0AC8" w:rsidP="00667F10">
      <w:pPr>
        <w:spacing w:after="0"/>
        <w:jc w:val="center"/>
        <w:rPr>
          <w:rFonts w:ascii="Times New Roman" w:hAnsi="Times New Roman" w:cs="Times New Roman"/>
          <w:b/>
          <w:sz w:val="28"/>
          <w:szCs w:val="28"/>
        </w:rPr>
      </w:pPr>
      <w:r>
        <w:rPr>
          <w:rFonts w:ascii="Times New Roman" w:hAnsi="Times New Roman" w:cs="Times New Roman"/>
          <w:b/>
          <w:sz w:val="28"/>
          <w:szCs w:val="28"/>
        </w:rPr>
        <w:t>HAB-COM 2021</w:t>
      </w:r>
    </w:p>
    <w:p w14:paraId="44C5DC3C" w14:textId="580F57DA" w:rsidR="00E912D0" w:rsidRDefault="00E912D0" w:rsidP="00667F10">
      <w:pPr>
        <w:spacing w:after="0"/>
        <w:jc w:val="center"/>
        <w:rPr>
          <w:rFonts w:ascii="Times New Roman" w:hAnsi="Times New Roman" w:cs="Times New Roman"/>
          <w:b/>
          <w:sz w:val="24"/>
          <w:szCs w:val="24"/>
        </w:rPr>
      </w:pPr>
    </w:p>
    <w:p w14:paraId="5FAA2F78" w14:textId="53999248" w:rsidR="00AE0869" w:rsidRDefault="00AE0869" w:rsidP="00667F10">
      <w:pPr>
        <w:spacing w:after="0"/>
        <w:jc w:val="center"/>
        <w:rPr>
          <w:rFonts w:ascii="Times New Roman" w:hAnsi="Times New Roman" w:cs="Times New Roman"/>
          <w:b/>
          <w:sz w:val="24"/>
          <w:szCs w:val="24"/>
        </w:rPr>
      </w:pPr>
    </w:p>
    <w:p w14:paraId="458DC2D4" w14:textId="77777777" w:rsidR="00AE0869" w:rsidRDefault="00AE0869" w:rsidP="00667F10">
      <w:pPr>
        <w:spacing w:after="0"/>
        <w:jc w:val="center"/>
        <w:rPr>
          <w:rFonts w:ascii="Times New Roman" w:hAnsi="Times New Roman" w:cs="Times New Roman"/>
          <w:b/>
          <w:sz w:val="24"/>
          <w:szCs w:val="24"/>
        </w:rPr>
      </w:pPr>
    </w:p>
    <w:p w14:paraId="759EC189" w14:textId="377981F7" w:rsidR="008A1C16" w:rsidRPr="009D5E02" w:rsidRDefault="008D308B" w:rsidP="00667F10">
      <w:pPr>
        <w:spacing w:after="0"/>
        <w:jc w:val="center"/>
        <w:rPr>
          <w:rFonts w:ascii="Times New Roman" w:hAnsi="Times New Roman" w:cs="Times New Roman"/>
          <w:b/>
          <w:sz w:val="28"/>
          <w:szCs w:val="28"/>
        </w:rPr>
      </w:pPr>
      <w:bookmarkStart w:id="0" w:name="_Hlk86395189"/>
      <w:r w:rsidRPr="008D308B">
        <w:rPr>
          <w:rFonts w:ascii="Times New Roman" w:hAnsi="Times New Roman" w:cs="Times New Roman"/>
          <w:b/>
          <w:sz w:val="28"/>
          <w:szCs w:val="28"/>
        </w:rPr>
        <w:t>Seguridad hídrica de acuíferos en pozos de abasto de agua potable</w:t>
      </w:r>
    </w:p>
    <w:bookmarkEnd w:id="0"/>
    <w:p w14:paraId="66739981" w14:textId="380DB324" w:rsidR="008A1C16" w:rsidRDefault="008A1C16" w:rsidP="00667F10">
      <w:pPr>
        <w:spacing w:after="0"/>
        <w:jc w:val="center"/>
        <w:rPr>
          <w:rFonts w:ascii="Times New Roman" w:hAnsi="Times New Roman" w:cs="Times New Roman"/>
          <w:sz w:val="24"/>
          <w:szCs w:val="24"/>
        </w:rPr>
      </w:pPr>
    </w:p>
    <w:p w14:paraId="009E4A6B" w14:textId="77777777" w:rsidR="00AE0869" w:rsidRDefault="00AE0869" w:rsidP="00667F10">
      <w:pPr>
        <w:spacing w:after="0"/>
        <w:jc w:val="center"/>
        <w:rPr>
          <w:rFonts w:ascii="Times New Roman" w:hAnsi="Times New Roman" w:cs="Times New Roman"/>
          <w:sz w:val="24"/>
          <w:szCs w:val="24"/>
        </w:rPr>
      </w:pPr>
    </w:p>
    <w:p w14:paraId="7BD4EA10" w14:textId="77777777" w:rsidR="00E912D0" w:rsidRDefault="00E912D0" w:rsidP="00667F10">
      <w:pPr>
        <w:spacing w:after="0"/>
        <w:jc w:val="center"/>
        <w:rPr>
          <w:rFonts w:ascii="Times New Roman" w:hAnsi="Times New Roman" w:cs="Times New Roman"/>
          <w:b/>
          <w:i/>
          <w:sz w:val="24"/>
          <w:szCs w:val="24"/>
        </w:rPr>
      </w:pPr>
    </w:p>
    <w:p w14:paraId="387DE15F" w14:textId="19F736E9" w:rsidR="008A1C16" w:rsidRPr="001E4DC1" w:rsidRDefault="008D308B" w:rsidP="00667F10">
      <w:pPr>
        <w:spacing w:after="0"/>
        <w:jc w:val="center"/>
        <w:rPr>
          <w:rFonts w:ascii="Times New Roman" w:hAnsi="Times New Roman" w:cs="Times New Roman"/>
          <w:b/>
          <w:i/>
          <w:sz w:val="28"/>
          <w:szCs w:val="28"/>
          <w:lang w:val="en-US"/>
        </w:rPr>
      </w:pPr>
      <w:r w:rsidRPr="001E4DC1">
        <w:rPr>
          <w:rFonts w:ascii="Times New Roman" w:hAnsi="Times New Roman" w:cs="Times New Roman"/>
          <w:b/>
          <w:i/>
          <w:sz w:val="28"/>
          <w:szCs w:val="28"/>
          <w:lang w:val="en-US"/>
        </w:rPr>
        <w:t xml:space="preserve">Hydric security of aquifers in wells of supply of drinkable water </w:t>
      </w:r>
    </w:p>
    <w:p w14:paraId="3C023B39" w14:textId="77777777" w:rsidR="00AE0869" w:rsidRPr="001E4DC1" w:rsidRDefault="00AE0869" w:rsidP="00667F10">
      <w:pPr>
        <w:spacing w:after="0"/>
        <w:jc w:val="center"/>
        <w:rPr>
          <w:rFonts w:ascii="Times New Roman" w:hAnsi="Times New Roman" w:cs="Times New Roman"/>
          <w:sz w:val="24"/>
          <w:szCs w:val="24"/>
          <w:lang w:val="en-US"/>
        </w:rPr>
      </w:pPr>
    </w:p>
    <w:p w14:paraId="503BD5AC" w14:textId="77777777" w:rsidR="009D5E02" w:rsidRPr="001E4DC1" w:rsidRDefault="009D5E02" w:rsidP="00FF3346">
      <w:pPr>
        <w:spacing w:after="0" w:line="360" w:lineRule="auto"/>
        <w:rPr>
          <w:rFonts w:ascii="Times New Roman" w:hAnsi="Times New Roman" w:cs="Times New Roman"/>
          <w:b/>
          <w:sz w:val="24"/>
          <w:szCs w:val="24"/>
          <w:lang w:val="en-US"/>
        </w:rPr>
      </w:pPr>
    </w:p>
    <w:p w14:paraId="4C83C326" w14:textId="3CA6C47C" w:rsidR="002E0882" w:rsidRPr="001E4DC1" w:rsidRDefault="002E0882" w:rsidP="00FF3346">
      <w:pPr>
        <w:spacing w:after="0" w:line="360" w:lineRule="auto"/>
        <w:rPr>
          <w:rFonts w:ascii="Times New Roman" w:hAnsi="Times New Roman" w:cs="Times New Roman"/>
          <w:sz w:val="24"/>
          <w:szCs w:val="24"/>
          <w:lang w:val="en-US"/>
        </w:rPr>
      </w:pPr>
    </w:p>
    <w:p w14:paraId="64CCAD86" w14:textId="1B29DDC6" w:rsidR="00AE0869" w:rsidRPr="001E4DC1" w:rsidRDefault="00AE0869" w:rsidP="00FF3346">
      <w:pPr>
        <w:spacing w:after="0" w:line="360" w:lineRule="auto"/>
        <w:rPr>
          <w:rFonts w:ascii="Times New Roman" w:hAnsi="Times New Roman" w:cs="Times New Roman"/>
          <w:sz w:val="24"/>
          <w:szCs w:val="24"/>
          <w:lang w:val="en-US"/>
        </w:rPr>
      </w:pPr>
    </w:p>
    <w:p w14:paraId="302DC494" w14:textId="77777777" w:rsidR="00AE0869" w:rsidRPr="001E4DC1" w:rsidRDefault="00AE0869" w:rsidP="00FF3346">
      <w:pPr>
        <w:spacing w:after="0" w:line="360" w:lineRule="auto"/>
        <w:rPr>
          <w:rFonts w:ascii="Times New Roman" w:hAnsi="Times New Roman" w:cs="Times New Roman"/>
          <w:sz w:val="24"/>
          <w:szCs w:val="24"/>
          <w:lang w:val="en-US"/>
        </w:rPr>
      </w:pPr>
    </w:p>
    <w:p w14:paraId="3A350C62" w14:textId="7CDDAA0F" w:rsidR="00521BDB" w:rsidRPr="00521BDB" w:rsidRDefault="00521BDB" w:rsidP="00521BDB">
      <w:pPr>
        <w:spacing w:after="0" w:line="360" w:lineRule="auto"/>
        <w:rPr>
          <w:rFonts w:ascii="Times New Roman" w:hAnsi="Times New Roman" w:cs="Times New Roman"/>
          <w:b/>
          <w:sz w:val="24"/>
          <w:szCs w:val="24"/>
        </w:rPr>
      </w:pPr>
      <w:r w:rsidRPr="00521BDB">
        <w:rPr>
          <w:rFonts w:ascii="Times New Roman" w:hAnsi="Times New Roman" w:cs="Times New Roman"/>
          <w:b/>
          <w:sz w:val="24"/>
          <w:szCs w:val="24"/>
        </w:rPr>
        <w:t xml:space="preserve">Lic. Victor Antonio Entenza </w:t>
      </w:r>
      <w:proofErr w:type="spellStart"/>
      <w:r w:rsidRPr="00521BDB">
        <w:rPr>
          <w:rFonts w:ascii="Times New Roman" w:hAnsi="Times New Roman" w:cs="Times New Roman"/>
          <w:b/>
          <w:sz w:val="24"/>
          <w:szCs w:val="24"/>
        </w:rPr>
        <w:t>Boggiano</w:t>
      </w:r>
      <w:proofErr w:type="spellEnd"/>
      <w:r w:rsidRPr="00521BDB">
        <w:rPr>
          <w:rFonts w:ascii="Times New Roman" w:hAnsi="Times New Roman" w:cs="Times New Roman"/>
          <w:b/>
          <w:sz w:val="24"/>
          <w:szCs w:val="24"/>
        </w:rPr>
        <w:t xml:space="preserve"> </w:t>
      </w:r>
      <w:r w:rsidRPr="009221F8">
        <w:rPr>
          <w:rFonts w:ascii="Times New Roman" w:hAnsi="Times New Roman" w:cs="Times New Roman"/>
          <w:b/>
          <w:sz w:val="24"/>
          <w:szCs w:val="24"/>
          <w:vertAlign w:val="superscript"/>
        </w:rPr>
        <w:t>1</w:t>
      </w:r>
      <w:r w:rsidRPr="00521BDB">
        <w:rPr>
          <w:rFonts w:ascii="Times New Roman" w:hAnsi="Times New Roman" w:cs="Times New Roman"/>
          <w:b/>
          <w:sz w:val="24"/>
          <w:szCs w:val="24"/>
        </w:rPr>
        <w:t xml:space="preserve">, Dra. C. Lucía F. Argüelles Cortés </w:t>
      </w:r>
      <w:r w:rsidR="00B17324" w:rsidRPr="009221F8">
        <w:rPr>
          <w:rFonts w:ascii="Times New Roman" w:hAnsi="Times New Roman" w:cs="Times New Roman"/>
          <w:b/>
          <w:sz w:val="24"/>
          <w:szCs w:val="24"/>
          <w:vertAlign w:val="superscript"/>
        </w:rPr>
        <w:t>2</w:t>
      </w:r>
      <w:r w:rsidRPr="00521BDB">
        <w:rPr>
          <w:rFonts w:ascii="Times New Roman" w:hAnsi="Times New Roman" w:cs="Times New Roman"/>
          <w:b/>
          <w:sz w:val="24"/>
          <w:szCs w:val="24"/>
        </w:rPr>
        <w:t xml:space="preserve">, </w:t>
      </w:r>
    </w:p>
    <w:p w14:paraId="08EF259E" w14:textId="39DB3250" w:rsidR="009D5E02" w:rsidRDefault="00521BDB" w:rsidP="00521BDB">
      <w:pPr>
        <w:spacing w:after="0" w:line="360" w:lineRule="auto"/>
        <w:rPr>
          <w:rFonts w:ascii="Times New Roman" w:hAnsi="Times New Roman" w:cs="Times New Roman"/>
          <w:sz w:val="24"/>
          <w:szCs w:val="24"/>
        </w:rPr>
      </w:pPr>
      <w:r w:rsidRPr="00521BDB">
        <w:rPr>
          <w:rFonts w:ascii="Times New Roman" w:hAnsi="Times New Roman" w:cs="Times New Roman"/>
          <w:b/>
          <w:sz w:val="24"/>
          <w:szCs w:val="24"/>
        </w:rPr>
        <w:t xml:space="preserve">Dr. C. Michael Álvarez González </w:t>
      </w:r>
      <w:r w:rsidR="00B17324" w:rsidRPr="009221F8">
        <w:rPr>
          <w:rFonts w:ascii="Times New Roman" w:hAnsi="Times New Roman" w:cs="Times New Roman"/>
          <w:b/>
          <w:sz w:val="24"/>
          <w:szCs w:val="24"/>
          <w:vertAlign w:val="superscript"/>
        </w:rPr>
        <w:t>3</w:t>
      </w:r>
    </w:p>
    <w:p w14:paraId="5982D193" w14:textId="2911E8F1"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B17324">
        <w:rPr>
          <w:rFonts w:ascii="Times New Roman" w:hAnsi="Times New Roman" w:cs="Times New Roman"/>
          <w:sz w:val="24"/>
          <w:szCs w:val="24"/>
        </w:rPr>
        <w:t xml:space="preserve">Victor Antonio Entenza </w:t>
      </w:r>
      <w:proofErr w:type="spellStart"/>
      <w:r w:rsidR="00B17324">
        <w:rPr>
          <w:rFonts w:ascii="Times New Roman" w:hAnsi="Times New Roman" w:cs="Times New Roman"/>
          <w:sz w:val="24"/>
          <w:szCs w:val="24"/>
        </w:rPr>
        <w:t>Boggiano</w:t>
      </w:r>
      <w:proofErr w:type="spellEnd"/>
      <w:r w:rsidRPr="00E912D0">
        <w:rPr>
          <w:rFonts w:ascii="Times New Roman" w:hAnsi="Times New Roman" w:cs="Times New Roman"/>
          <w:sz w:val="24"/>
          <w:szCs w:val="24"/>
        </w:rPr>
        <w:t xml:space="preserve">. </w:t>
      </w:r>
      <w:r w:rsidR="00B17324">
        <w:rPr>
          <w:rFonts w:ascii="Times New Roman" w:hAnsi="Times New Roman" w:cs="Times New Roman"/>
          <w:sz w:val="24"/>
          <w:szCs w:val="24"/>
        </w:rPr>
        <w:t>Universidad Central “Marta Abreu” de Las Villas</w:t>
      </w:r>
      <w:r w:rsidRPr="00E912D0">
        <w:rPr>
          <w:rFonts w:ascii="Times New Roman" w:hAnsi="Times New Roman" w:cs="Times New Roman"/>
          <w:sz w:val="24"/>
          <w:szCs w:val="24"/>
        </w:rPr>
        <w:t xml:space="preserve">, </w:t>
      </w:r>
      <w:r w:rsidR="00B17324">
        <w:rPr>
          <w:rFonts w:ascii="Times New Roman" w:hAnsi="Times New Roman" w:cs="Times New Roman"/>
          <w:sz w:val="24"/>
          <w:szCs w:val="24"/>
        </w:rPr>
        <w:t>Cuba</w:t>
      </w:r>
      <w:r w:rsidRPr="00E912D0">
        <w:rPr>
          <w:rFonts w:ascii="Times New Roman" w:hAnsi="Times New Roman" w:cs="Times New Roman"/>
          <w:sz w:val="24"/>
          <w:szCs w:val="24"/>
        </w:rPr>
        <w:t>. E-mail:</w:t>
      </w:r>
      <w:r w:rsidR="00B17324">
        <w:rPr>
          <w:rFonts w:ascii="Times New Roman" w:hAnsi="Times New Roman" w:cs="Times New Roman"/>
          <w:sz w:val="24"/>
          <w:szCs w:val="24"/>
        </w:rPr>
        <w:t xml:space="preserve"> ventenza@uclv.cu.</w:t>
      </w:r>
    </w:p>
    <w:p w14:paraId="0AAED091" w14:textId="1DA12F15" w:rsidR="00E912D0" w:rsidRDefault="00E912D0"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B17324">
        <w:rPr>
          <w:rFonts w:ascii="Times New Roman" w:hAnsi="Times New Roman" w:cs="Times New Roman"/>
          <w:sz w:val="24"/>
          <w:szCs w:val="24"/>
        </w:rPr>
        <w:t>Lucía F. Argüelles Cortés</w:t>
      </w:r>
      <w:r w:rsidRPr="00E912D0">
        <w:rPr>
          <w:rFonts w:ascii="Times New Roman" w:hAnsi="Times New Roman" w:cs="Times New Roman"/>
          <w:sz w:val="24"/>
          <w:szCs w:val="24"/>
        </w:rPr>
        <w:t xml:space="preserve">. </w:t>
      </w:r>
      <w:r w:rsidR="00B17324">
        <w:rPr>
          <w:rFonts w:ascii="Times New Roman" w:hAnsi="Times New Roman" w:cs="Times New Roman"/>
          <w:sz w:val="24"/>
          <w:szCs w:val="24"/>
        </w:rPr>
        <w:t>Universidad Central “Marta Abreu” de Las Villas</w:t>
      </w:r>
      <w:r w:rsidRPr="00E912D0">
        <w:rPr>
          <w:rFonts w:ascii="Times New Roman" w:hAnsi="Times New Roman" w:cs="Times New Roman"/>
          <w:sz w:val="24"/>
          <w:szCs w:val="24"/>
        </w:rPr>
        <w:t xml:space="preserve">, </w:t>
      </w:r>
      <w:r w:rsidR="00B17324">
        <w:rPr>
          <w:rFonts w:ascii="Times New Roman" w:hAnsi="Times New Roman" w:cs="Times New Roman"/>
          <w:sz w:val="24"/>
          <w:szCs w:val="24"/>
        </w:rPr>
        <w:t>Cuba</w:t>
      </w:r>
      <w:r w:rsidRPr="00E912D0">
        <w:rPr>
          <w:rFonts w:ascii="Times New Roman" w:hAnsi="Times New Roman" w:cs="Times New Roman"/>
          <w:sz w:val="24"/>
          <w:szCs w:val="24"/>
        </w:rPr>
        <w:t>. E-mail:</w:t>
      </w:r>
      <w:r w:rsidR="00B17324">
        <w:rPr>
          <w:rFonts w:ascii="Times New Roman" w:hAnsi="Times New Roman" w:cs="Times New Roman"/>
          <w:sz w:val="24"/>
          <w:szCs w:val="24"/>
        </w:rPr>
        <w:t xml:space="preserve"> </w:t>
      </w:r>
      <w:hyperlink r:id="rId8" w:history="1">
        <w:r w:rsidR="00B17324" w:rsidRPr="00F445D6">
          <w:rPr>
            <w:rStyle w:val="Hyperlink"/>
            <w:rFonts w:ascii="Times New Roman" w:hAnsi="Times New Roman" w:cs="Times New Roman"/>
            <w:sz w:val="24"/>
            <w:szCs w:val="24"/>
          </w:rPr>
          <w:t>largue@uclv.edu.cu</w:t>
        </w:r>
      </w:hyperlink>
      <w:r w:rsidR="00B17324">
        <w:rPr>
          <w:rFonts w:ascii="Times New Roman" w:hAnsi="Times New Roman" w:cs="Times New Roman"/>
          <w:sz w:val="24"/>
          <w:szCs w:val="24"/>
        </w:rPr>
        <w:t>.</w:t>
      </w:r>
    </w:p>
    <w:p w14:paraId="31CC69F2" w14:textId="5E43C43C" w:rsidR="00B17324" w:rsidRDefault="00B17324"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 Michael Álvarez González. </w:t>
      </w:r>
      <w:r w:rsidRPr="00B17324">
        <w:rPr>
          <w:rFonts w:ascii="Times New Roman" w:hAnsi="Times New Roman" w:cs="Times New Roman"/>
          <w:sz w:val="24"/>
          <w:szCs w:val="24"/>
        </w:rPr>
        <w:t>Empresa de Investigaciones y Proyectos Hidráulicos de Villa Clara (IPH VC)</w:t>
      </w:r>
      <w:r>
        <w:rPr>
          <w:rFonts w:ascii="Times New Roman" w:hAnsi="Times New Roman" w:cs="Times New Roman"/>
          <w:sz w:val="24"/>
          <w:szCs w:val="24"/>
        </w:rPr>
        <w:t xml:space="preserve">, Cuba. E-mail: </w:t>
      </w:r>
      <w:r w:rsidRPr="00B17324">
        <w:rPr>
          <w:rFonts w:ascii="Times New Roman" w:hAnsi="Times New Roman" w:cs="Times New Roman"/>
          <w:sz w:val="24"/>
          <w:szCs w:val="24"/>
        </w:rPr>
        <w:t>michael@vc.hidro.cu</w:t>
      </w:r>
      <w:r>
        <w:rPr>
          <w:rFonts w:ascii="Times New Roman" w:hAnsi="Times New Roman" w:cs="Times New Roman"/>
          <w:sz w:val="24"/>
          <w:szCs w:val="24"/>
        </w:rPr>
        <w:t>.</w:t>
      </w:r>
    </w:p>
    <w:p w14:paraId="6F840E2F" w14:textId="77777777" w:rsidR="00E912D0" w:rsidRDefault="00E912D0" w:rsidP="00FF3346">
      <w:pPr>
        <w:spacing w:after="0" w:line="360" w:lineRule="auto"/>
        <w:rPr>
          <w:rFonts w:ascii="Times New Roman" w:hAnsi="Times New Roman" w:cs="Times New Roman"/>
          <w:b/>
          <w:sz w:val="24"/>
          <w:szCs w:val="24"/>
        </w:rPr>
      </w:pPr>
    </w:p>
    <w:p w14:paraId="3340D9FE" w14:textId="77777777" w:rsidR="00EC78BC" w:rsidRDefault="008A1C16" w:rsidP="00EC78B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14:paraId="455F5384" w14:textId="77777777" w:rsidR="00EC78BC" w:rsidRPr="00EC78BC" w:rsidRDefault="00EC78BC" w:rsidP="00EC78BC">
      <w:pPr>
        <w:spacing w:after="0" w:line="360" w:lineRule="auto"/>
        <w:jc w:val="both"/>
        <w:rPr>
          <w:rFonts w:ascii="Times New Roman" w:hAnsi="Times New Roman" w:cs="Times New Roman"/>
          <w:sz w:val="24"/>
          <w:szCs w:val="24"/>
        </w:rPr>
      </w:pPr>
      <w:r w:rsidRPr="00EC78BC">
        <w:rPr>
          <w:rFonts w:ascii="Times New Roman" w:hAnsi="Times New Roman" w:cs="Times New Roman"/>
          <w:sz w:val="24"/>
          <w:szCs w:val="24"/>
        </w:rPr>
        <w:t>La gestión de recursos hídricos juega un papel fundamental en el desarrollo de la capacidad de resiliencia del país luego del embate de la COVID-19. El estudio de la vulnerabilidad a la contaminación cobra gran importancia en dicha gestión.</w:t>
      </w:r>
    </w:p>
    <w:p w14:paraId="7513C904" w14:textId="77777777" w:rsidR="00EC78BC" w:rsidRPr="00EC78BC" w:rsidRDefault="00EC78BC" w:rsidP="00EC78BC">
      <w:pPr>
        <w:spacing w:after="0" w:line="360" w:lineRule="auto"/>
        <w:jc w:val="both"/>
        <w:rPr>
          <w:rFonts w:ascii="Times New Roman" w:hAnsi="Times New Roman" w:cs="Times New Roman"/>
          <w:sz w:val="24"/>
          <w:szCs w:val="24"/>
        </w:rPr>
      </w:pPr>
      <w:r w:rsidRPr="00EC78BC">
        <w:rPr>
          <w:rFonts w:ascii="Times New Roman" w:hAnsi="Times New Roman" w:cs="Times New Roman"/>
          <w:sz w:val="24"/>
          <w:szCs w:val="24"/>
        </w:rPr>
        <w:t xml:space="preserve">Se realiza un estudio de vulnerabilidad de acuíferos para la provincia de Villa Clara a fin de analizar el comportamiento de la seguridad hídrica actual en esta región. </w:t>
      </w:r>
    </w:p>
    <w:p w14:paraId="13138508" w14:textId="77777777" w:rsidR="00EC78BC" w:rsidRPr="00EC78BC" w:rsidRDefault="00EC78BC" w:rsidP="00EC78BC">
      <w:pPr>
        <w:spacing w:after="0" w:line="360" w:lineRule="auto"/>
        <w:jc w:val="both"/>
        <w:rPr>
          <w:rFonts w:ascii="Times New Roman" w:hAnsi="Times New Roman" w:cs="Times New Roman"/>
          <w:sz w:val="24"/>
          <w:szCs w:val="24"/>
        </w:rPr>
      </w:pPr>
      <w:r w:rsidRPr="00EC78BC">
        <w:rPr>
          <w:rFonts w:ascii="Times New Roman" w:hAnsi="Times New Roman" w:cs="Times New Roman"/>
          <w:sz w:val="24"/>
          <w:szCs w:val="24"/>
        </w:rPr>
        <w:t xml:space="preserve">Se asume por objetivo principal determinar el grado de vulnerabilidad de un acuífero vinculado a una red de pozos ubicados en la provincia de Villa Clara y su representación </w:t>
      </w:r>
      <w:r w:rsidRPr="00EC78BC">
        <w:rPr>
          <w:rFonts w:ascii="Times New Roman" w:hAnsi="Times New Roman" w:cs="Times New Roman"/>
          <w:sz w:val="24"/>
          <w:szCs w:val="24"/>
        </w:rPr>
        <w:lastRenderedPageBreak/>
        <w:t xml:space="preserve">por medio de mapas temáticos asociados al proceso de explotación y gestión medio ambiental-gubernamental. </w:t>
      </w:r>
    </w:p>
    <w:p w14:paraId="6EE35101" w14:textId="77777777" w:rsidR="00EC78BC" w:rsidRPr="00EC78BC" w:rsidRDefault="00EC78BC" w:rsidP="00EC78BC">
      <w:pPr>
        <w:spacing w:after="0" w:line="360" w:lineRule="auto"/>
        <w:jc w:val="both"/>
        <w:rPr>
          <w:rFonts w:ascii="Times New Roman" w:hAnsi="Times New Roman" w:cs="Times New Roman"/>
          <w:sz w:val="24"/>
          <w:szCs w:val="24"/>
        </w:rPr>
      </w:pPr>
      <w:r w:rsidRPr="00EC78BC">
        <w:rPr>
          <w:rFonts w:ascii="Times New Roman" w:hAnsi="Times New Roman" w:cs="Times New Roman"/>
          <w:sz w:val="24"/>
          <w:szCs w:val="24"/>
        </w:rPr>
        <w:t>Esto se logra al utilizar el método GOD por sus características de sencillez y su rango de valores para calcular los grados de vulnerabilidad estimados, se determina una relación entre la vulnerabilidad intrínseca y la vulnerabilidad específica aplicando la noción de inferencia difusa y los resultados se reflejan en mapas temáticos a partir de las vulnerabilidades en los pozos de control de la Red CAL pertenecientes a la provincia.</w:t>
      </w:r>
    </w:p>
    <w:p w14:paraId="21A7900C" w14:textId="77777777" w:rsidR="00EC78BC" w:rsidRPr="00EC78BC" w:rsidRDefault="00EC78BC" w:rsidP="00EC78BC">
      <w:pPr>
        <w:spacing w:after="0" w:line="360" w:lineRule="auto"/>
        <w:jc w:val="both"/>
        <w:rPr>
          <w:rFonts w:ascii="Times New Roman" w:hAnsi="Times New Roman" w:cs="Times New Roman"/>
          <w:sz w:val="24"/>
          <w:szCs w:val="24"/>
        </w:rPr>
      </w:pPr>
      <w:r w:rsidRPr="00EC78BC">
        <w:rPr>
          <w:rFonts w:ascii="Times New Roman" w:hAnsi="Times New Roman" w:cs="Times New Roman"/>
          <w:sz w:val="24"/>
          <w:szCs w:val="24"/>
        </w:rPr>
        <w:t xml:space="preserve">El cálculo realizado para las principales cuencas hidrográficas y acuíferos pertenecientes a la provincia de Villa Clara permitieron valorar la vulnerabilidad de estos complejos sistemas que constituyen las principales fuentes de abasto y desarrollo socio económico en el territorio villaclareño. </w:t>
      </w:r>
    </w:p>
    <w:p w14:paraId="4CCC9D26" w14:textId="0829775A" w:rsidR="009061A5" w:rsidRDefault="00EC78BC" w:rsidP="00EC78BC">
      <w:pPr>
        <w:spacing w:after="0" w:line="360" w:lineRule="auto"/>
        <w:jc w:val="both"/>
        <w:rPr>
          <w:rFonts w:ascii="Times New Roman" w:hAnsi="Times New Roman" w:cs="Times New Roman"/>
          <w:sz w:val="24"/>
          <w:szCs w:val="24"/>
        </w:rPr>
      </w:pPr>
      <w:r w:rsidRPr="00EC78BC">
        <w:rPr>
          <w:rFonts w:ascii="Times New Roman" w:hAnsi="Times New Roman" w:cs="Times New Roman"/>
          <w:sz w:val="24"/>
          <w:szCs w:val="24"/>
        </w:rPr>
        <w:t>Se aplicaron nuevos índices de cálculo de vulnerabilidad mediante técnicas difusas y los resultados se mostraron en los mapas temáticos de vulnerabilidad.</w:t>
      </w:r>
    </w:p>
    <w:p w14:paraId="39D47E94" w14:textId="77777777" w:rsidR="009241E7" w:rsidRDefault="009241E7" w:rsidP="00EC78BC">
      <w:pPr>
        <w:spacing w:after="0" w:line="360" w:lineRule="auto"/>
        <w:jc w:val="both"/>
        <w:rPr>
          <w:rFonts w:ascii="Times New Roman" w:hAnsi="Times New Roman" w:cs="Times New Roman"/>
          <w:sz w:val="24"/>
          <w:szCs w:val="24"/>
        </w:rPr>
      </w:pPr>
    </w:p>
    <w:p w14:paraId="60B59BAF" w14:textId="73CD501A" w:rsidR="009061A5" w:rsidRPr="001E4DC1" w:rsidRDefault="009061A5" w:rsidP="00FF3346">
      <w:pPr>
        <w:spacing w:after="0" w:line="360" w:lineRule="auto"/>
        <w:jc w:val="both"/>
        <w:rPr>
          <w:rFonts w:ascii="Times New Roman" w:hAnsi="Times New Roman" w:cs="Times New Roman"/>
          <w:sz w:val="24"/>
          <w:szCs w:val="24"/>
          <w:lang w:val="en-US"/>
        </w:rPr>
      </w:pPr>
      <w:r w:rsidRPr="001E4DC1">
        <w:rPr>
          <w:rFonts w:ascii="Times New Roman" w:hAnsi="Times New Roman" w:cs="Times New Roman"/>
          <w:b/>
          <w:i/>
          <w:sz w:val="24"/>
          <w:szCs w:val="24"/>
          <w:lang w:val="en-US"/>
        </w:rPr>
        <w:t>Abstract:</w:t>
      </w:r>
      <w:r w:rsidRPr="001E4DC1">
        <w:rPr>
          <w:rFonts w:ascii="Times New Roman" w:hAnsi="Times New Roman" w:cs="Times New Roman"/>
          <w:sz w:val="24"/>
          <w:szCs w:val="24"/>
          <w:lang w:val="en-US"/>
        </w:rPr>
        <w:t xml:space="preserve"> </w:t>
      </w:r>
    </w:p>
    <w:p w14:paraId="0014A238" w14:textId="77777777" w:rsidR="009241E7" w:rsidRPr="009241E7" w:rsidRDefault="009241E7" w:rsidP="009241E7">
      <w:pPr>
        <w:spacing w:after="0" w:line="360" w:lineRule="auto"/>
        <w:jc w:val="both"/>
        <w:rPr>
          <w:rFonts w:ascii="Times New Roman" w:hAnsi="Times New Roman" w:cs="Times New Roman"/>
          <w:i/>
          <w:iCs/>
          <w:sz w:val="24"/>
          <w:szCs w:val="24"/>
          <w:lang w:val="en-US"/>
        </w:rPr>
      </w:pPr>
      <w:r w:rsidRPr="009241E7">
        <w:rPr>
          <w:rFonts w:ascii="Times New Roman" w:hAnsi="Times New Roman" w:cs="Times New Roman"/>
          <w:i/>
          <w:iCs/>
          <w:sz w:val="24"/>
          <w:szCs w:val="24"/>
          <w:lang w:val="en-US"/>
        </w:rPr>
        <w:t>The management of hydric resources plays a fundamental role in the development of the capability of resilience of the country right after the COVID-19's onslaught. The study of vulnerability to the contamination collects great importance in the aforementioned management.</w:t>
      </w:r>
    </w:p>
    <w:p w14:paraId="329FE30F" w14:textId="77777777" w:rsidR="009241E7" w:rsidRPr="009241E7" w:rsidRDefault="009241E7" w:rsidP="009241E7">
      <w:pPr>
        <w:spacing w:after="0" w:line="360" w:lineRule="auto"/>
        <w:jc w:val="both"/>
        <w:rPr>
          <w:rFonts w:ascii="Times New Roman" w:hAnsi="Times New Roman" w:cs="Times New Roman"/>
          <w:i/>
          <w:iCs/>
          <w:sz w:val="24"/>
          <w:szCs w:val="24"/>
          <w:lang w:val="en-US"/>
        </w:rPr>
      </w:pPr>
      <w:r w:rsidRPr="009241E7">
        <w:rPr>
          <w:rFonts w:ascii="Times New Roman" w:hAnsi="Times New Roman" w:cs="Times New Roman"/>
          <w:i/>
          <w:iCs/>
          <w:sz w:val="24"/>
          <w:szCs w:val="24"/>
          <w:lang w:val="en-US"/>
        </w:rPr>
        <w:t xml:space="preserve">It is carried out a study of vulnerability of aquifers for the county of Villa Clara in order to analyze the behavior of the hydraulic security in this region.   </w:t>
      </w:r>
    </w:p>
    <w:p w14:paraId="3AD69071" w14:textId="77777777" w:rsidR="009241E7" w:rsidRPr="009241E7" w:rsidRDefault="009241E7" w:rsidP="009241E7">
      <w:pPr>
        <w:spacing w:after="0" w:line="360" w:lineRule="auto"/>
        <w:jc w:val="both"/>
        <w:rPr>
          <w:rFonts w:ascii="Times New Roman" w:hAnsi="Times New Roman" w:cs="Times New Roman"/>
          <w:i/>
          <w:iCs/>
          <w:sz w:val="24"/>
          <w:szCs w:val="24"/>
          <w:lang w:val="en-US"/>
        </w:rPr>
      </w:pPr>
      <w:r w:rsidRPr="009241E7">
        <w:rPr>
          <w:rFonts w:ascii="Times New Roman" w:hAnsi="Times New Roman" w:cs="Times New Roman"/>
          <w:i/>
          <w:iCs/>
          <w:sz w:val="24"/>
          <w:szCs w:val="24"/>
          <w:lang w:val="en-US"/>
        </w:rPr>
        <w:t xml:space="preserve">It is assumed as the main objective to determine the degree of vulnerability of an aquifer linked to a net of wells located in the county of Villa Clara and the representation by means of thematic maps associated to the process of exploitation and environmental-government administration.   </w:t>
      </w:r>
    </w:p>
    <w:p w14:paraId="547005EF" w14:textId="77777777" w:rsidR="009241E7" w:rsidRPr="009241E7" w:rsidRDefault="009241E7" w:rsidP="009241E7">
      <w:pPr>
        <w:spacing w:after="0" w:line="360" w:lineRule="auto"/>
        <w:jc w:val="both"/>
        <w:rPr>
          <w:rFonts w:ascii="Times New Roman" w:hAnsi="Times New Roman" w:cs="Times New Roman"/>
          <w:i/>
          <w:iCs/>
          <w:sz w:val="24"/>
          <w:szCs w:val="24"/>
          <w:lang w:val="en-US"/>
        </w:rPr>
      </w:pPr>
      <w:r w:rsidRPr="009241E7">
        <w:rPr>
          <w:rFonts w:ascii="Times New Roman" w:hAnsi="Times New Roman" w:cs="Times New Roman"/>
          <w:i/>
          <w:iCs/>
          <w:sz w:val="24"/>
          <w:szCs w:val="24"/>
          <w:lang w:val="en-US"/>
        </w:rPr>
        <w:t xml:space="preserve">This was possible when using the method GOD because of its simplicity and range of values to calculate the vulnerability degrees, a relationship is determined between the intrinsic vulnerability and the specific vulnerability applying the notion of diffuse inference and the results are reflected in thematic maps starting from the vulnerabilities in the wells of control of the Net LIME belonging to the county.  </w:t>
      </w:r>
    </w:p>
    <w:p w14:paraId="68A07538" w14:textId="77777777" w:rsidR="009241E7" w:rsidRPr="009241E7" w:rsidRDefault="009241E7" w:rsidP="009241E7">
      <w:pPr>
        <w:spacing w:after="0" w:line="360" w:lineRule="auto"/>
        <w:jc w:val="both"/>
        <w:rPr>
          <w:rFonts w:ascii="Times New Roman" w:hAnsi="Times New Roman" w:cs="Times New Roman"/>
          <w:i/>
          <w:iCs/>
          <w:sz w:val="24"/>
          <w:szCs w:val="24"/>
          <w:lang w:val="en-US"/>
        </w:rPr>
      </w:pPr>
      <w:r w:rsidRPr="009241E7">
        <w:rPr>
          <w:rFonts w:ascii="Times New Roman" w:hAnsi="Times New Roman" w:cs="Times New Roman"/>
          <w:i/>
          <w:iCs/>
          <w:sz w:val="24"/>
          <w:szCs w:val="24"/>
          <w:lang w:val="en-US"/>
        </w:rPr>
        <w:lastRenderedPageBreak/>
        <w:t>The calculation carried out for the main basins belonging to the county of Villa Clara allowed valuing the vulnerability of these complex systems that constitute the main supply sources and economic development in the territory.</w:t>
      </w:r>
    </w:p>
    <w:p w14:paraId="2686D7FA" w14:textId="6EBDC58D" w:rsidR="009241E7" w:rsidRPr="009241E7" w:rsidRDefault="009241E7" w:rsidP="009241E7">
      <w:pPr>
        <w:spacing w:after="0" w:line="360" w:lineRule="auto"/>
        <w:jc w:val="both"/>
        <w:rPr>
          <w:rFonts w:ascii="Times New Roman" w:hAnsi="Times New Roman" w:cs="Times New Roman"/>
          <w:i/>
          <w:iCs/>
          <w:sz w:val="24"/>
          <w:szCs w:val="24"/>
          <w:lang w:val="en-US"/>
        </w:rPr>
      </w:pPr>
      <w:r w:rsidRPr="009241E7">
        <w:rPr>
          <w:rFonts w:ascii="Times New Roman" w:hAnsi="Times New Roman" w:cs="Times New Roman"/>
          <w:i/>
          <w:iCs/>
          <w:sz w:val="24"/>
          <w:szCs w:val="24"/>
          <w:lang w:val="en-US"/>
        </w:rPr>
        <w:t xml:space="preserve">New indexes of vulnerability calculation were applied by means of diffuse technics and the results were shown in the thematic maps of vulnerability.  </w:t>
      </w:r>
    </w:p>
    <w:p w14:paraId="32228375" w14:textId="77777777" w:rsidR="009061A5" w:rsidRPr="009241E7" w:rsidRDefault="009061A5" w:rsidP="00FF3346">
      <w:pPr>
        <w:spacing w:after="0" w:line="360" w:lineRule="auto"/>
        <w:jc w:val="both"/>
        <w:rPr>
          <w:rFonts w:ascii="Times New Roman" w:hAnsi="Times New Roman" w:cs="Times New Roman"/>
          <w:sz w:val="24"/>
          <w:szCs w:val="24"/>
          <w:lang w:val="en-US"/>
        </w:rPr>
      </w:pPr>
    </w:p>
    <w:p w14:paraId="7119F525" w14:textId="6E9A3E69"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30345D" w:rsidRPr="0030345D">
        <w:rPr>
          <w:rFonts w:ascii="Times New Roman" w:hAnsi="Times New Roman" w:cs="Times New Roman"/>
          <w:sz w:val="24"/>
          <w:szCs w:val="24"/>
        </w:rPr>
        <w:t>Lógica difusa; Método GOD; Métodos de seguridad hídrica; Resiliencia.</w:t>
      </w:r>
    </w:p>
    <w:p w14:paraId="0BDE7DE3" w14:textId="77777777" w:rsidR="009061A5" w:rsidRDefault="009061A5" w:rsidP="00FF3346">
      <w:pPr>
        <w:spacing w:after="0" w:line="360" w:lineRule="auto"/>
        <w:jc w:val="both"/>
        <w:rPr>
          <w:rFonts w:ascii="Times New Roman" w:hAnsi="Times New Roman" w:cs="Times New Roman"/>
          <w:sz w:val="24"/>
          <w:szCs w:val="24"/>
        </w:rPr>
      </w:pPr>
    </w:p>
    <w:p w14:paraId="7190213D" w14:textId="1DD5B493" w:rsidR="009061A5" w:rsidRPr="00110284" w:rsidRDefault="009061A5" w:rsidP="00FF3346">
      <w:pPr>
        <w:spacing w:after="0" w:line="360" w:lineRule="auto"/>
        <w:jc w:val="both"/>
        <w:rPr>
          <w:rFonts w:ascii="Times New Roman" w:hAnsi="Times New Roman" w:cs="Times New Roman"/>
          <w:sz w:val="24"/>
          <w:szCs w:val="24"/>
          <w:lang w:val="en-US"/>
        </w:rPr>
      </w:pPr>
      <w:r w:rsidRPr="00110284">
        <w:rPr>
          <w:rFonts w:ascii="Times New Roman" w:hAnsi="Times New Roman" w:cs="Times New Roman"/>
          <w:b/>
          <w:i/>
          <w:sz w:val="24"/>
          <w:szCs w:val="24"/>
          <w:lang w:val="en-US"/>
        </w:rPr>
        <w:t>Keywords:</w:t>
      </w:r>
      <w:r w:rsidRPr="00110284">
        <w:rPr>
          <w:rFonts w:ascii="Times New Roman" w:hAnsi="Times New Roman" w:cs="Times New Roman"/>
          <w:sz w:val="24"/>
          <w:szCs w:val="24"/>
          <w:lang w:val="en-US"/>
        </w:rPr>
        <w:t xml:space="preserve"> </w:t>
      </w:r>
      <w:r w:rsidR="00110284" w:rsidRPr="0038765D">
        <w:rPr>
          <w:rFonts w:ascii="Times New Roman" w:eastAsia="Calibri" w:hAnsi="Times New Roman" w:cs="Times New Roman"/>
          <w:i/>
          <w:sz w:val="24"/>
          <w:szCs w:val="24"/>
          <w:lang w:val="en-US"/>
        </w:rPr>
        <w:t>F</w:t>
      </w:r>
      <w:r w:rsidR="00110284" w:rsidRPr="0038765D">
        <w:rPr>
          <w:rFonts w:ascii="Times New Roman" w:eastAsia="Calibri" w:hAnsi="Times New Roman" w:cs="Times New Roman"/>
          <w:i/>
          <w:sz w:val="24"/>
          <w:szCs w:val="24"/>
          <w:lang w:val="en-US" w:eastAsia="es-ES" w:bidi="he-IL"/>
        </w:rPr>
        <w:t>uzzy logic, GOD method, Hydric security methods; Resilience.</w:t>
      </w:r>
    </w:p>
    <w:p w14:paraId="41580EB5" w14:textId="77777777" w:rsidR="00A21A1F" w:rsidRPr="00110284" w:rsidRDefault="00A21A1F" w:rsidP="00FF3346">
      <w:pPr>
        <w:spacing w:after="0" w:line="360" w:lineRule="auto"/>
        <w:jc w:val="both"/>
        <w:rPr>
          <w:rFonts w:ascii="Times New Roman" w:hAnsi="Times New Roman" w:cs="Times New Roman"/>
          <w:sz w:val="24"/>
          <w:szCs w:val="24"/>
          <w:lang w:val="en-US"/>
        </w:rPr>
      </w:pPr>
    </w:p>
    <w:p w14:paraId="6A38FECF" w14:textId="77777777"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46A26446" w14:textId="77777777" w:rsidR="004523DC" w:rsidRPr="004523DC" w:rsidRDefault="004523DC" w:rsidP="004523DC">
      <w:pPr>
        <w:spacing w:after="0" w:line="360" w:lineRule="auto"/>
        <w:jc w:val="both"/>
        <w:rPr>
          <w:rFonts w:ascii="Times New Roman" w:hAnsi="Times New Roman" w:cs="Times New Roman"/>
          <w:sz w:val="24"/>
          <w:szCs w:val="24"/>
        </w:rPr>
      </w:pPr>
      <w:r w:rsidRPr="004523DC">
        <w:rPr>
          <w:rFonts w:ascii="Times New Roman" w:hAnsi="Times New Roman" w:cs="Times New Roman"/>
          <w:sz w:val="24"/>
          <w:szCs w:val="24"/>
        </w:rPr>
        <w:t xml:space="preserve">Se reconoce, desde los albores de la filosofía, que el razonamiento basado en percepciones imprecisas constituye un problema para el conocimiento humano. Permaneció como objeto de estudio de la filosofía y de la matemática hasta mediados del siglo XX, gracias a la contribución realizada por el Profesor </w:t>
      </w:r>
      <w:proofErr w:type="spellStart"/>
      <w:r w:rsidRPr="004523DC">
        <w:rPr>
          <w:rFonts w:ascii="Times New Roman" w:hAnsi="Times New Roman" w:cs="Times New Roman"/>
          <w:sz w:val="24"/>
          <w:szCs w:val="24"/>
        </w:rPr>
        <w:t>Lofti</w:t>
      </w:r>
      <w:proofErr w:type="spellEnd"/>
      <w:r w:rsidRPr="004523DC">
        <w:rPr>
          <w:rFonts w:ascii="Times New Roman" w:hAnsi="Times New Roman" w:cs="Times New Roman"/>
          <w:sz w:val="24"/>
          <w:szCs w:val="24"/>
        </w:rPr>
        <w:t xml:space="preserve"> </w:t>
      </w:r>
      <w:proofErr w:type="spellStart"/>
      <w:r w:rsidRPr="004523DC">
        <w:rPr>
          <w:rFonts w:ascii="Times New Roman" w:hAnsi="Times New Roman" w:cs="Times New Roman"/>
          <w:sz w:val="24"/>
          <w:szCs w:val="24"/>
        </w:rPr>
        <w:t>Zadeh</w:t>
      </w:r>
      <w:proofErr w:type="spellEnd"/>
      <w:r w:rsidRPr="004523DC">
        <w:rPr>
          <w:rFonts w:ascii="Times New Roman" w:hAnsi="Times New Roman" w:cs="Times New Roman"/>
          <w:sz w:val="24"/>
          <w:szCs w:val="24"/>
        </w:rPr>
        <w:t xml:space="preserve"> de la Universidad de California para la difusión de la Lógica Difusa y sus aplicaciones.</w:t>
      </w:r>
    </w:p>
    <w:p w14:paraId="5EEDAD4A" w14:textId="77777777" w:rsidR="004523DC" w:rsidRPr="004523DC" w:rsidRDefault="004523DC" w:rsidP="004523DC">
      <w:pPr>
        <w:spacing w:after="0" w:line="360" w:lineRule="auto"/>
        <w:jc w:val="both"/>
        <w:rPr>
          <w:rFonts w:ascii="Times New Roman" w:hAnsi="Times New Roman" w:cs="Times New Roman"/>
          <w:sz w:val="24"/>
          <w:szCs w:val="24"/>
        </w:rPr>
      </w:pPr>
      <w:r w:rsidRPr="004523DC">
        <w:rPr>
          <w:rFonts w:ascii="Times New Roman" w:hAnsi="Times New Roman" w:cs="Times New Roman"/>
          <w:sz w:val="24"/>
          <w:szCs w:val="24"/>
        </w:rPr>
        <w:t xml:space="preserve">En la actualidad, la Lógica Difusa es considerada una rama de la inteligencia artificial cuyo sustento principal es el concepto de que “todo es cuestión de grado”. </w:t>
      </w:r>
    </w:p>
    <w:p w14:paraId="5F1DE43F" w14:textId="77777777" w:rsidR="004523DC" w:rsidRPr="004523DC" w:rsidRDefault="004523DC" w:rsidP="004523DC">
      <w:pPr>
        <w:spacing w:after="0" w:line="360" w:lineRule="auto"/>
        <w:jc w:val="both"/>
        <w:rPr>
          <w:rFonts w:ascii="Times New Roman" w:hAnsi="Times New Roman" w:cs="Times New Roman"/>
          <w:sz w:val="24"/>
          <w:szCs w:val="24"/>
        </w:rPr>
      </w:pPr>
      <w:r w:rsidRPr="004523DC">
        <w:rPr>
          <w:rFonts w:ascii="Times New Roman" w:hAnsi="Times New Roman" w:cs="Times New Roman"/>
          <w:sz w:val="24"/>
          <w:szCs w:val="24"/>
        </w:rPr>
        <w:t>El concepto de conjunto difuso se basa en la idea de que los elementos claves en el pensamiento humano no son números, sino etiquetas lingüísticas. Esto es lo que hace posible que los objetos (en la mente humana) pasen de pertenecer de una clase a otra de forma suave y flexible. En este sentido la lógica difusa proporciona el fundamento del razonamiento aproximado al utilizar premisas imprecisas como instrumento del conocimiento.</w:t>
      </w:r>
    </w:p>
    <w:p w14:paraId="18CA221A" w14:textId="77777777" w:rsidR="004523DC" w:rsidRPr="004523DC" w:rsidRDefault="004523DC" w:rsidP="004523DC">
      <w:pPr>
        <w:spacing w:after="0" w:line="360" w:lineRule="auto"/>
        <w:jc w:val="both"/>
        <w:rPr>
          <w:rFonts w:ascii="Times New Roman" w:hAnsi="Times New Roman" w:cs="Times New Roman"/>
          <w:sz w:val="24"/>
          <w:szCs w:val="24"/>
        </w:rPr>
      </w:pPr>
      <w:r w:rsidRPr="004523DC">
        <w:rPr>
          <w:rFonts w:ascii="Times New Roman" w:hAnsi="Times New Roman" w:cs="Times New Roman"/>
          <w:sz w:val="24"/>
          <w:szCs w:val="24"/>
        </w:rPr>
        <w:t xml:space="preserve">Por ejemplo, si decimos “este sitio es muy inundable”, otro experto puede decir “tal vez, pero no tanto”. Ante casos como este nos encontramos ante una típica situación donde puede aplicarse la lógica borrosa. La cuestión es ¿hasta qué punto el concepto inundable permite etiquetar la condición del sitio? </w:t>
      </w:r>
    </w:p>
    <w:p w14:paraId="1D8AF16D" w14:textId="77777777" w:rsidR="004523DC" w:rsidRPr="004523DC" w:rsidRDefault="004523DC" w:rsidP="004523DC">
      <w:pPr>
        <w:spacing w:after="0" w:line="360" w:lineRule="auto"/>
        <w:jc w:val="both"/>
        <w:rPr>
          <w:rFonts w:ascii="Times New Roman" w:hAnsi="Times New Roman" w:cs="Times New Roman"/>
          <w:sz w:val="24"/>
          <w:szCs w:val="24"/>
        </w:rPr>
      </w:pPr>
      <w:r w:rsidRPr="004523DC">
        <w:rPr>
          <w:rFonts w:ascii="Times New Roman" w:hAnsi="Times New Roman" w:cs="Times New Roman"/>
          <w:sz w:val="24"/>
          <w:szCs w:val="24"/>
        </w:rPr>
        <w:t xml:space="preserve">Las calificaciones de “muy” y “pero no tanto” son eminentemente relativas, es decir difusas. Esta consideración resulta más realista, porque en la naturaleza no existen límites abruptos, la condición inundado-no inundado, contaminado-no contaminado, sólo </w:t>
      </w:r>
      <w:r w:rsidRPr="004523DC">
        <w:rPr>
          <w:rFonts w:ascii="Times New Roman" w:hAnsi="Times New Roman" w:cs="Times New Roman"/>
          <w:sz w:val="24"/>
          <w:szCs w:val="24"/>
        </w:rPr>
        <w:lastRenderedPageBreak/>
        <w:t>describen condiciones de borde forzadas intencionalmente para que sea posible tratarlas mediante lógica binaria.</w:t>
      </w:r>
    </w:p>
    <w:p w14:paraId="765C9BFD" w14:textId="77777777" w:rsidR="004523DC" w:rsidRPr="004523DC" w:rsidRDefault="004523DC" w:rsidP="004523DC">
      <w:pPr>
        <w:spacing w:after="0" w:line="360" w:lineRule="auto"/>
        <w:jc w:val="both"/>
        <w:rPr>
          <w:rFonts w:ascii="Times New Roman" w:hAnsi="Times New Roman" w:cs="Times New Roman"/>
          <w:sz w:val="24"/>
          <w:szCs w:val="24"/>
        </w:rPr>
      </w:pPr>
      <w:r w:rsidRPr="004523DC">
        <w:rPr>
          <w:rFonts w:ascii="Times New Roman" w:hAnsi="Times New Roman" w:cs="Times New Roman"/>
          <w:sz w:val="24"/>
          <w:szCs w:val="24"/>
        </w:rPr>
        <w:t>Si forzamos los datos de la realidad para tratarlos como binarios, los cálculos matemáticos no nos ofrecen seguridad, ya que no pueden ser más exactos que el menos exacto de los datos. Debido a este hecho, los valores intermedios son tan reales como los extremos y precisamente en un intento de aplicar una forma más humana de pensar es que se desarrolló la lógica difusa aplicada a la programación de computadoras. Podemos interpretar los elementos a los que se ha asignado el número 1 como aquellos que están inobjetablemente en el conjunto A y a los que se ha asignado el número 0 como aquellos que no están categóricamente en el conjunto A.</w:t>
      </w:r>
    </w:p>
    <w:p w14:paraId="59D93E5B" w14:textId="77777777" w:rsidR="004523DC" w:rsidRPr="004523DC" w:rsidRDefault="004523DC" w:rsidP="004523DC">
      <w:pPr>
        <w:spacing w:after="0" w:line="360" w:lineRule="auto"/>
        <w:jc w:val="both"/>
        <w:rPr>
          <w:rFonts w:ascii="Times New Roman" w:hAnsi="Times New Roman" w:cs="Times New Roman"/>
          <w:sz w:val="24"/>
          <w:szCs w:val="24"/>
        </w:rPr>
      </w:pPr>
      <w:r w:rsidRPr="004523DC">
        <w:rPr>
          <w:rFonts w:ascii="Times New Roman" w:hAnsi="Times New Roman" w:cs="Times New Roman"/>
          <w:sz w:val="24"/>
          <w:szCs w:val="24"/>
        </w:rPr>
        <w:t xml:space="preserve">Desde el punto de vista matemático, podemos concebir que, en el ejemplo considerado, estamos midiendo la variable </w:t>
      </w:r>
      <w:proofErr w:type="spellStart"/>
      <w:r w:rsidRPr="004523DC">
        <w:rPr>
          <w:rFonts w:ascii="Times New Roman" w:hAnsi="Times New Roman" w:cs="Times New Roman"/>
          <w:sz w:val="24"/>
          <w:szCs w:val="24"/>
        </w:rPr>
        <w:t>inundabilidad</w:t>
      </w:r>
      <w:proofErr w:type="spellEnd"/>
      <w:r w:rsidRPr="004523DC">
        <w:rPr>
          <w:rFonts w:ascii="Times New Roman" w:hAnsi="Times New Roman" w:cs="Times New Roman"/>
          <w:sz w:val="24"/>
          <w:szCs w:val="24"/>
        </w:rPr>
        <w:t xml:space="preserve"> mediante una función de pertenencia que le asigna un valor en el intervalo cerrado [0,1] y que hemos afectado el mismo con un transformador que sugiere la intensificación del concepto original (dado por la expresión muy).</w:t>
      </w:r>
    </w:p>
    <w:p w14:paraId="79F05BB5" w14:textId="1573A1DD" w:rsidR="00A21A1F" w:rsidRDefault="004523DC" w:rsidP="004523DC">
      <w:pPr>
        <w:spacing w:after="0" w:line="360" w:lineRule="auto"/>
        <w:jc w:val="both"/>
        <w:rPr>
          <w:rFonts w:ascii="Times New Roman" w:hAnsi="Times New Roman" w:cs="Times New Roman"/>
          <w:sz w:val="24"/>
          <w:szCs w:val="24"/>
        </w:rPr>
      </w:pPr>
      <w:r w:rsidRPr="004523DC">
        <w:rPr>
          <w:rFonts w:ascii="Times New Roman" w:hAnsi="Times New Roman" w:cs="Times New Roman"/>
          <w:sz w:val="24"/>
          <w:szCs w:val="24"/>
        </w:rPr>
        <w:t xml:space="preserve">En muchos casos prácticos, la evaluación cualitativa de las variables se efectúa mediante técnicas de toma de decisión en grupo, que abarca todas aquellas modalidades donde intervienen opiniones de expertos, necesidad de consenso, etc. Por </w:t>
      </w:r>
      <w:proofErr w:type="gramStart"/>
      <w:r w:rsidRPr="004523DC">
        <w:rPr>
          <w:rFonts w:ascii="Times New Roman" w:hAnsi="Times New Roman" w:cs="Times New Roman"/>
          <w:sz w:val="24"/>
          <w:szCs w:val="24"/>
        </w:rPr>
        <w:t>tanto</w:t>
      </w:r>
      <w:proofErr w:type="gramEnd"/>
      <w:r w:rsidRPr="004523DC">
        <w:rPr>
          <w:rFonts w:ascii="Times New Roman" w:hAnsi="Times New Roman" w:cs="Times New Roman"/>
          <w:sz w:val="24"/>
          <w:szCs w:val="24"/>
        </w:rPr>
        <w:t xml:space="preserve"> el objetivo principal de este trabajo, es realizar una evaluación de vulnerabilidad a la seguridad hídrica en los pozos de abasto a la provincia de Villa Clara utilizando métodos de la lógica difusa.</w:t>
      </w:r>
    </w:p>
    <w:p w14:paraId="10155941" w14:textId="77777777" w:rsidR="004523DC" w:rsidRDefault="004523DC" w:rsidP="004523DC">
      <w:pPr>
        <w:spacing w:after="0" w:line="360" w:lineRule="auto"/>
        <w:jc w:val="both"/>
        <w:rPr>
          <w:rFonts w:ascii="Times New Roman" w:hAnsi="Times New Roman" w:cs="Times New Roman"/>
          <w:sz w:val="24"/>
          <w:szCs w:val="24"/>
        </w:rPr>
      </w:pPr>
    </w:p>
    <w:p w14:paraId="14FB1C27" w14:textId="77777777"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14:paraId="689C2F53" w14:textId="77777777" w:rsidR="004523DC" w:rsidRPr="00CA1238" w:rsidRDefault="004523DC" w:rsidP="004523DC">
      <w:pPr>
        <w:spacing w:before="120" w:after="120" w:line="360" w:lineRule="auto"/>
        <w:jc w:val="both"/>
        <w:rPr>
          <w:rFonts w:ascii="Times New Roman" w:hAnsi="Times New Roman" w:cs="Times New Roman"/>
          <w:color w:val="000000"/>
          <w:sz w:val="24"/>
          <w:szCs w:val="24"/>
        </w:rPr>
      </w:pPr>
      <w:r w:rsidRPr="00CA1238">
        <w:rPr>
          <w:rFonts w:ascii="Times New Roman" w:hAnsi="Times New Roman" w:cs="Times New Roman"/>
          <w:color w:val="000000"/>
          <w:sz w:val="24"/>
          <w:szCs w:val="24"/>
        </w:rPr>
        <w:t>El riesgo puede clasificarse atendiendo a los siguientes puntos de vista:</w:t>
      </w:r>
    </w:p>
    <w:p w14:paraId="4AD07498" w14:textId="77777777" w:rsidR="004523DC" w:rsidRPr="00CA1238" w:rsidRDefault="004523DC" w:rsidP="004523DC">
      <w:pPr>
        <w:pStyle w:val="ListParagraph"/>
        <w:widowControl w:val="0"/>
        <w:numPr>
          <w:ilvl w:val="0"/>
          <w:numId w:val="2"/>
        </w:numPr>
        <w:autoSpaceDE w:val="0"/>
        <w:autoSpaceDN w:val="0"/>
        <w:adjustRightInd w:val="0"/>
        <w:spacing w:after="0" w:line="360" w:lineRule="auto"/>
        <w:ind w:right="77"/>
        <w:jc w:val="both"/>
        <w:rPr>
          <w:rFonts w:ascii="Times New Roman" w:hAnsi="Times New Roman" w:cs="Times New Roman"/>
          <w:sz w:val="24"/>
          <w:szCs w:val="24"/>
        </w:rPr>
      </w:pPr>
      <w:r w:rsidRPr="00CA1238">
        <w:rPr>
          <w:rFonts w:ascii="Times New Roman" w:hAnsi="Times New Roman" w:cs="Times New Roman"/>
          <w:iCs/>
          <w:sz w:val="24"/>
          <w:szCs w:val="24"/>
        </w:rPr>
        <w:t>Inherente</w:t>
      </w:r>
      <w:r w:rsidRPr="00CA1238">
        <w:rPr>
          <w:rFonts w:ascii="Times New Roman" w:hAnsi="Times New Roman" w:cs="Times New Roman"/>
          <w:sz w:val="24"/>
          <w:szCs w:val="24"/>
        </w:rPr>
        <w:t>: Propio del objeto de análisis, por sus características</w:t>
      </w:r>
    </w:p>
    <w:p w14:paraId="3A15C535" w14:textId="77777777" w:rsidR="004523DC" w:rsidRPr="00CA1238" w:rsidRDefault="004523DC" w:rsidP="004523DC">
      <w:pPr>
        <w:pStyle w:val="ListParagraph"/>
        <w:widowControl w:val="0"/>
        <w:numPr>
          <w:ilvl w:val="0"/>
          <w:numId w:val="2"/>
        </w:numPr>
        <w:autoSpaceDE w:val="0"/>
        <w:autoSpaceDN w:val="0"/>
        <w:adjustRightInd w:val="0"/>
        <w:spacing w:after="0" w:line="360" w:lineRule="auto"/>
        <w:ind w:right="77"/>
        <w:jc w:val="both"/>
        <w:rPr>
          <w:rFonts w:ascii="Times New Roman" w:hAnsi="Times New Roman" w:cs="Times New Roman"/>
          <w:sz w:val="24"/>
          <w:szCs w:val="24"/>
        </w:rPr>
      </w:pPr>
      <w:r w:rsidRPr="00CA1238">
        <w:rPr>
          <w:rFonts w:ascii="Times New Roman" w:hAnsi="Times New Roman" w:cs="Times New Roman"/>
          <w:iCs/>
          <w:sz w:val="24"/>
          <w:szCs w:val="24"/>
        </w:rPr>
        <w:t>Incorporado</w:t>
      </w:r>
      <w:r w:rsidRPr="00CA1238">
        <w:rPr>
          <w:rFonts w:ascii="Times New Roman" w:hAnsi="Times New Roman" w:cs="Times New Roman"/>
          <w:i/>
          <w:iCs/>
          <w:sz w:val="24"/>
          <w:szCs w:val="24"/>
        </w:rPr>
        <w:t>:</w:t>
      </w:r>
      <w:r w:rsidRPr="00CA1238">
        <w:rPr>
          <w:rFonts w:ascii="Times New Roman" w:hAnsi="Times New Roman" w:cs="Times New Roman"/>
          <w:sz w:val="24"/>
          <w:szCs w:val="24"/>
        </w:rPr>
        <w:t xml:space="preserve"> Debido a la conducta humana </w:t>
      </w:r>
    </w:p>
    <w:p w14:paraId="703B61DC" w14:textId="77777777" w:rsidR="004523DC" w:rsidRPr="00080CE0" w:rsidRDefault="004523DC" w:rsidP="004523DC">
      <w:pPr>
        <w:pStyle w:val="ListParagraph"/>
        <w:widowControl w:val="0"/>
        <w:numPr>
          <w:ilvl w:val="0"/>
          <w:numId w:val="2"/>
        </w:numPr>
        <w:autoSpaceDE w:val="0"/>
        <w:autoSpaceDN w:val="0"/>
        <w:adjustRightInd w:val="0"/>
        <w:spacing w:before="120" w:after="120" w:line="360" w:lineRule="auto"/>
        <w:ind w:right="77"/>
        <w:jc w:val="both"/>
        <w:rPr>
          <w:rFonts w:ascii="Times New Roman" w:hAnsi="Times New Roman" w:cs="Times New Roman"/>
          <w:sz w:val="24"/>
          <w:szCs w:val="24"/>
        </w:rPr>
      </w:pPr>
      <w:r>
        <w:rPr>
          <w:rFonts w:ascii="Times New Roman" w:hAnsi="Times New Roman" w:cs="Times New Roman"/>
          <w:iCs/>
          <w:sz w:val="24"/>
          <w:szCs w:val="24"/>
        </w:rPr>
        <w:t>Administrativo</w:t>
      </w:r>
      <w:r w:rsidRPr="009C3201">
        <w:rPr>
          <w:rFonts w:ascii="Times New Roman" w:hAnsi="Times New Roman" w:cs="Times New Roman"/>
          <w:iCs/>
          <w:sz w:val="24"/>
          <w:szCs w:val="24"/>
        </w:rPr>
        <w:t>:</w:t>
      </w:r>
      <w:r w:rsidRPr="009C3201">
        <w:rPr>
          <w:rFonts w:ascii="Times New Roman" w:hAnsi="Times New Roman" w:cs="Times New Roman"/>
          <w:sz w:val="24"/>
          <w:szCs w:val="24"/>
        </w:rPr>
        <w:t xml:space="preserve"> </w:t>
      </w:r>
      <w:r w:rsidRPr="00080CE0">
        <w:rPr>
          <w:rFonts w:ascii="Times New Roman" w:hAnsi="Times New Roman" w:cs="Times New Roman"/>
          <w:sz w:val="24"/>
          <w:szCs w:val="24"/>
        </w:rPr>
        <w:t>Por fallas en el control del sistema de legislaciones</w:t>
      </w:r>
      <w:r w:rsidRPr="00080CE0">
        <w:rPr>
          <w:rFonts w:ascii="Times New Roman" w:hAnsi="Times New Roman" w:cs="Times New Roman"/>
          <w:iCs/>
          <w:sz w:val="24"/>
          <w:szCs w:val="24"/>
        </w:rPr>
        <w:t>.</w:t>
      </w:r>
    </w:p>
    <w:p w14:paraId="31262C6F" w14:textId="77777777" w:rsidR="004523DC" w:rsidRPr="00080CE0" w:rsidRDefault="004523DC" w:rsidP="004523DC">
      <w:pPr>
        <w:widowControl w:val="0"/>
        <w:autoSpaceDE w:val="0"/>
        <w:autoSpaceDN w:val="0"/>
        <w:adjustRightInd w:val="0"/>
        <w:spacing w:before="120" w:after="120" w:line="360" w:lineRule="auto"/>
        <w:ind w:right="77"/>
        <w:jc w:val="both"/>
        <w:rPr>
          <w:rFonts w:ascii="Times New Roman" w:hAnsi="Times New Roman" w:cs="Times New Roman"/>
          <w:sz w:val="24"/>
          <w:szCs w:val="24"/>
        </w:rPr>
      </w:pPr>
      <w:r w:rsidRPr="00080CE0">
        <w:rPr>
          <w:rFonts w:ascii="Times New Roman" w:hAnsi="Times New Roman" w:cs="Times New Roman"/>
          <w:sz w:val="24"/>
          <w:szCs w:val="24"/>
        </w:rPr>
        <w:t xml:space="preserve">Para abordar el </w:t>
      </w:r>
      <w:r w:rsidRPr="00080CE0">
        <w:rPr>
          <w:rFonts w:ascii="Times New Roman" w:hAnsi="Times New Roman" w:cs="Times New Roman"/>
          <w:color w:val="000000"/>
          <w:sz w:val="24"/>
          <w:szCs w:val="24"/>
        </w:rPr>
        <w:t>tratamiento</w:t>
      </w:r>
      <w:r w:rsidRPr="00080CE0">
        <w:rPr>
          <w:rFonts w:ascii="Times New Roman" w:hAnsi="Times New Roman" w:cs="Times New Roman"/>
          <w:sz w:val="24"/>
          <w:szCs w:val="24"/>
        </w:rPr>
        <w:t xml:space="preserve"> de un problema hipotético a partir de una concepción difusa</w:t>
      </w:r>
      <w:r>
        <w:rPr>
          <w:rFonts w:ascii="Times New Roman" w:hAnsi="Times New Roman" w:cs="Times New Roman"/>
          <w:sz w:val="24"/>
          <w:szCs w:val="24"/>
        </w:rPr>
        <w:t xml:space="preserve"> son indispensables</w:t>
      </w:r>
      <w:r w:rsidRPr="00080CE0">
        <w:rPr>
          <w:rFonts w:ascii="Times New Roman" w:hAnsi="Times New Roman" w:cs="Times New Roman"/>
          <w:sz w:val="24"/>
          <w:szCs w:val="24"/>
        </w:rPr>
        <w:t xml:space="preserve"> los siguientes pasos:</w:t>
      </w:r>
    </w:p>
    <w:p w14:paraId="20836D60" w14:textId="77777777" w:rsidR="004523DC" w:rsidRDefault="004523DC" w:rsidP="004523DC">
      <w:pPr>
        <w:pStyle w:val="ListParagraph"/>
        <w:numPr>
          <w:ilvl w:val="0"/>
          <w:numId w:val="4"/>
        </w:numPr>
        <w:spacing w:before="120" w:after="120" w:line="360" w:lineRule="auto"/>
        <w:jc w:val="both"/>
        <w:rPr>
          <w:rFonts w:ascii="Times New Roman" w:hAnsi="Times New Roman" w:cs="Times New Roman"/>
          <w:sz w:val="24"/>
          <w:szCs w:val="24"/>
        </w:rPr>
      </w:pPr>
      <w:r w:rsidRPr="009C3201">
        <w:rPr>
          <w:rFonts w:ascii="Times New Roman" w:hAnsi="Times New Roman" w:cs="Times New Roman"/>
          <w:sz w:val="24"/>
          <w:szCs w:val="24"/>
        </w:rPr>
        <w:t>Describir el problema.</w:t>
      </w:r>
    </w:p>
    <w:p w14:paraId="6D07C78D" w14:textId="77777777" w:rsidR="004523DC" w:rsidRDefault="004523DC" w:rsidP="004523DC">
      <w:pPr>
        <w:pStyle w:val="ListParagraph"/>
        <w:numPr>
          <w:ilvl w:val="0"/>
          <w:numId w:val="4"/>
        </w:numPr>
        <w:spacing w:before="120" w:after="120" w:line="360" w:lineRule="auto"/>
        <w:jc w:val="both"/>
        <w:rPr>
          <w:rFonts w:ascii="Times New Roman" w:hAnsi="Times New Roman" w:cs="Times New Roman"/>
          <w:sz w:val="24"/>
          <w:szCs w:val="24"/>
        </w:rPr>
      </w:pPr>
      <w:r w:rsidRPr="009C3201">
        <w:rPr>
          <w:rFonts w:ascii="Times New Roman" w:hAnsi="Times New Roman" w:cs="Times New Roman"/>
          <w:sz w:val="24"/>
          <w:szCs w:val="24"/>
        </w:rPr>
        <w:t>Identificar los riesgos.</w:t>
      </w:r>
    </w:p>
    <w:p w14:paraId="5E7F5798" w14:textId="77777777" w:rsidR="004523DC" w:rsidRPr="009C3201" w:rsidRDefault="004523DC" w:rsidP="004523DC">
      <w:pPr>
        <w:pStyle w:val="ListParagraph"/>
        <w:numPr>
          <w:ilvl w:val="0"/>
          <w:numId w:val="4"/>
        </w:numPr>
        <w:spacing w:before="120" w:after="120" w:line="360" w:lineRule="auto"/>
        <w:jc w:val="both"/>
        <w:rPr>
          <w:rFonts w:ascii="Times New Roman" w:hAnsi="Times New Roman" w:cs="Times New Roman"/>
          <w:sz w:val="24"/>
          <w:szCs w:val="24"/>
        </w:rPr>
      </w:pPr>
      <w:r w:rsidRPr="009C3201">
        <w:rPr>
          <w:rFonts w:ascii="Times New Roman" w:hAnsi="Times New Roman" w:cs="Times New Roman"/>
          <w:sz w:val="24"/>
          <w:szCs w:val="24"/>
        </w:rPr>
        <w:lastRenderedPageBreak/>
        <w:t>Establecer la terminología difusa.</w:t>
      </w:r>
    </w:p>
    <w:p w14:paraId="5650474C" w14:textId="0883750A" w:rsidR="004523DC" w:rsidRPr="00CA1238" w:rsidRDefault="004523DC" w:rsidP="004523DC">
      <w:pPr>
        <w:spacing w:before="120" w:after="12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En </w:t>
      </w:r>
      <w:r w:rsidRPr="00CA1238">
        <w:rPr>
          <w:rFonts w:ascii="Times New Roman" w:hAnsi="Times New Roman" w:cs="Times New Roman"/>
          <w:color w:val="000000"/>
          <w:sz w:val="24"/>
          <w:szCs w:val="24"/>
        </w:rPr>
        <w:t>la presente investigación</w:t>
      </w:r>
      <w:r>
        <w:rPr>
          <w:rFonts w:ascii="Times New Roman" w:hAnsi="Times New Roman" w:cs="Times New Roman"/>
          <w:color w:val="000000"/>
          <w:sz w:val="24"/>
          <w:szCs w:val="24"/>
        </w:rPr>
        <w:t xml:space="preserve">, este </w:t>
      </w:r>
      <w:r w:rsidRPr="00CA1238">
        <w:rPr>
          <w:rFonts w:ascii="Times New Roman" w:hAnsi="Times New Roman" w:cs="Times New Roman"/>
          <w:color w:val="000000"/>
          <w:sz w:val="24"/>
          <w:szCs w:val="24"/>
        </w:rPr>
        <w:t xml:space="preserve">un problema </w:t>
      </w:r>
      <w:r w:rsidRPr="00CA1238">
        <w:rPr>
          <w:rFonts w:ascii="Times New Roman" w:hAnsi="Times New Roman" w:cs="Times New Roman"/>
          <w:sz w:val="24"/>
          <w:szCs w:val="24"/>
        </w:rPr>
        <w:t>medioambiental vinculado a la pérdida o afectación del grado de potabilidad del agua</w:t>
      </w:r>
      <w:r>
        <w:rPr>
          <w:rFonts w:ascii="Times New Roman" w:hAnsi="Times New Roman" w:cs="Times New Roman"/>
          <w:sz w:val="24"/>
          <w:szCs w:val="24"/>
        </w:rPr>
        <w:t>, estos pasos</w:t>
      </w:r>
      <w:r w:rsidRPr="00CA1238">
        <w:rPr>
          <w:rFonts w:ascii="Times New Roman" w:hAnsi="Times New Roman" w:cs="Times New Roman"/>
          <w:sz w:val="24"/>
          <w:szCs w:val="24"/>
        </w:rPr>
        <w:t xml:space="preserve"> se muestra</w:t>
      </w:r>
      <w:r>
        <w:rPr>
          <w:rFonts w:ascii="Times New Roman" w:hAnsi="Times New Roman" w:cs="Times New Roman"/>
          <w:sz w:val="24"/>
          <w:szCs w:val="24"/>
        </w:rPr>
        <w:t>n</w:t>
      </w:r>
      <w:r w:rsidRPr="00CA1238">
        <w:rPr>
          <w:rFonts w:ascii="Times New Roman" w:hAnsi="Times New Roman" w:cs="Times New Roman"/>
          <w:sz w:val="24"/>
          <w:szCs w:val="24"/>
        </w:rPr>
        <w:t xml:space="preserve"> seguidamente.</w:t>
      </w:r>
    </w:p>
    <w:p w14:paraId="60CC09B8" w14:textId="77777777" w:rsidR="004523DC" w:rsidRPr="009C3201" w:rsidRDefault="004523DC" w:rsidP="004523DC">
      <w:pPr>
        <w:pStyle w:val="ListParagraph"/>
        <w:numPr>
          <w:ilvl w:val="0"/>
          <w:numId w:val="5"/>
        </w:numPr>
        <w:spacing w:before="120" w:after="120" w:line="360" w:lineRule="auto"/>
        <w:jc w:val="both"/>
        <w:rPr>
          <w:rFonts w:ascii="Times New Roman" w:hAnsi="Times New Roman" w:cs="Times New Roman"/>
          <w:b/>
          <w:color w:val="000000"/>
          <w:sz w:val="24"/>
          <w:szCs w:val="24"/>
        </w:rPr>
      </w:pPr>
      <w:r w:rsidRPr="009C3201">
        <w:rPr>
          <w:rFonts w:ascii="Times New Roman" w:hAnsi="Times New Roman" w:cs="Times New Roman"/>
          <w:b/>
          <w:sz w:val="24"/>
          <w:szCs w:val="24"/>
        </w:rPr>
        <w:t>Descripción</w:t>
      </w:r>
      <w:r w:rsidRPr="009C3201">
        <w:rPr>
          <w:rFonts w:ascii="Times New Roman" w:hAnsi="Times New Roman" w:cs="Times New Roman"/>
          <w:b/>
          <w:color w:val="000000"/>
          <w:sz w:val="24"/>
          <w:szCs w:val="24"/>
        </w:rPr>
        <w:t xml:space="preserve"> del problema</w:t>
      </w:r>
    </w:p>
    <w:p w14:paraId="0E9DD341" w14:textId="77777777"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rPr>
        <w:t xml:space="preserve">Debido al gran número de pozos con peligro de contaminación de sus aguas, resulta muy importante seleccionar con el mayor rigor posible aquellos que requieren especial atención, </w:t>
      </w:r>
      <w:r w:rsidRPr="00CA1238">
        <w:rPr>
          <w:rFonts w:ascii="Times New Roman" w:hAnsi="Times New Roman" w:cs="Times New Roman"/>
          <w:color w:val="000000"/>
          <w:sz w:val="24"/>
          <w:szCs w:val="24"/>
        </w:rPr>
        <w:t>tomando</w:t>
      </w:r>
      <w:r w:rsidRPr="00CA1238">
        <w:rPr>
          <w:rFonts w:ascii="Times New Roman" w:hAnsi="Times New Roman" w:cs="Times New Roman"/>
          <w:sz w:val="24"/>
          <w:szCs w:val="24"/>
        </w:rPr>
        <w:t xml:space="preserve"> en consideración los recursos disponibles, con vista a establecer prioridades económicas. Por tanto, se requiere construir un índice que caracterice el “grado de riesgo según vulnerabilidades” en que se encuentra un pozo dado, con relación a determinadas “</w:t>
      </w:r>
      <w:r w:rsidRPr="00CA1238">
        <w:rPr>
          <w:rFonts w:ascii="Times New Roman" w:hAnsi="Times New Roman" w:cs="Times New Roman"/>
          <w:iCs/>
          <w:sz w:val="24"/>
          <w:szCs w:val="24"/>
        </w:rPr>
        <w:t>categorías”</w:t>
      </w:r>
      <w:r w:rsidRPr="00CA1238">
        <w:rPr>
          <w:rFonts w:ascii="Times New Roman" w:hAnsi="Times New Roman" w:cs="Times New Roman"/>
          <w:sz w:val="24"/>
          <w:szCs w:val="24"/>
        </w:rPr>
        <w:t>.</w:t>
      </w:r>
    </w:p>
    <w:p w14:paraId="57BE1E4F" w14:textId="77777777"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rPr>
        <w:t xml:space="preserve">Para un pozo dado, existe una clasificación en tres categorías: con agua para el consumo humano, apto para regadío, inservible. </w:t>
      </w:r>
    </w:p>
    <w:p w14:paraId="339D914B" w14:textId="77777777"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rPr>
        <w:t>Como el tipo de incertidumbre que se presenta no está asociada a la precisión de los datos, sino al tratamiento de la clasificación (realizada en forma determinista por rangos), en este caso la teoría difusa resulta idónea para obtener resultados de mayor calidad, ya que evita que haya un cambio brusco entre los límites entre dos categorías.</w:t>
      </w:r>
    </w:p>
    <w:p w14:paraId="3EDBC6DC" w14:textId="77777777" w:rsidR="004523DC" w:rsidRPr="009C3201" w:rsidRDefault="004523DC" w:rsidP="004523DC">
      <w:pPr>
        <w:pStyle w:val="ListParagraph"/>
        <w:numPr>
          <w:ilvl w:val="0"/>
          <w:numId w:val="5"/>
        </w:numPr>
        <w:spacing w:before="120" w:after="120" w:line="360" w:lineRule="auto"/>
        <w:jc w:val="both"/>
        <w:rPr>
          <w:rFonts w:ascii="Times New Roman" w:hAnsi="Times New Roman" w:cs="Times New Roman"/>
          <w:b/>
          <w:sz w:val="24"/>
          <w:szCs w:val="24"/>
        </w:rPr>
      </w:pPr>
      <w:r w:rsidRPr="009C3201">
        <w:rPr>
          <w:rFonts w:ascii="Times New Roman" w:hAnsi="Times New Roman" w:cs="Times New Roman"/>
          <w:b/>
          <w:sz w:val="24"/>
          <w:szCs w:val="24"/>
        </w:rPr>
        <w:t>Identificación de riesgos</w:t>
      </w:r>
    </w:p>
    <w:p w14:paraId="1068ACE2" w14:textId="77777777"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rPr>
        <w:t xml:space="preserve">A continuación, se </w:t>
      </w:r>
      <w:r>
        <w:rPr>
          <w:rFonts w:ascii="Times New Roman" w:hAnsi="Times New Roman" w:cs="Times New Roman"/>
          <w:sz w:val="24"/>
          <w:szCs w:val="24"/>
        </w:rPr>
        <w:t>ex</w:t>
      </w:r>
      <w:r w:rsidRPr="00CA1238">
        <w:rPr>
          <w:rFonts w:ascii="Times New Roman" w:hAnsi="Times New Roman" w:cs="Times New Roman"/>
          <w:sz w:val="24"/>
          <w:szCs w:val="24"/>
        </w:rPr>
        <w:t>ponen algunos criterios principales utilizados:</w:t>
      </w:r>
    </w:p>
    <w:p w14:paraId="1ABD0E1B" w14:textId="77777777" w:rsidR="004523DC" w:rsidRPr="00CA1238" w:rsidRDefault="004523DC" w:rsidP="004523DC">
      <w:pPr>
        <w:pStyle w:val="ListParagraph"/>
        <w:numPr>
          <w:ilvl w:val="0"/>
          <w:numId w:val="3"/>
        </w:numPr>
        <w:spacing w:before="120" w:after="120" w:line="360" w:lineRule="auto"/>
        <w:jc w:val="both"/>
        <w:rPr>
          <w:rFonts w:ascii="Times New Roman" w:hAnsi="Times New Roman" w:cs="Times New Roman"/>
          <w:sz w:val="24"/>
          <w:szCs w:val="24"/>
        </w:rPr>
      </w:pPr>
      <w:r w:rsidRPr="00CA1238">
        <w:rPr>
          <w:rFonts w:ascii="Times New Roman" w:eastAsia="MS Mincho" w:hAnsi="Times New Roman" w:cs="Times New Roman"/>
          <w:bCs/>
          <w:sz w:val="24"/>
          <w:szCs w:val="24"/>
          <w:lang w:val="es-MX" w:eastAsia="es-ES"/>
        </w:rPr>
        <w:t xml:space="preserve">Sobre </w:t>
      </w:r>
      <w:r w:rsidRPr="00CA1238">
        <w:rPr>
          <w:rFonts w:ascii="Times New Roman" w:hAnsi="Times New Roman" w:cs="Times New Roman"/>
          <w:sz w:val="24"/>
          <w:szCs w:val="24"/>
        </w:rPr>
        <w:t>explotación.</w:t>
      </w:r>
    </w:p>
    <w:p w14:paraId="61D2D788" w14:textId="77777777" w:rsidR="004523DC" w:rsidRPr="00CA1238" w:rsidRDefault="004523DC" w:rsidP="004523DC">
      <w:pPr>
        <w:pStyle w:val="ListParagraph"/>
        <w:numPr>
          <w:ilvl w:val="0"/>
          <w:numId w:val="3"/>
        </w:num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rPr>
        <w:t>Contaminación.</w:t>
      </w:r>
    </w:p>
    <w:p w14:paraId="70A35F4F" w14:textId="77777777" w:rsidR="004523DC" w:rsidRPr="00CA1238" w:rsidRDefault="004523DC" w:rsidP="004523DC">
      <w:pPr>
        <w:pStyle w:val="ListParagraph"/>
        <w:numPr>
          <w:ilvl w:val="0"/>
          <w:numId w:val="3"/>
        </w:num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rPr>
        <w:t>Salinidad (es asumida como un caso específico de la combinación de los dos riesgos anteriores).</w:t>
      </w:r>
    </w:p>
    <w:p w14:paraId="468C50E9" w14:textId="77777777" w:rsidR="004523DC" w:rsidRPr="00CA1238" w:rsidRDefault="004523DC" w:rsidP="004523DC">
      <w:pPr>
        <w:pStyle w:val="ListParagraph"/>
        <w:numPr>
          <w:ilvl w:val="0"/>
          <w:numId w:val="3"/>
        </w:num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rPr>
        <w:t>Fallas estructurales en los pozos por el colapso parcial de su sección tra</w:t>
      </w:r>
      <w:r>
        <w:rPr>
          <w:rFonts w:ascii="Times New Roman" w:hAnsi="Times New Roman" w:cs="Times New Roman"/>
          <w:sz w:val="24"/>
          <w:szCs w:val="24"/>
        </w:rPr>
        <w:t>n</w:t>
      </w:r>
      <w:r w:rsidRPr="00CA1238">
        <w:rPr>
          <w:rFonts w:ascii="Times New Roman" w:hAnsi="Times New Roman" w:cs="Times New Roman"/>
          <w:sz w:val="24"/>
          <w:szCs w:val="24"/>
        </w:rPr>
        <w:t>sversal.</w:t>
      </w:r>
    </w:p>
    <w:p w14:paraId="1008D430" w14:textId="77777777" w:rsidR="004523DC" w:rsidRPr="00CA1238" w:rsidRDefault="004523DC" w:rsidP="004523DC">
      <w:pPr>
        <w:pStyle w:val="ListParagraph"/>
        <w:numPr>
          <w:ilvl w:val="0"/>
          <w:numId w:val="3"/>
        </w:num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rPr>
        <w:t>Violaciones en las zonas de protección sanitaria de los pozos.</w:t>
      </w:r>
    </w:p>
    <w:p w14:paraId="3DC0EB3D" w14:textId="77777777" w:rsidR="004523DC" w:rsidRPr="00CA1238" w:rsidRDefault="004523DC" w:rsidP="004523DC">
      <w:pPr>
        <w:pStyle w:val="ListParagraph"/>
        <w:numPr>
          <w:ilvl w:val="0"/>
          <w:numId w:val="3"/>
        </w:numPr>
        <w:spacing w:before="120" w:after="120" w:line="360" w:lineRule="auto"/>
        <w:ind w:left="714" w:hanging="357"/>
        <w:contextualSpacing w:val="0"/>
        <w:jc w:val="both"/>
        <w:rPr>
          <w:rFonts w:ascii="Times New Roman" w:hAnsi="Times New Roman" w:cs="Times New Roman"/>
          <w:sz w:val="24"/>
          <w:szCs w:val="24"/>
        </w:rPr>
      </w:pPr>
      <w:r w:rsidRPr="00CA1238">
        <w:rPr>
          <w:rFonts w:ascii="Times New Roman" w:hAnsi="Times New Roman" w:cs="Times New Roman"/>
          <w:sz w:val="24"/>
          <w:szCs w:val="24"/>
        </w:rPr>
        <w:t>Fallas electro-mecánicas de las bombas de explotación.</w:t>
      </w:r>
    </w:p>
    <w:p w14:paraId="2D0D46AC" w14:textId="77777777" w:rsidR="004523DC" w:rsidRPr="00CA1238" w:rsidRDefault="004523DC" w:rsidP="004523DC">
      <w:pPr>
        <w:pStyle w:val="ListParagraph"/>
        <w:numPr>
          <w:ilvl w:val="0"/>
          <w:numId w:val="5"/>
        </w:numPr>
        <w:spacing w:before="120" w:after="120" w:line="360" w:lineRule="auto"/>
        <w:jc w:val="both"/>
        <w:rPr>
          <w:rFonts w:ascii="Times New Roman" w:hAnsi="Times New Roman" w:cs="Times New Roman"/>
          <w:b/>
          <w:sz w:val="24"/>
          <w:szCs w:val="24"/>
        </w:rPr>
      </w:pPr>
      <w:r w:rsidRPr="00CA1238">
        <w:rPr>
          <w:rFonts w:ascii="Times New Roman" w:hAnsi="Times New Roman" w:cs="Times New Roman"/>
          <w:b/>
          <w:sz w:val="24"/>
          <w:szCs w:val="24"/>
        </w:rPr>
        <w:t>Terminología difusa.</w:t>
      </w:r>
    </w:p>
    <w:p w14:paraId="715D0135" w14:textId="77777777"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rPr>
        <w:t>Se aplica en el tratamiento de las categorías</w:t>
      </w:r>
    </w:p>
    <w:p w14:paraId="18044E75" w14:textId="77777777" w:rsidR="004523DC" w:rsidRPr="00CA1238" w:rsidRDefault="004523DC" w:rsidP="004523DC">
      <w:pPr>
        <w:pStyle w:val="ListParagraph"/>
        <w:numPr>
          <w:ilvl w:val="0"/>
          <w:numId w:val="3"/>
        </w:num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rPr>
        <w:t>CH: consumo humano</w:t>
      </w:r>
    </w:p>
    <w:p w14:paraId="7842B03F" w14:textId="77777777" w:rsidR="004523DC" w:rsidRPr="00CA1238" w:rsidRDefault="004523DC" w:rsidP="004523DC">
      <w:pPr>
        <w:pStyle w:val="ListParagraph"/>
        <w:numPr>
          <w:ilvl w:val="0"/>
          <w:numId w:val="3"/>
        </w:num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rPr>
        <w:t>PR: para regadío</w:t>
      </w:r>
    </w:p>
    <w:p w14:paraId="3170679C" w14:textId="77777777" w:rsidR="004523DC" w:rsidRPr="00CA1238" w:rsidRDefault="004523DC" w:rsidP="004523DC">
      <w:pPr>
        <w:pStyle w:val="ListParagraph"/>
        <w:numPr>
          <w:ilvl w:val="0"/>
          <w:numId w:val="3"/>
        </w:num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rPr>
        <w:lastRenderedPageBreak/>
        <w:t>NA (no apta)</w:t>
      </w:r>
    </w:p>
    <w:p w14:paraId="404395ED" w14:textId="77777777" w:rsidR="004523DC" w:rsidRDefault="004523DC" w:rsidP="004523DC">
      <w:p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lang w:val="x-none"/>
        </w:rPr>
        <w:t xml:space="preserve">El problema de la contaminación del agua </w:t>
      </w:r>
      <w:r>
        <w:rPr>
          <w:rFonts w:ascii="Times New Roman" w:hAnsi="Times New Roman" w:cs="Times New Roman"/>
          <w:sz w:val="24"/>
          <w:szCs w:val="24"/>
        </w:rPr>
        <w:t xml:space="preserve">se ha </w:t>
      </w:r>
      <w:r w:rsidRPr="00CA1238">
        <w:rPr>
          <w:rFonts w:ascii="Times New Roman" w:hAnsi="Times New Roman" w:cs="Times New Roman"/>
          <w:sz w:val="24"/>
          <w:szCs w:val="24"/>
          <w:lang w:val="x-none"/>
        </w:rPr>
        <w:t>es</w:t>
      </w:r>
      <w:r>
        <w:rPr>
          <w:rFonts w:ascii="Times New Roman" w:hAnsi="Times New Roman" w:cs="Times New Roman"/>
          <w:sz w:val="24"/>
          <w:szCs w:val="24"/>
        </w:rPr>
        <w:t>tudiado</w:t>
      </w:r>
      <w:r w:rsidRPr="00CA1238">
        <w:rPr>
          <w:rFonts w:ascii="Times New Roman" w:hAnsi="Times New Roman" w:cs="Times New Roman"/>
          <w:sz w:val="24"/>
          <w:szCs w:val="24"/>
          <w:lang w:val="x-none"/>
        </w:rPr>
        <w:t xml:space="preserve"> </w:t>
      </w:r>
      <w:r>
        <w:rPr>
          <w:rFonts w:ascii="Times New Roman" w:hAnsi="Times New Roman" w:cs="Times New Roman"/>
          <w:sz w:val="24"/>
          <w:szCs w:val="24"/>
        </w:rPr>
        <w:t xml:space="preserve">porque es </w:t>
      </w:r>
      <w:r w:rsidRPr="00CA1238">
        <w:rPr>
          <w:rFonts w:ascii="Times New Roman" w:hAnsi="Times New Roman" w:cs="Times New Roman"/>
          <w:sz w:val="24"/>
          <w:szCs w:val="24"/>
          <w:lang w:val="x-none"/>
        </w:rPr>
        <w:t>de gran preocupación a nivel mundial</w:t>
      </w:r>
      <w:r w:rsidRPr="00CA1238">
        <w:rPr>
          <w:rFonts w:ascii="Times New Roman" w:hAnsi="Times New Roman" w:cs="Times New Roman"/>
          <w:sz w:val="24"/>
          <w:szCs w:val="24"/>
          <w:lang w:val="es-MX"/>
        </w:rPr>
        <w:t>.</w:t>
      </w:r>
      <w:r w:rsidRPr="00CA1238">
        <w:rPr>
          <w:rFonts w:ascii="Times New Roman" w:hAnsi="Times New Roman" w:cs="Times New Roman"/>
          <w:sz w:val="24"/>
          <w:szCs w:val="24"/>
          <w:lang w:val="x-none"/>
        </w:rPr>
        <w:t xml:space="preserve"> </w:t>
      </w:r>
      <w:r w:rsidRPr="00CA1238">
        <w:rPr>
          <w:rFonts w:ascii="Times New Roman" w:hAnsi="Times New Roman" w:cs="Times New Roman"/>
          <w:sz w:val="24"/>
          <w:szCs w:val="24"/>
          <w:lang w:val="es-MX"/>
        </w:rPr>
        <w:t xml:space="preserve">La </w:t>
      </w:r>
      <w:r w:rsidRPr="00CA1238">
        <w:rPr>
          <w:rFonts w:ascii="Times New Roman" w:hAnsi="Times New Roman" w:cs="Times New Roman"/>
          <w:sz w:val="24"/>
          <w:szCs w:val="24"/>
          <w:lang w:val="x-none"/>
        </w:rPr>
        <w:t xml:space="preserve">demanda </w:t>
      </w:r>
      <w:r w:rsidRPr="00CA1238">
        <w:rPr>
          <w:rFonts w:ascii="Times New Roman" w:hAnsi="Times New Roman" w:cs="Times New Roman"/>
          <w:sz w:val="24"/>
          <w:szCs w:val="24"/>
          <w:lang w:val="es-MX"/>
        </w:rPr>
        <w:t>de agua potable desde el manto subterráneo es objeto de atención</w:t>
      </w:r>
      <w:r w:rsidRPr="00CA1238">
        <w:rPr>
          <w:rFonts w:ascii="Times New Roman" w:hAnsi="Times New Roman" w:cs="Times New Roman"/>
          <w:sz w:val="24"/>
          <w:szCs w:val="24"/>
          <w:lang w:val="x-none"/>
        </w:rPr>
        <w:t xml:space="preserve"> </w:t>
      </w:r>
      <w:r w:rsidRPr="00CA1238">
        <w:rPr>
          <w:rFonts w:ascii="Times New Roman" w:hAnsi="Times New Roman" w:cs="Times New Roman"/>
          <w:sz w:val="24"/>
          <w:szCs w:val="24"/>
          <w:lang w:val="es-MX"/>
        </w:rPr>
        <w:t xml:space="preserve">como un </w:t>
      </w:r>
      <w:r w:rsidRPr="00CA1238">
        <w:rPr>
          <w:rFonts w:ascii="Times New Roman" w:hAnsi="Times New Roman" w:cs="Times New Roman"/>
          <w:sz w:val="24"/>
          <w:szCs w:val="24"/>
          <w:lang w:val="x-none"/>
        </w:rPr>
        <w:t xml:space="preserve">problema específico </w:t>
      </w:r>
      <w:r w:rsidRPr="00CA1238">
        <w:rPr>
          <w:rFonts w:ascii="Times New Roman" w:hAnsi="Times New Roman" w:cs="Times New Roman"/>
          <w:sz w:val="24"/>
          <w:szCs w:val="24"/>
          <w:lang w:val="es-MX"/>
        </w:rPr>
        <w:t xml:space="preserve">recurrente ante </w:t>
      </w:r>
      <w:r w:rsidRPr="00CA1238">
        <w:rPr>
          <w:rFonts w:ascii="Times New Roman" w:hAnsi="Times New Roman" w:cs="Times New Roman"/>
          <w:sz w:val="24"/>
          <w:szCs w:val="24"/>
          <w:lang w:val="x-none"/>
        </w:rPr>
        <w:t>la contaminación</w:t>
      </w:r>
      <w:r>
        <w:rPr>
          <w:rFonts w:ascii="Times New Roman" w:hAnsi="Times New Roman" w:cs="Times New Roman"/>
          <w:sz w:val="24"/>
          <w:szCs w:val="24"/>
        </w:rPr>
        <w:t>.</w:t>
      </w:r>
      <w:r w:rsidRPr="00CA1238">
        <w:rPr>
          <w:rFonts w:ascii="Times New Roman" w:hAnsi="Times New Roman" w:cs="Times New Roman"/>
          <w:sz w:val="24"/>
          <w:szCs w:val="24"/>
          <w:lang w:val="x-none"/>
        </w:rPr>
        <w:t xml:space="preserve"> </w:t>
      </w:r>
    </w:p>
    <w:p w14:paraId="7BDB7F28" w14:textId="7D5AA491"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lang w:val="x-none"/>
        </w:rPr>
        <w:t xml:space="preserve">En </w:t>
      </w:r>
      <w:sdt>
        <w:sdtPr>
          <w:rPr>
            <w:rFonts w:ascii="Times New Roman" w:hAnsi="Times New Roman" w:cs="Times New Roman"/>
            <w:sz w:val="24"/>
            <w:szCs w:val="24"/>
            <w:lang w:val="x-none"/>
          </w:rPr>
          <w:id w:val="1670052210"/>
          <w:citation/>
        </w:sdtPr>
        <w:sdtEndPr/>
        <w:sdtContent>
          <w:r w:rsidR="00C20290">
            <w:rPr>
              <w:rFonts w:ascii="Times New Roman" w:hAnsi="Times New Roman" w:cs="Times New Roman"/>
              <w:sz w:val="24"/>
              <w:szCs w:val="24"/>
              <w:lang w:val="x-none"/>
            </w:rPr>
            <w:fldChar w:fldCharType="begin"/>
          </w:r>
          <w:r w:rsidR="00C20290">
            <w:rPr>
              <w:rFonts w:ascii="Times New Roman" w:hAnsi="Times New Roman" w:cs="Times New Roman"/>
              <w:sz w:val="24"/>
              <w:szCs w:val="24"/>
            </w:rPr>
            <w:instrText xml:space="preserve"> CITATION Các19 \l 3082 </w:instrText>
          </w:r>
          <w:r w:rsidR="00C20290">
            <w:rPr>
              <w:rFonts w:ascii="Times New Roman" w:hAnsi="Times New Roman" w:cs="Times New Roman"/>
              <w:sz w:val="24"/>
              <w:szCs w:val="24"/>
              <w:lang w:val="x-none"/>
            </w:rPr>
            <w:fldChar w:fldCharType="separate"/>
          </w:r>
          <w:r w:rsidR="00C02F6C" w:rsidRPr="00C02F6C">
            <w:rPr>
              <w:rFonts w:ascii="Times New Roman" w:hAnsi="Times New Roman" w:cs="Times New Roman"/>
              <w:noProof/>
              <w:sz w:val="24"/>
              <w:szCs w:val="24"/>
            </w:rPr>
            <w:t>(Cáceres Barceló, 2019)</w:t>
          </w:r>
          <w:r w:rsidR="00C20290">
            <w:rPr>
              <w:rFonts w:ascii="Times New Roman" w:hAnsi="Times New Roman" w:cs="Times New Roman"/>
              <w:sz w:val="24"/>
              <w:szCs w:val="24"/>
              <w:lang w:val="x-none"/>
            </w:rPr>
            <w:fldChar w:fldCharType="end"/>
          </w:r>
        </w:sdtContent>
      </w:sdt>
      <w:r w:rsidRPr="00CA1238">
        <w:rPr>
          <w:rFonts w:ascii="Times New Roman" w:hAnsi="Times New Roman" w:cs="Times New Roman"/>
          <w:sz w:val="24"/>
          <w:szCs w:val="24"/>
          <w:lang w:val="es-MX"/>
        </w:rPr>
        <w:t>,</w:t>
      </w:r>
      <w:r w:rsidRPr="00CA1238">
        <w:rPr>
          <w:rFonts w:ascii="Times New Roman" w:hAnsi="Times New Roman" w:cs="Times New Roman"/>
          <w:sz w:val="24"/>
          <w:szCs w:val="24"/>
          <w:lang w:val="x-none"/>
        </w:rPr>
        <w:t xml:space="preserve"> se toma como signif</w:t>
      </w:r>
      <w:r>
        <w:rPr>
          <w:rFonts w:ascii="Times New Roman" w:hAnsi="Times New Roman" w:cs="Times New Roman"/>
          <w:sz w:val="24"/>
          <w:szCs w:val="24"/>
          <w:lang w:val="x-none"/>
        </w:rPr>
        <w:t>icado de contaminación del agua</w:t>
      </w:r>
      <w:r w:rsidRPr="00CA1238">
        <w:rPr>
          <w:rFonts w:ascii="Times New Roman" w:hAnsi="Times New Roman" w:cs="Times New Roman"/>
          <w:sz w:val="24"/>
          <w:szCs w:val="24"/>
          <w:lang w:val="x-none"/>
        </w:rPr>
        <w:t xml:space="preserve"> la alteración de la </w:t>
      </w:r>
      <w:r w:rsidRPr="00CA1238">
        <w:rPr>
          <w:rFonts w:ascii="Times New Roman" w:hAnsi="Times New Roman" w:cs="Times New Roman"/>
          <w:sz w:val="24"/>
          <w:szCs w:val="24"/>
          <w:lang w:val="es-MX"/>
        </w:rPr>
        <w:t>calidad</w:t>
      </w:r>
      <w:r w:rsidRPr="00CA1238">
        <w:rPr>
          <w:rFonts w:ascii="Times New Roman" w:hAnsi="Times New Roman" w:cs="Times New Roman"/>
          <w:sz w:val="24"/>
          <w:szCs w:val="24"/>
          <w:lang w:val="x-none"/>
        </w:rPr>
        <w:t xml:space="preserve"> natural de la misma debida a la acción humana, que la hace total o parcialmente inutilizable para la aplicación útil a la que se destinaba. </w:t>
      </w:r>
    </w:p>
    <w:p w14:paraId="2EAA2E79" w14:textId="77777777"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rPr>
        <w:t xml:space="preserve">Las </w:t>
      </w:r>
      <w:r w:rsidRPr="00CA1238">
        <w:rPr>
          <w:rFonts w:ascii="Times New Roman" w:hAnsi="Times New Roman" w:cs="Times New Roman"/>
          <w:sz w:val="24"/>
          <w:szCs w:val="24"/>
          <w:lang w:val="x-none"/>
        </w:rPr>
        <w:t>tendencias</w:t>
      </w:r>
      <w:r w:rsidRPr="00CA1238">
        <w:rPr>
          <w:rFonts w:ascii="Times New Roman" w:hAnsi="Times New Roman" w:cs="Times New Roman"/>
          <w:sz w:val="24"/>
          <w:szCs w:val="24"/>
        </w:rPr>
        <w:t xml:space="preserve"> al </w:t>
      </w:r>
      <w:r w:rsidRPr="00CA1238">
        <w:rPr>
          <w:rFonts w:ascii="Times New Roman" w:hAnsi="Times New Roman" w:cs="Times New Roman"/>
          <w:sz w:val="24"/>
          <w:szCs w:val="24"/>
          <w:lang w:val="es-MX"/>
        </w:rPr>
        <w:t>considerar</w:t>
      </w:r>
      <w:r w:rsidRPr="00CA1238">
        <w:rPr>
          <w:rFonts w:ascii="Times New Roman" w:hAnsi="Times New Roman" w:cs="Times New Roman"/>
          <w:sz w:val="24"/>
          <w:szCs w:val="24"/>
        </w:rPr>
        <w:t xml:space="preserve"> la vulnerabilidad son las siguientes:</w:t>
      </w:r>
    </w:p>
    <w:p w14:paraId="51C5A50F" w14:textId="77777777" w:rsidR="004523DC" w:rsidRPr="00CA1238" w:rsidRDefault="004523DC" w:rsidP="004523DC">
      <w:pPr>
        <w:pStyle w:val="ListParagraph"/>
        <w:numPr>
          <w:ilvl w:val="0"/>
          <w:numId w:val="3"/>
        </w:num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lang w:val="x-none"/>
        </w:rPr>
        <w:t>Vulnerabilidad intr</w:t>
      </w:r>
      <w:r w:rsidRPr="00CA1238">
        <w:rPr>
          <w:rFonts w:ascii="Times New Roman" w:hAnsi="Times New Roman" w:cs="Times New Roman"/>
          <w:sz w:val="24"/>
          <w:szCs w:val="24"/>
          <w:lang w:val="es-MX"/>
        </w:rPr>
        <w:t xml:space="preserve">ínseca: </w:t>
      </w:r>
      <w:r w:rsidRPr="00CA1238">
        <w:rPr>
          <w:rFonts w:ascii="Times New Roman" w:hAnsi="Times New Roman" w:cs="Times New Roman"/>
          <w:sz w:val="24"/>
          <w:szCs w:val="24"/>
          <w:lang w:val="x-none"/>
        </w:rPr>
        <w:t xml:space="preserve">referida exclusivamente al medio (tipo de acuífero y cobertura, permeabilidad, profundidad, recarga, etc.), no teniendo en cuenta la incidencia de las sustancias </w:t>
      </w:r>
      <w:proofErr w:type="spellStart"/>
      <w:r w:rsidRPr="00CA1238">
        <w:rPr>
          <w:rFonts w:ascii="Times New Roman" w:hAnsi="Times New Roman" w:cs="Times New Roman"/>
          <w:sz w:val="24"/>
          <w:szCs w:val="24"/>
          <w:lang w:val="x-none"/>
        </w:rPr>
        <w:t>conta</w:t>
      </w:r>
      <w:r w:rsidRPr="00CA1238">
        <w:rPr>
          <w:rFonts w:ascii="Times New Roman" w:hAnsi="Times New Roman" w:cs="Times New Roman"/>
          <w:sz w:val="24"/>
          <w:szCs w:val="24"/>
        </w:rPr>
        <w:t>m</w:t>
      </w:r>
      <w:r w:rsidRPr="00CA1238">
        <w:rPr>
          <w:rFonts w:ascii="Times New Roman" w:hAnsi="Times New Roman" w:cs="Times New Roman"/>
          <w:sz w:val="24"/>
          <w:szCs w:val="24"/>
          <w:lang w:val="x-none"/>
        </w:rPr>
        <w:t>inantes</w:t>
      </w:r>
      <w:proofErr w:type="spellEnd"/>
      <w:r w:rsidRPr="00CA1238">
        <w:rPr>
          <w:rFonts w:ascii="Times New Roman" w:hAnsi="Times New Roman" w:cs="Times New Roman"/>
          <w:sz w:val="24"/>
          <w:szCs w:val="24"/>
        </w:rPr>
        <w:t>.</w:t>
      </w:r>
    </w:p>
    <w:p w14:paraId="265A06C5" w14:textId="77777777" w:rsidR="004523DC" w:rsidRPr="00CA1238" w:rsidRDefault="004523DC" w:rsidP="004523DC">
      <w:pPr>
        <w:pStyle w:val="ListParagraph"/>
        <w:numPr>
          <w:ilvl w:val="0"/>
          <w:numId w:val="3"/>
        </w:num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lang w:val="x-none"/>
        </w:rPr>
        <w:t>Vulnerabilidad específica:  se le otorga trascendencia al tipo y carga del contaminante y al comportamiento del medio. Se asimila al concepto de riesgo a la contaminación.</w:t>
      </w:r>
    </w:p>
    <w:p w14:paraId="66C270A2" w14:textId="69A135C1"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rPr>
        <w:t>Para e</w:t>
      </w:r>
      <w:r w:rsidRPr="00CA1238">
        <w:rPr>
          <w:rFonts w:ascii="Times New Roman" w:hAnsi="Times New Roman" w:cs="Times New Roman"/>
          <w:sz w:val="24"/>
          <w:szCs w:val="24"/>
          <w:lang w:val="x-none"/>
        </w:rPr>
        <w:t>valua</w:t>
      </w:r>
      <w:r w:rsidRPr="00CA1238">
        <w:rPr>
          <w:rFonts w:ascii="Times New Roman" w:hAnsi="Times New Roman" w:cs="Times New Roman"/>
          <w:sz w:val="24"/>
          <w:szCs w:val="24"/>
        </w:rPr>
        <w:t>r</w:t>
      </w:r>
      <w:r w:rsidRPr="00CA1238">
        <w:rPr>
          <w:rFonts w:ascii="Times New Roman" w:hAnsi="Times New Roman" w:cs="Times New Roman"/>
          <w:sz w:val="24"/>
          <w:szCs w:val="24"/>
          <w:lang w:val="x-none"/>
        </w:rPr>
        <w:t xml:space="preserve"> la vulnerabilidad</w:t>
      </w:r>
      <w:r w:rsidRPr="00CA1238">
        <w:rPr>
          <w:rFonts w:ascii="Times New Roman" w:hAnsi="Times New Roman" w:cs="Times New Roman"/>
          <w:sz w:val="24"/>
          <w:szCs w:val="24"/>
        </w:rPr>
        <w:t xml:space="preserve">, </w:t>
      </w:r>
      <w:sdt>
        <w:sdtPr>
          <w:rPr>
            <w:rFonts w:ascii="Times New Roman" w:hAnsi="Times New Roman" w:cs="Times New Roman"/>
            <w:sz w:val="24"/>
            <w:szCs w:val="24"/>
          </w:rPr>
          <w:id w:val="1953512425"/>
          <w:citation/>
        </w:sdtPr>
        <w:sdtEndPr/>
        <w:sdtContent>
          <w:r w:rsidR="00C20290">
            <w:rPr>
              <w:rFonts w:ascii="Times New Roman" w:hAnsi="Times New Roman" w:cs="Times New Roman"/>
              <w:sz w:val="24"/>
              <w:szCs w:val="24"/>
            </w:rPr>
            <w:fldChar w:fldCharType="begin"/>
          </w:r>
          <w:r w:rsidR="00805679">
            <w:rPr>
              <w:rFonts w:ascii="Times New Roman" w:hAnsi="Times New Roman" w:cs="Times New Roman"/>
              <w:sz w:val="24"/>
              <w:szCs w:val="24"/>
            </w:rPr>
            <w:instrText xml:space="preserve">CITATION GON18 \l 3082 </w:instrText>
          </w:r>
          <w:r w:rsidR="00C20290">
            <w:rPr>
              <w:rFonts w:ascii="Times New Roman" w:hAnsi="Times New Roman" w:cs="Times New Roman"/>
              <w:sz w:val="24"/>
              <w:szCs w:val="24"/>
            </w:rPr>
            <w:fldChar w:fldCharType="separate"/>
          </w:r>
          <w:r w:rsidR="00C02F6C" w:rsidRPr="00C02F6C">
            <w:rPr>
              <w:rFonts w:ascii="Times New Roman" w:hAnsi="Times New Roman" w:cs="Times New Roman"/>
              <w:noProof/>
              <w:sz w:val="24"/>
              <w:szCs w:val="24"/>
            </w:rPr>
            <w:t>(González Herrera, Albornoz Euán, Sánchez y Pinto, &amp; Osorio Rodríguez, 2018)</w:t>
          </w:r>
          <w:r w:rsidR="00C20290">
            <w:rPr>
              <w:rFonts w:ascii="Times New Roman" w:hAnsi="Times New Roman" w:cs="Times New Roman"/>
              <w:sz w:val="24"/>
              <w:szCs w:val="24"/>
            </w:rPr>
            <w:fldChar w:fldCharType="end"/>
          </w:r>
        </w:sdtContent>
      </w:sdt>
      <w:r w:rsidRPr="00CA1238">
        <w:rPr>
          <w:rFonts w:ascii="Times New Roman" w:hAnsi="Times New Roman" w:cs="Times New Roman"/>
          <w:sz w:val="24"/>
          <w:szCs w:val="24"/>
          <w:lang w:val="es-MX"/>
        </w:rPr>
        <w:t xml:space="preserve">, citando a </w:t>
      </w:r>
      <w:sdt>
        <w:sdtPr>
          <w:rPr>
            <w:rFonts w:ascii="Times New Roman" w:hAnsi="Times New Roman" w:cs="Times New Roman"/>
            <w:sz w:val="24"/>
            <w:szCs w:val="24"/>
            <w:lang w:val="es-MX"/>
          </w:rPr>
          <w:id w:val="-11458177"/>
          <w:citation/>
        </w:sdtPr>
        <w:sdtEndPr/>
        <w:sdtContent>
          <w:r w:rsidR="00C20290">
            <w:rPr>
              <w:rFonts w:ascii="Times New Roman" w:hAnsi="Times New Roman" w:cs="Times New Roman"/>
              <w:sz w:val="24"/>
              <w:szCs w:val="24"/>
              <w:lang w:val="es-MX"/>
            </w:rPr>
            <w:fldChar w:fldCharType="begin"/>
          </w:r>
          <w:r w:rsidR="00C20290">
            <w:rPr>
              <w:rFonts w:ascii="Times New Roman" w:hAnsi="Times New Roman" w:cs="Times New Roman"/>
              <w:sz w:val="24"/>
              <w:szCs w:val="24"/>
            </w:rPr>
            <w:instrText xml:space="preserve"> CITATION Nob07 \l 3082 </w:instrText>
          </w:r>
          <w:r w:rsidR="00C20290">
            <w:rPr>
              <w:rFonts w:ascii="Times New Roman" w:hAnsi="Times New Roman" w:cs="Times New Roman"/>
              <w:sz w:val="24"/>
              <w:szCs w:val="24"/>
              <w:lang w:val="es-MX"/>
            </w:rPr>
            <w:fldChar w:fldCharType="separate"/>
          </w:r>
          <w:r w:rsidR="00C02F6C" w:rsidRPr="00C02F6C">
            <w:rPr>
              <w:rFonts w:ascii="Times New Roman" w:hAnsi="Times New Roman" w:cs="Times New Roman"/>
              <w:noProof/>
              <w:sz w:val="24"/>
              <w:szCs w:val="24"/>
            </w:rPr>
            <w:t>(Nobre, Rotunno Filh, Mansur, Nobre, &amp; Cosenza, 2007)</w:t>
          </w:r>
          <w:r w:rsidR="00C20290">
            <w:rPr>
              <w:rFonts w:ascii="Times New Roman" w:hAnsi="Times New Roman" w:cs="Times New Roman"/>
              <w:sz w:val="24"/>
              <w:szCs w:val="24"/>
              <w:lang w:val="es-MX"/>
            </w:rPr>
            <w:fldChar w:fldCharType="end"/>
          </w:r>
        </w:sdtContent>
      </w:sdt>
      <w:r w:rsidRPr="00CA1238">
        <w:rPr>
          <w:rFonts w:ascii="Times New Roman" w:hAnsi="Times New Roman" w:cs="Times New Roman"/>
          <w:sz w:val="24"/>
          <w:szCs w:val="24"/>
        </w:rPr>
        <w:t>, hace mención</w:t>
      </w:r>
      <w:r w:rsidRPr="00CA1238">
        <w:rPr>
          <w:rFonts w:ascii="Times New Roman" w:hAnsi="Times New Roman" w:cs="Times New Roman"/>
          <w:sz w:val="24"/>
          <w:szCs w:val="24"/>
          <w:lang w:val="es-MX"/>
        </w:rPr>
        <w:t xml:space="preserve"> de una clasificación de los métodos para evaluar vulnerabilidad en tres categorías:</w:t>
      </w:r>
    </w:p>
    <w:p w14:paraId="4C67D21D" w14:textId="77777777" w:rsidR="004523DC" w:rsidRPr="00CA1238" w:rsidRDefault="004523DC" w:rsidP="004523DC">
      <w:pPr>
        <w:pStyle w:val="ListParagraph"/>
        <w:numPr>
          <w:ilvl w:val="0"/>
          <w:numId w:val="3"/>
        </w:numPr>
        <w:spacing w:before="120" w:after="120" w:line="360" w:lineRule="auto"/>
        <w:jc w:val="both"/>
        <w:rPr>
          <w:rFonts w:ascii="Times New Roman" w:hAnsi="Times New Roman" w:cs="Times New Roman"/>
          <w:sz w:val="24"/>
          <w:szCs w:val="24"/>
          <w:lang w:val="x-none"/>
        </w:rPr>
      </w:pPr>
      <w:r w:rsidRPr="00CA1238">
        <w:rPr>
          <w:rFonts w:ascii="Times New Roman" w:hAnsi="Times New Roman" w:cs="Times New Roman"/>
          <w:sz w:val="24"/>
          <w:szCs w:val="24"/>
          <w:lang w:val="x-none"/>
        </w:rPr>
        <w:t>Métodos basados en índices,</w:t>
      </w:r>
    </w:p>
    <w:p w14:paraId="45F48584" w14:textId="77777777" w:rsidR="004523DC" w:rsidRPr="00CA1238" w:rsidRDefault="004523DC" w:rsidP="004523DC">
      <w:pPr>
        <w:pStyle w:val="ListParagraph"/>
        <w:numPr>
          <w:ilvl w:val="0"/>
          <w:numId w:val="3"/>
        </w:numPr>
        <w:spacing w:before="120" w:after="120" w:line="360" w:lineRule="auto"/>
        <w:jc w:val="both"/>
        <w:rPr>
          <w:rFonts w:ascii="Times New Roman" w:hAnsi="Times New Roman" w:cs="Times New Roman"/>
          <w:sz w:val="24"/>
          <w:szCs w:val="24"/>
          <w:lang w:val="x-none"/>
        </w:rPr>
      </w:pPr>
      <w:r w:rsidRPr="00CA1238">
        <w:rPr>
          <w:rFonts w:ascii="Times New Roman" w:hAnsi="Times New Roman" w:cs="Times New Roman"/>
          <w:sz w:val="24"/>
          <w:szCs w:val="24"/>
          <w:lang w:val="x-none"/>
        </w:rPr>
        <w:t>Métodos que aplican modelos determinísticos basados en procesos físicos,</w:t>
      </w:r>
    </w:p>
    <w:p w14:paraId="50B2F0C5" w14:textId="77777777" w:rsidR="004523DC" w:rsidRPr="00CA1238" w:rsidRDefault="004523DC" w:rsidP="004523DC">
      <w:pPr>
        <w:pStyle w:val="ListParagraph"/>
        <w:numPr>
          <w:ilvl w:val="0"/>
          <w:numId w:val="3"/>
        </w:numPr>
        <w:spacing w:before="120" w:after="120" w:line="360" w:lineRule="auto"/>
        <w:jc w:val="both"/>
        <w:rPr>
          <w:rFonts w:ascii="Times New Roman" w:hAnsi="Times New Roman" w:cs="Times New Roman"/>
          <w:sz w:val="24"/>
          <w:szCs w:val="24"/>
          <w:lang w:val="x-none"/>
        </w:rPr>
      </w:pPr>
      <w:r w:rsidRPr="00CA1238">
        <w:rPr>
          <w:rFonts w:ascii="Times New Roman" w:hAnsi="Times New Roman" w:cs="Times New Roman"/>
          <w:sz w:val="24"/>
          <w:szCs w:val="24"/>
          <w:lang w:val="x-none"/>
        </w:rPr>
        <w:t>Modelos estadísticos.</w:t>
      </w:r>
    </w:p>
    <w:p w14:paraId="7BCB8AE8" w14:textId="77777777" w:rsidR="004523DC" w:rsidRPr="00CA1238" w:rsidRDefault="004523DC" w:rsidP="004523DC">
      <w:pPr>
        <w:spacing w:before="120" w:after="120" w:line="360" w:lineRule="auto"/>
        <w:jc w:val="both"/>
        <w:rPr>
          <w:rFonts w:ascii="Times New Roman" w:hAnsi="Times New Roman" w:cs="Times New Roman"/>
          <w:sz w:val="24"/>
          <w:szCs w:val="24"/>
          <w:lang w:val="x-none"/>
        </w:rPr>
      </w:pPr>
      <w:r w:rsidRPr="00CA1238">
        <w:rPr>
          <w:rFonts w:ascii="Times New Roman" w:hAnsi="Times New Roman" w:cs="Times New Roman"/>
          <w:sz w:val="24"/>
          <w:szCs w:val="24"/>
          <w:lang w:val="x-none"/>
        </w:rPr>
        <w:t>Las características de los métodos basados en índices son las siguientes:</w:t>
      </w:r>
    </w:p>
    <w:p w14:paraId="4A9CE236" w14:textId="77777777" w:rsidR="004523DC" w:rsidRPr="00CA1238" w:rsidRDefault="004523DC" w:rsidP="004523DC">
      <w:pPr>
        <w:pStyle w:val="ListParagraph"/>
        <w:numPr>
          <w:ilvl w:val="0"/>
          <w:numId w:val="3"/>
        </w:numPr>
        <w:spacing w:before="120" w:after="120" w:line="360" w:lineRule="auto"/>
        <w:jc w:val="both"/>
        <w:rPr>
          <w:rFonts w:ascii="Times New Roman" w:hAnsi="Times New Roman" w:cs="Times New Roman"/>
          <w:sz w:val="24"/>
          <w:szCs w:val="24"/>
          <w:lang w:val="x-none"/>
        </w:rPr>
      </w:pPr>
      <w:r w:rsidRPr="00CA1238">
        <w:rPr>
          <w:rFonts w:ascii="Times New Roman" w:hAnsi="Times New Roman" w:cs="Times New Roman"/>
          <w:sz w:val="24"/>
          <w:szCs w:val="24"/>
          <w:lang w:val="x-none"/>
        </w:rPr>
        <w:t>Simplicidad.</w:t>
      </w:r>
    </w:p>
    <w:p w14:paraId="7F9F1C3D" w14:textId="77777777" w:rsidR="004523DC" w:rsidRPr="00CA1238" w:rsidRDefault="004523DC" w:rsidP="004523DC">
      <w:pPr>
        <w:pStyle w:val="ListParagraph"/>
        <w:numPr>
          <w:ilvl w:val="0"/>
          <w:numId w:val="3"/>
        </w:numPr>
        <w:spacing w:before="120" w:after="120" w:line="360" w:lineRule="auto"/>
        <w:jc w:val="both"/>
        <w:rPr>
          <w:rFonts w:ascii="Times New Roman" w:hAnsi="Times New Roman" w:cs="Times New Roman"/>
          <w:sz w:val="24"/>
          <w:szCs w:val="24"/>
          <w:lang w:val="x-none"/>
        </w:rPr>
      </w:pPr>
      <w:r w:rsidRPr="00CA1238">
        <w:rPr>
          <w:rFonts w:ascii="Times New Roman" w:hAnsi="Times New Roman" w:cs="Times New Roman"/>
          <w:sz w:val="24"/>
          <w:szCs w:val="24"/>
          <w:lang w:val="x-none"/>
        </w:rPr>
        <w:t>Requieren pocos datos.</w:t>
      </w:r>
    </w:p>
    <w:p w14:paraId="160B3C36" w14:textId="77777777" w:rsidR="004523DC" w:rsidRPr="00CA1238" w:rsidRDefault="004523DC" w:rsidP="004523DC">
      <w:pPr>
        <w:pStyle w:val="ListParagraph"/>
        <w:numPr>
          <w:ilvl w:val="0"/>
          <w:numId w:val="3"/>
        </w:num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lang w:val="x-none"/>
        </w:rPr>
        <w:t>Se implementan</w:t>
      </w:r>
      <w:r w:rsidRPr="00CA1238">
        <w:rPr>
          <w:rFonts w:ascii="Times New Roman" w:hAnsi="Times New Roman" w:cs="Times New Roman"/>
          <w:sz w:val="24"/>
          <w:szCs w:val="24"/>
          <w:lang w:val="es-MX"/>
        </w:rPr>
        <w:t xml:space="preserve"> con facilidad en sistemas de información geográfica (SIG).</w:t>
      </w:r>
    </w:p>
    <w:p w14:paraId="48119465" w14:textId="77777777"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lang w:val="es-MX"/>
        </w:rPr>
        <w:t>Por razón de estas características, este trabajo centra su atención en los métodos basados en índices.</w:t>
      </w:r>
    </w:p>
    <w:p w14:paraId="6576CA0B" w14:textId="77777777" w:rsidR="004523DC" w:rsidRPr="00CA1238" w:rsidRDefault="004523DC" w:rsidP="004523DC">
      <w:pPr>
        <w:spacing w:before="120" w:after="120" w:line="360" w:lineRule="auto"/>
        <w:jc w:val="both"/>
        <w:rPr>
          <w:rFonts w:ascii="Times New Roman" w:hAnsi="Times New Roman" w:cs="Times New Roman"/>
          <w:sz w:val="24"/>
          <w:szCs w:val="24"/>
          <w:lang w:val="es-MX"/>
        </w:rPr>
      </w:pPr>
      <w:r w:rsidRPr="00CA1238">
        <w:rPr>
          <w:rFonts w:ascii="Times New Roman" w:hAnsi="Times New Roman" w:cs="Times New Roman"/>
          <w:sz w:val="24"/>
          <w:szCs w:val="24"/>
          <w:lang w:val="es-MX"/>
        </w:rPr>
        <w:t>Los índices más utilizados son los que corresponden a los métodos DRASTIC</w:t>
      </w:r>
      <w:r w:rsidRPr="00CA1238">
        <w:rPr>
          <w:rFonts w:ascii="Times New Roman" w:hAnsi="Times New Roman" w:cs="Times New Roman"/>
          <w:sz w:val="24"/>
          <w:szCs w:val="24"/>
        </w:rPr>
        <w:t xml:space="preserve"> y </w:t>
      </w:r>
      <w:r w:rsidRPr="00CA1238">
        <w:rPr>
          <w:rFonts w:ascii="Times New Roman" w:hAnsi="Times New Roman" w:cs="Times New Roman"/>
          <w:sz w:val="24"/>
          <w:szCs w:val="24"/>
          <w:lang w:val="es-MX"/>
        </w:rPr>
        <w:t xml:space="preserve">GOD. </w:t>
      </w:r>
      <w:r w:rsidRPr="00CA1238">
        <w:rPr>
          <w:rFonts w:ascii="Times New Roman" w:hAnsi="Times New Roman" w:cs="Times New Roman"/>
          <w:sz w:val="24"/>
          <w:szCs w:val="24"/>
        </w:rPr>
        <w:t xml:space="preserve">El primero </w:t>
      </w:r>
      <w:r w:rsidRPr="00CA1238">
        <w:rPr>
          <w:rFonts w:ascii="Times New Roman" w:hAnsi="Times New Roman" w:cs="Times New Roman"/>
          <w:sz w:val="24"/>
          <w:szCs w:val="24"/>
          <w:lang w:val="es-MX"/>
        </w:rPr>
        <w:t>por</w:t>
      </w:r>
      <w:r w:rsidRPr="00CA1238">
        <w:rPr>
          <w:rFonts w:ascii="Times New Roman" w:hAnsi="Times New Roman" w:cs="Times New Roman"/>
          <w:sz w:val="24"/>
          <w:szCs w:val="24"/>
        </w:rPr>
        <w:t xml:space="preserve"> ser el más detallado a la hora de realizar un estudio a profundidad en el </w:t>
      </w:r>
      <w:r w:rsidRPr="00CA1238">
        <w:rPr>
          <w:rFonts w:ascii="Times New Roman" w:hAnsi="Times New Roman" w:cs="Times New Roman"/>
          <w:sz w:val="24"/>
          <w:szCs w:val="24"/>
        </w:rPr>
        <w:lastRenderedPageBreak/>
        <w:t>acuífero y el segundo es el más utilizado por realizar similares resultados a partir de un determinado grado de simplificación en las variables de estudio durante el proceso de valoración a partir de los estudios de campo e investigaciones hidrogeológicas, topográficas y socio-económicas, políticas y demográficas.</w:t>
      </w:r>
    </w:p>
    <w:p w14:paraId="193202A8" w14:textId="2BA00078"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lang w:val="es-MX"/>
        </w:rPr>
        <w:t xml:space="preserve">El método DRASTIC </w:t>
      </w:r>
      <w:sdt>
        <w:sdtPr>
          <w:rPr>
            <w:rFonts w:ascii="Times New Roman" w:hAnsi="Times New Roman" w:cs="Times New Roman"/>
            <w:sz w:val="24"/>
            <w:szCs w:val="24"/>
            <w:lang w:val="es-MX"/>
          </w:rPr>
          <w:id w:val="2111076836"/>
          <w:citation/>
        </w:sdtPr>
        <w:sdtEndPr/>
        <w:sdtContent>
          <w:r w:rsidR="008A3753">
            <w:rPr>
              <w:rFonts w:ascii="Times New Roman" w:hAnsi="Times New Roman" w:cs="Times New Roman"/>
              <w:sz w:val="24"/>
              <w:szCs w:val="24"/>
              <w:lang w:val="es-MX"/>
            </w:rPr>
            <w:fldChar w:fldCharType="begin"/>
          </w:r>
          <w:r w:rsidR="008A3753">
            <w:rPr>
              <w:rFonts w:ascii="Times New Roman" w:hAnsi="Times New Roman" w:cs="Times New Roman"/>
              <w:sz w:val="24"/>
              <w:szCs w:val="24"/>
            </w:rPr>
            <w:instrText xml:space="preserve"> CITATION All87 \l 3082 </w:instrText>
          </w:r>
          <w:r w:rsidR="008A3753">
            <w:rPr>
              <w:rFonts w:ascii="Times New Roman" w:hAnsi="Times New Roman" w:cs="Times New Roman"/>
              <w:sz w:val="24"/>
              <w:szCs w:val="24"/>
              <w:lang w:val="es-MX"/>
            </w:rPr>
            <w:fldChar w:fldCharType="separate"/>
          </w:r>
          <w:r w:rsidR="00C02F6C" w:rsidRPr="00C02F6C">
            <w:rPr>
              <w:rFonts w:ascii="Times New Roman" w:hAnsi="Times New Roman" w:cs="Times New Roman"/>
              <w:noProof/>
              <w:sz w:val="24"/>
              <w:szCs w:val="24"/>
            </w:rPr>
            <w:t>(Aller, Bennett, Lehr, Petty, &amp; Hackett, 1987)</w:t>
          </w:r>
          <w:r w:rsidR="008A3753">
            <w:rPr>
              <w:rFonts w:ascii="Times New Roman" w:hAnsi="Times New Roman" w:cs="Times New Roman"/>
              <w:sz w:val="24"/>
              <w:szCs w:val="24"/>
              <w:lang w:val="es-MX"/>
            </w:rPr>
            <w:fldChar w:fldCharType="end"/>
          </w:r>
        </w:sdtContent>
      </w:sdt>
      <w:r w:rsidRPr="00CA1238">
        <w:rPr>
          <w:rFonts w:ascii="Times New Roman" w:hAnsi="Times New Roman" w:cs="Times New Roman"/>
          <w:sz w:val="24"/>
          <w:szCs w:val="24"/>
          <w:lang w:val="es-MX"/>
        </w:rPr>
        <w:t xml:space="preserve"> asigna índices de 1 a 10 a las variables </w:t>
      </w:r>
      <w:r w:rsidRPr="00CA1238">
        <w:rPr>
          <w:rFonts w:ascii="Times New Roman" w:hAnsi="Times New Roman" w:cs="Times New Roman"/>
          <w:sz w:val="24"/>
          <w:szCs w:val="24"/>
        </w:rPr>
        <w:t>profundidad</w:t>
      </w:r>
      <w:r w:rsidRPr="00CA1238">
        <w:rPr>
          <w:rFonts w:ascii="Times New Roman" w:hAnsi="Times New Roman" w:cs="Times New Roman"/>
          <w:sz w:val="24"/>
          <w:szCs w:val="24"/>
          <w:lang w:val="es-MX"/>
        </w:rPr>
        <w:t xml:space="preserve"> del agua freática (D), recarga neta (R), litología del acuífero (A), tipo de suelo (S), </w:t>
      </w:r>
      <w:r w:rsidRPr="00CA1238">
        <w:rPr>
          <w:rFonts w:ascii="Times New Roman" w:hAnsi="Times New Roman" w:cs="Times New Roman"/>
          <w:sz w:val="24"/>
          <w:szCs w:val="24"/>
        </w:rPr>
        <w:t>topografía</w:t>
      </w:r>
      <w:r w:rsidRPr="00CA1238">
        <w:rPr>
          <w:rFonts w:ascii="Times New Roman" w:hAnsi="Times New Roman" w:cs="Times New Roman"/>
          <w:sz w:val="24"/>
          <w:szCs w:val="24"/>
          <w:lang w:val="es-MX"/>
        </w:rPr>
        <w:t xml:space="preserve"> (T), litología de la sección subsaturada (I) y conductividad hidráulica (C).</w:t>
      </w:r>
    </w:p>
    <w:p w14:paraId="2E9CA7C5" w14:textId="77777777" w:rsidR="004523DC" w:rsidRPr="00CA1238" w:rsidRDefault="004523DC" w:rsidP="004523DC">
      <w:pPr>
        <w:spacing w:line="360" w:lineRule="auto"/>
        <w:jc w:val="both"/>
        <w:rPr>
          <w:rFonts w:ascii="Times New Roman" w:hAnsi="Times New Roman" w:cs="Times New Roman"/>
          <w:sz w:val="24"/>
          <w:szCs w:val="24"/>
        </w:rPr>
      </w:pPr>
      <w:r w:rsidRPr="00CA1238">
        <w:rPr>
          <w:rFonts w:ascii="Times New Roman" w:hAnsi="Times New Roman" w:cs="Times New Roman"/>
          <w:sz w:val="24"/>
          <w:szCs w:val="24"/>
          <w:lang w:val="es-MX"/>
        </w:rPr>
        <w:t>A cada variable se le asigna un peso de acuerdo a la influencia respecto a la vulnerabilidad, empleando índices entre 1 y 5.</w:t>
      </w:r>
    </w:p>
    <w:p w14:paraId="4ADD0802" w14:textId="77777777"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lang w:val="es-MX"/>
        </w:rPr>
        <w:t xml:space="preserve">Ambos </w:t>
      </w:r>
      <w:r w:rsidRPr="00CA1238">
        <w:rPr>
          <w:rFonts w:ascii="Times New Roman" w:hAnsi="Times New Roman" w:cs="Times New Roman"/>
          <w:sz w:val="24"/>
          <w:szCs w:val="24"/>
        </w:rPr>
        <w:t>índices</w:t>
      </w:r>
      <w:r w:rsidRPr="00CA1238">
        <w:rPr>
          <w:rFonts w:ascii="Times New Roman" w:hAnsi="Times New Roman" w:cs="Times New Roman"/>
          <w:sz w:val="24"/>
          <w:szCs w:val="24"/>
          <w:lang w:val="es-MX"/>
        </w:rPr>
        <w:t xml:space="preserve"> se multiplican para cada variable, y luego se suman los siete resultados, para obtener un índice de vulnerabilidad, cuyos extremos son 23 y 230. En la práctica, el índice dominante varía entre 50 y 200 (</w:t>
      </w:r>
      <w:r w:rsidRPr="00CA1238">
        <w:rPr>
          <w:rFonts w:ascii="Times New Roman" w:hAnsi="Times New Roman" w:cs="Times New Roman"/>
          <w:sz w:val="24"/>
          <w:szCs w:val="24"/>
        </w:rPr>
        <w:t>Auge, 2004)</w:t>
      </w:r>
    </w:p>
    <w:p w14:paraId="1C890D98" w14:textId="38163665"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lang w:val="es-MX"/>
        </w:rPr>
        <w:t>El método GOD</w:t>
      </w:r>
      <w:r w:rsidR="00473663">
        <w:rPr>
          <w:rFonts w:ascii="Times New Roman" w:hAnsi="Times New Roman" w:cs="Times New Roman"/>
          <w:sz w:val="24"/>
          <w:szCs w:val="24"/>
          <w:lang w:val="es-MX"/>
        </w:rPr>
        <w:t xml:space="preserve">, propuesto por </w:t>
      </w:r>
      <w:r w:rsidRPr="00CA1238">
        <w:rPr>
          <w:rFonts w:ascii="Times New Roman" w:hAnsi="Times New Roman" w:cs="Times New Roman"/>
          <w:sz w:val="24"/>
          <w:szCs w:val="24"/>
          <w:lang w:val="es-MX"/>
        </w:rPr>
        <w:t>Foster</w:t>
      </w:r>
      <w:r w:rsidR="00473663">
        <w:rPr>
          <w:rFonts w:ascii="Times New Roman" w:hAnsi="Times New Roman" w:cs="Times New Roman"/>
          <w:sz w:val="24"/>
          <w:szCs w:val="24"/>
          <w:lang w:val="es-MX"/>
        </w:rPr>
        <w:t xml:space="preserve"> en</w:t>
      </w:r>
      <w:r w:rsidRPr="00CA1238">
        <w:rPr>
          <w:rFonts w:ascii="Times New Roman" w:hAnsi="Times New Roman" w:cs="Times New Roman"/>
          <w:sz w:val="24"/>
          <w:szCs w:val="24"/>
          <w:lang w:val="es-MX"/>
        </w:rPr>
        <w:t xml:space="preserve"> 1987</w:t>
      </w:r>
      <w:r w:rsidR="00473663">
        <w:rPr>
          <w:rFonts w:ascii="Times New Roman" w:hAnsi="Times New Roman" w:cs="Times New Roman"/>
          <w:sz w:val="24"/>
          <w:szCs w:val="24"/>
          <w:lang w:val="es-MX"/>
        </w:rPr>
        <w:t>,</w:t>
      </w:r>
      <w:r w:rsidRPr="00CA1238">
        <w:rPr>
          <w:rFonts w:ascii="Times New Roman" w:hAnsi="Times New Roman" w:cs="Times New Roman"/>
          <w:sz w:val="24"/>
          <w:szCs w:val="24"/>
          <w:lang w:val="es-MX"/>
        </w:rPr>
        <w:t xml:space="preserve"> asigna índices entre 0 y 1 a las variables tipo de acuífero (G), </w:t>
      </w:r>
      <w:r w:rsidRPr="00CA1238">
        <w:rPr>
          <w:rFonts w:ascii="Times New Roman" w:hAnsi="Times New Roman" w:cs="Times New Roman"/>
          <w:sz w:val="24"/>
          <w:szCs w:val="24"/>
        </w:rPr>
        <w:t>litología</w:t>
      </w:r>
      <w:r w:rsidRPr="00CA1238">
        <w:rPr>
          <w:rFonts w:ascii="Times New Roman" w:hAnsi="Times New Roman" w:cs="Times New Roman"/>
          <w:sz w:val="24"/>
          <w:szCs w:val="24"/>
          <w:lang w:val="es-MX"/>
        </w:rPr>
        <w:t xml:space="preserve"> de la cobertura (O) y profundidad del agua o del acuífero (D).</w:t>
      </w:r>
    </w:p>
    <w:p w14:paraId="50DB4407" w14:textId="7CF275B9"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lang w:val="es-MX"/>
        </w:rPr>
        <w:t xml:space="preserve">Los tres </w:t>
      </w:r>
      <w:r w:rsidRPr="00CA1238">
        <w:rPr>
          <w:rFonts w:ascii="Times New Roman" w:hAnsi="Times New Roman" w:cs="Times New Roman"/>
          <w:sz w:val="24"/>
          <w:szCs w:val="24"/>
        </w:rPr>
        <w:t>índices</w:t>
      </w:r>
      <w:r w:rsidRPr="00CA1238">
        <w:rPr>
          <w:rFonts w:ascii="Times New Roman" w:hAnsi="Times New Roman" w:cs="Times New Roman"/>
          <w:sz w:val="24"/>
          <w:szCs w:val="24"/>
          <w:lang w:val="es-MX"/>
        </w:rPr>
        <w:t xml:space="preserve"> se multiplican entre sí y resulta el índice de vulnerabilidad, que puede variar entre 0 (mínima) y 1 (máxima).</w:t>
      </w:r>
      <w:r w:rsidR="00473663">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1722361840"/>
          <w:citation/>
        </w:sdtPr>
        <w:sdtEndPr/>
        <w:sdtContent>
          <w:r w:rsidR="00DA7A0C">
            <w:rPr>
              <w:rFonts w:ascii="Times New Roman" w:hAnsi="Times New Roman" w:cs="Times New Roman"/>
              <w:sz w:val="24"/>
              <w:szCs w:val="24"/>
              <w:lang w:val="es-MX"/>
            </w:rPr>
            <w:fldChar w:fldCharType="begin"/>
          </w:r>
          <w:r w:rsidR="00C02F6C">
            <w:rPr>
              <w:rFonts w:ascii="Times New Roman" w:hAnsi="Times New Roman" w:cs="Times New Roman"/>
              <w:sz w:val="24"/>
              <w:szCs w:val="24"/>
            </w:rPr>
            <w:instrText xml:space="preserve">CITATION Fos91 \l 3082 </w:instrText>
          </w:r>
          <w:r w:rsidR="00DA7A0C">
            <w:rPr>
              <w:rFonts w:ascii="Times New Roman" w:hAnsi="Times New Roman" w:cs="Times New Roman"/>
              <w:sz w:val="24"/>
              <w:szCs w:val="24"/>
              <w:lang w:val="es-MX"/>
            </w:rPr>
            <w:fldChar w:fldCharType="separate"/>
          </w:r>
          <w:r w:rsidR="00C02F6C" w:rsidRPr="00C02F6C">
            <w:rPr>
              <w:rFonts w:ascii="Times New Roman" w:hAnsi="Times New Roman" w:cs="Times New Roman"/>
              <w:noProof/>
              <w:sz w:val="24"/>
              <w:szCs w:val="24"/>
            </w:rPr>
            <w:t>(Foster &amp; Hirata, Determinación del riesgo de contaminación de aguas subterráneas. Una metodología basada en datos existentes., 1991)</w:t>
          </w:r>
          <w:r w:rsidR="00DA7A0C">
            <w:rPr>
              <w:rFonts w:ascii="Times New Roman" w:hAnsi="Times New Roman" w:cs="Times New Roman"/>
              <w:sz w:val="24"/>
              <w:szCs w:val="24"/>
              <w:lang w:val="es-MX"/>
            </w:rPr>
            <w:fldChar w:fldCharType="end"/>
          </w:r>
        </w:sdtContent>
      </w:sdt>
    </w:p>
    <w:p w14:paraId="409B78EC" w14:textId="54A03452" w:rsidR="00DA7A0C" w:rsidRDefault="004523DC" w:rsidP="004523DC">
      <w:pPr>
        <w:spacing w:before="120" w:after="120" w:line="360" w:lineRule="auto"/>
        <w:jc w:val="both"/>
        <w:rPr>
          <w:rFonts w:ascii="Times New Roman" w:hAnsi="Times New Roman" w:cs="Times New Roman"/>
          <w:sz w:val="24"/>
          <w:szCs w:val="24"/>
          <w:lang w:val="es-MX"/>
        </w:rPr>
      </w:pPr>
      <w:r w:rsidRPr="00CA1238">
        <w:rPr>
          <w:rFonts w:ascii="Times New Roman" w:hAnsi="Times New Roman" w:cs="Times New Roman"/>
          <w:sz w:val="24"/>
          <w:szCs w:val="24"/>
          <w:lang w:val="es-MX"/>
        </w:rPr>
        <w:t xml:space="preserve">Presenta como una ventaja lo sencillo de su operación y el escaso número de parámetros requeridos, aunque esto resulta en definiciones menos claras que DRASTIC </w:t>
      </w:r>
      <w:sdt>
        <w:sdtPr>
          <w:rPr>
            <w:rFonts w:ascii="Times New Roman" w:hAnsi="Times New Roman" w:cs="Times New Roman"/>
            <w:sz w:val="24"/>
            <w:szCs w:val="24"/>
            <w:lang w:val="es-MX"/>
          </w:rPr>
          <w:id w:val="-2033951022"/>
          <w:citation/>
        </w:sdtPr>
        <w:sdtEndPr/>
        <w:sdtContent>
          <w:r w:rsidR="00DA7A0C">
            <w:rPr>
              <w:rFonts w:ascii="Times New Roman" w:hAnsi="Times New Roman" w:cs="Times New Roman"/>
              <w:sz w:val="24"/>
              <w:szCs w:val="24"/>
              <w:lang w:val="es-MX"/>
            </w:rPr>
            <w:fldChar w:fldCharType="begin"/>
          </w:r>
          <w:r w:rsidR="00DA7A0C">
            <w:rPr>
              <w:rFonts w:ascii="Times New Roman" w:hAnsi="Times New Roman" w:cs="Times New Roman"/>
              <w:sz w:val="24"/>
              <w:szCs w:val="24"/>
            </w:rPr>
            <w:instrText xml:space="preserve"> CITATION Aug04 \l 3082 </w:instrText>
          </w:r>
          <w:r w:rsidR="00DA7A0C">
            <w:rPr>
              <w:rFonts w:ascii="Times New Roman" w:hAnsi="Times New Roman" w:cs="Times New Roman"/>
              <w:sz w:val="24"/>
              <w:szCs w:val="24"/>
              <w:lang w:val="es-MX"/>
            </w:rPr>
            <w:fldChar w:fldCharType="separate"/>
          </w:r>
          <w:r w:rsidR="00C02F6C" w:rsidRPr="00C02F6C">
            <w:rPr>
              <w:rFonts w:ascii="Times New Roman" w:hAnsi="Times New Roman" w:cs="Times New Roman"/>
              <w:noProof/>
              <w:sz w:val="24"/>
              <w:szCs w:val="24"/>
            </w:rPr>
            <w:t>(Auge, 2004)</w:t>
          </w:r>
          <w:r w:rsidR="00DA7A0C">
            <w:rPr>
              <w:rFonts w:ascii="Times New Roman" w:hAnsi="Times New Roman" w:cs="Times New Roman"/>
              <w:sz w:val="24"/>
              <w:szCs w:val="24"/>
              <w:lang w:val="es-MX"/>
            </w:rPr>
            <w:fldChar w:fldCharType="end"/>
          </w:r>
        </w:sdtContent>
      </w:sdt>
      <w:r w:rsidR="00DA7A0C">
        <w:rPr>
          <w:rFonts w:ascii="Times New Roman" w:hAnsi="Times New Roman" w:cs="Times New Roman"/>
          <w:sz w:val="24"/>
          <w:szCs w:val="24"/>
          <w:lang w:val="es-MX"/>
        </w:rPr>
        <w:t>.</w:t>
      </w:r>
    </w:p>
    <w:p w14:paraId="1ADEB9CC" w14:textId="74795541"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lang w:val="es-MX"/>
        </w:rPr>
        <w:t xml:space="preserve">En </w:t>
      </w:r>
      <w:sdt>
        <w:sdtPr>
          <w:rPr>
            <w:rFonts w:ascii="Times New Roman" w:hAnsi="Times New Roman" w:cs="Times New Roman"/>
            <w:sz w:val="24"/>
            <w:szCs w:val="24"/>
            <w:lang w:val="es-MX"/>
          </w:rPr>
          <w:id w:val="-625164347"/>
          <w:citation/>
        </w:sdtPr>
        <w:sdtEndPr/>
        <w:sdtContent>
          <w:r w:rsidR="00DA7A0C">
            <w:rPr>
              <w:rFonts w:ascii="Times New Roman" w:hAnsi="Times New Roman" w:cs="Times New Roman"/>
              <w:sz w:val="24"/>
              <w:szCs w:val="24"/>
              <w:lang w:val="es-MX"/>
            </w:rPr>
            <w:fldChar w:fldCharType="begin"/>
          </w:r>
          <w:r w:rsidR="00DA7A0C">
            <w:rPr>
              <w:rFonts w:ascii="Times New Roman" w:hAnsi="Times New Roman" w:cs="Times New Roman"/>
              <w:sz w:val="24"/>
              <w:szCs w:val="24"/>
            </w:rPr>
            <w:instrText xml:space="preserve"> CITATION Mac12 \l 3082 </w:instrText>
          </w:r>
          <w:r w:rsidR="00DA7A0C">
            <w:rPr>
              <w:rFonts w:ascii="Times New Roman" w:hAnsi="Times New Roman" w:cs="Times New Roman"/>
              <w:sz w:val="24"/>
              <w:szCs w:val="24"/>
              <w:lang w:val="es-MX"/>
            </w:rPr>
            <w:fldChar w:fldCharType="separate"/>
          </w:r>
          <w:r w:rsidR="00C02F6C" w:rsidRPr="00C02F6C">
            <w:rPr>
              <w:rFonts w:ascii="Times New Roman" w:hAnsi="Times New Roman" w:cs="Times New Roman"/>
              <w:noProof/>
              <w:sz w:val="24"/>
              <w:szCs w:val="24"/>
            </w:rPr>
            <w:t>(Macián Sorribes, 2012)</w:t>
          </w:r>
          <w:r w:rsidR="00DA7A0C">
            <w:rPr>
              <w:rFonts w:ascii="Times New Roman" w:hAnsi="Times New Roman" w:cs="Times New Roman"/>
              <w:sz w:val="24"/>
              <w:szCs w:val="24"/>
              <w:lang w:val="es-MX"/>
            </w:rPr>
            <w:fldChar w:fldCharType="end"/>
          </w:r>
        </w:sdtContent>
      </w:sdt>
      <w:r w:rsidRPr="00CA1238">
        <w:rPr>
          <w:rFonts w:ascii="Times New Roman" w:hAnsi="Times New Roman" w:cs="Times New Roman"/>
          <w:sz w:val="24"/>
          <w:szCs w:val="24"/>
        </w:rPr>
        <w:t xml:space="preserve"> se hace mención de la limitada utilización de la lógica difusa en la </w:t>
      </w:r>
      <w:r w:rsidRPr="00CA1238">
        <w:rPr>
          <w:rFonts w:ascii="Times New Roman" w:hAnsi="Times New Roman" w:cs="Times New Roman"/>
          <w:sz w:val="24"/>
          <w:szCs w:val="24"/>
          <w:lang w:val="es-MX"/>
        </w:rPr>
        <w:t>ciencia</w:t>
      </w:r>
      <w:r w:rsidRPr="00CA1238">
        <w:rPr>
          <w:rFonts w:ascii="Times New Roman" w:hAnsi="Times New Roman" w:cs="Times New Roman"/>
          <w:sz w:val="24"/>
          <w:szCs w:val="24"/>
        </w:rPr>
        <w:t xml:space="preserve"> de los recursos hídricos.</w:t>
      </w:r>
    </w:p>
    <w:p w14:paraId="6D8A9A47" w14:textId="7B390B75" w:rsidR="004523DC" w:rsidRPr="00CA1238" w:rsidRDefault="004523DC" w:rsidP="004523DC">
      <w:pPr>
        <w:spacing w:before="120" w:after="120" w:line="360" w:lineRule="auto"/>
        <w:jc w:val="both"/>
        <w:rPr>
          <w:rFonts w:ascii="Times New Roman" w:hAnsi="Times New Roman" w:cs="Times New Roman"/>
          <w:sz w:val="24"/>
          <w:szCs w:val="24"/>
          <w:lang w:val="es-MX"/>
        </w:rPr>
      </w:pPr>
      <w:r w:rsidRPr="00CA1238">
        <w:rPr>
          <w:rFonts w:ascii="Times New Roman" w:hAnsi="Times New Roman" w:cs="Times New Roman"/>
          <w:sz w:val="24"/>
          <w:szCs w:val="24"/>
          <w:lang w:val="es-MX"/>
        </w:rPr>
        <w:t xml:space="preserve">En </w:t>
      </w:r>
      <w:sdt>
        <w:sdtPr>
          <w:rPr>
            <w:rFonts w:ascii="Times New Roman" w:hAnsi="Times New Roman" w:cs="Times New Roman"/>
            <w:sz w:val="24"/>
            <w:szCs w:val="24"/>
            <w:lang w:val="es-MX"/>
          </w:rPr>
          <w:id w:val="-317501081"/>
          <w:citation/>
        </w:sdtPr>
        <w:sdtEndPr/>
        <w:sdtContent>
          <w:r w:rsidR="00DA7A0C">
            <w:rPr>
              <w:rFonts w:ascii="Times New Roman" w:hAnsi="Times New Roman" w:cs="Times New Roman"/>
              <w:sz w:val="24"/>
              <w:szCs w:val="24"/>
              <w:lang w:val="es-MX"/>
            </w:rPr>
            <w:fldChar w:fldCharType="begin"/>
          </w:r>
          <w:r w:rsidR="00DA7A0C">
            <w:rPr>
              <w:rFonts w:ascii="Times New Roman" w:hAnsi="Times New Roman" w:cs="Times New Roman"/>
              <w:sz w:val="24"/>
              <w:szCs w:val="24"/>
            </w:rPr>
            <w:instrText xml:space="preserve"> CITATION Mas13 \l 3082 </w:instrText>
          </w:r>
          <w:r w:rsidR="00DA7A0C">
            <w:rPr>
              <w:rFonts w:ascii="Times New Roman" w:hAnsi="Times New Roman" w:cs="Times New Roman"/>
              <w:sz w:val="24"/>
              <w:szCs w:val="24"/>
              <w:lang w:val="es-MX"/>
            </w:rPr>
            <w:fldChar w:fldCharType="separate"/>
          </w:r>
          <w:r w:rsidR="00C02F6C" w:rsidRPr="00C02F6C">
            <w:rPr>
              <w:rFonts w:ascii="Times New Roman" w:hAnsi="Times New Roman" w:cs="Times New Roman"/>
              <w:noProof/>
              <w:sz w:val="24"/>
              <w:szCs w:val="24"/>
            </w:rPr>
            <w:t>(Massone, y otros, 2013)</w:t>
          </w:r>
          <w:r w:rsidR="00DA7A0C">
            <w:rPr>
              <w:rFonts w:ascii="Times New Roman" w:hAnsi="Times New Roman" w:cs="Times New Roman"/>
              <w:sz w:val="24"/>
              <w:szCs w:val="24"/>
              <w:lang w:val="es-MX"/>
            </w:rPr>
            <w:fldChar w:fldCharType="end"/>
          </w:r>
        </w:sdtContent>
      </w:sdt>
      <w:r w:rsidRPr="00CA1238">
        <w:rPr>
          <w:rFonts w:ascii="Times New Roman" w:hAnsi="Times New Roman" w:cs="Times New Roman"/>
          <w:sz w:val="24"/>
          <w:szCs w:val="24"/>
        </w:rPr>
        <w:t>, se analizó</w:t>
      </w:r>
      <w:r w:rsidRPr="00CA1238">
        <w:rPr>
          <w:rFonts w:ascii="Times New Roman" w:hAnsi="Times New Roman" w:cs="Times New Roman"/>
          <w:sz w:val="24"/>
          <w:szCs w:val="24"/>
          <w:lang w:val="es-MX"/>
        </w:rPr>
        <w:t xml:space="preserve"> la potencialidad de la lógica difusa para la evaluación de la vulnerabilidad del agua subterránea a la contaminación. Se propuso una metodología de cálculo de vulnerabilidad utilizando el sistema de operadores de la Lógica Compensatoria Basada en la Media Geométrica (LCBMG), que tiene como operador conjunción la media geométrica.</w:t>
      </w:r>
    </w:p>
    <w:p w14:paraId="794D8775" w14:textId="77777777" w:rsidR="004523DC" w:rsidRPr="00CA1238" w:rsidRDefault="004523DC" w:rsidP="004523DC">
      <w:pPr>
        <w:pStyle w:val="Caption"/>
        <w:spacing w:line="360" w:lineRule="auto"/>
        <w:jc w:val="center"/>
        <w:rPr>
          <w:i w:val="0"/>
          <w:color w:val="auto"/>
          <w:sz w:val="24"/>
          <w:szCs w:val="24"/>
          <w:lang w:val="es-ES"/>
        </w:rPr>
      </w:pPr>
      <m:oMath>
        <m:r>
          <w:rPr>
            <w:rFonts w:ascii="Cambria Math" w:hAnsi="Cambria Math"/>
            <w:color w:val="auto"/>
            <w:sz w:val="24"/>
            <w:szCs w:val="24"/>
            <w:lang w:val="es-ES"/>
          </w:rPr>
          <w:lastRenderedPageBreak/>
          <m:t>c</m:t>
        </m:r>
        <m:d>
          <m:dPr>
            <m:ctrlPr>
              <w:rPr>
                <w:rFonts w:ascii="Cambria Math" w:hAnsi="Cambria Math"/>
                <w:iCs w:val="0"/>
                <w:color w:val="auto"/>
                <w:sz w:val="24"/>
                <w:szCs w:val="24"/>
                <w:lang w:val="es-ES"/>
              </w:rPr>
            </m:ctrlPr>
          </m:dPr>
          <m:e>
            <m:sSub>
              <m:sSubPr>
                <m:ctrlPr>
                  <w:rPr>
                    <w:rFonts w:ascii="Cambria Math" w:hAnsi="Cambria Math"/>
                    <w:iCs w:val="0"/>
                    <w:color w:val="auto"/>
                    <w:sz w:val="24"/>
                    <w:szCs w:val="24"/>
                    <w:lang w:val="es-ES"/>
                  </w:rPr>
                </m:ctrlPr>
              </m:sSubPr>
              <m:e>
                <m:r>
                  <w:rPr>
                    <w:rFonts w:ascii="Cambria Math" w:hAnsi="Cambria Math"/>
                    <w:color w:val="auto"/>
                    <w:sz w:val="24"/>
                    <w:szCs w:val="24"/>
                    <w:lang w:val="es-ES"/>
                  </w:rPr>
                  <m:t>x</m:t>
                </m:r>
              </m:e>
              <m:sub>
                <m:r>
                  <w:rPr>
                    <w:rFonts w:ascii="Cambria Math" w:hAnsi="Cambria Math"/>
                    <w:color w:val="auto"/>
                    <w:sz w:val="24"/>
                    <w:szCs w:val="24"/>
                    <w:lang w:val="es-ES"/>
                  </w:rPr>
                  <m:t>1</m:t>
                </m:r>
              </m:sub>
            </m:sSub>
            <m:r>
              <w:rPr>
                <w:rFonts w:ascii="Cambria Math" w:hAnsi="Cambria Math"/>
                <w:color w:val="auto"/>
                <w:sz w:val="24"/>
                <w:szCs w:val="24"/>
                <w:lang w:val="es-ES"/>
              </w:rPr>
              <m:t>,</m:t>
            </m:r>
            <m:sSub>
              <m:sSubPr>
                <m:ctrlPr>
                  <w:rPr>
                    <w:rFonts w:ascii="Cambria Math" w:hAnsi="Cambria Math"/>
                    <w:iCs w:val="0"/>
                    <w:color w:val="auto"/>
                    <w:sz w:val="24"/>
                    <w:szCs w:val="24"/>
                    <w:lang w:val="es-ES"/>
                  </w:rPr>
                </m:ctrlPr>
              </m:sSubPr>
              <m:e>
                <m:r>
                  <w:rPr>
                    <w:rFonts w:ascii="Cambria Math" w:hAnsi="Cambria Math"/>
                    <w:color w:val="auto"/>
                    <w:sz w:val="24"/>
                    <w:szCs w:val="24"/>
                    <w:lang w:val="es-ES"/>
                  </w:rPr>
                  <m:t>x</m:t>
                </m:r>
              </m:e>
              <m:sub>
                <m:r>
                  <w:rPr>
                    <w:rFonts w:ascii="Cambria Math" w:hAnsi="Cambria Math"/>
                    <w:color w:val="auto"/>
                    <w:sz w:val="24"/>
                    <w:szCs w:val="24"/>
                    <w:lang w:val="es-ES"/>
                  </w:rPr>
                  <m:t>2</m:t>
                </m:r>
              </m:sub>
            </m:sSub>
            <m:r>
              <w:rPr>
                <w:rFonts w:ascii="Cambria Math" w:hAnsi="Cambria Math"/>
                <w:color w:val="auto"/>
                <w:sz w:val="24"/>
                <w:szCs w:val="24"/>
                <w:lang w:val="es-ES"/>
              </w:rPr>
              <m:t>,…,</m:t>
            </m:r>
            <m:sSub>
              <m:sSubPr>
                <m:ctrlPr>
                  <w:rPr>
                    <w:rFonts w:ascii="Cambria Math" w:hAnsi="Cambria Math"/>
                    <w:iCs w:val="0"/>
                    <w:color w:val="auto"/>
                    <w:sz w:val="24"/>
                    <w:szCs w:val="24"/>
                    <w:lang w:val="es-ES"/>
                  </w:rPr>
                </m:ctrlPr>
              </m:sSubPr>
              <m:e>
                <m:r>
                  <w:rPr>
                    <w:rFonts w:ascii="Cambria Math" w:hAnsi="Cambria Math"/>
                    <w:color w:val="auto"/>
                    <w:sz w:val="24"/>
                    <w:szCs w:val="24"/>
                    <w:lang w:val="es-ES"/>
                  </w:rPr>
                  <m:t>x</m:t>
                </m:r>
              </m:e>
              <m:sub>
                <m:r>
                  <w:rPr>
                    <w:rFonts w:ascii="Cambria Math" w:hAnsi="Cambria Math"/>
                    <w:color w:val="auto"/>
                    <w:sz w:val="24"/>
                    <w:szCs w:val="24"/>
                    <w:lang w:val="es-ES"/>
                  </w:rPr>
                  <m:t>n</m:t>
                </m:r>
              </m:sub>
            </m:sSub>
          </m:e>
        </m:d>
        <m:r>
          <w:rPr>
            <w:rFonts w:ascii="Cambria Math" w:hAnsi="Cambria Math"/>
            <w:color w:val="auto"/>
            <w:sz w:val="24"/>
            <w:szCs w:val="24"/>
            <w:lang w:val="es-ES"/>
          </w:rPr>
          <m:t>=</m:t>
        </m:r>
        <m:sSup>
          <m:sSupPr>
            <m:ctrlPr>
              <w:rPr>
                <w:rFonts w:ascii="Cambria Math" w:hAnsi="Cambria Math"/>
                <w:iCs w:val="0"/>
                <w:color w:val="auto"/>
                <w:sz w:val="24"/>
                <w:szCs w:val="24"/>
                <w:lang w:val="es-ES"/>
              </w:rPr>
            </m:ctrlPr>
          </m:sSupPr>
          <m:e>
            <m:d>
              <m:dPr>
                <m:ctrlPr>
                  <w:rPr>
                    <w:rFonts w:ascii="Cambria Math" w:hAnsi="Cambria Math"/>
                    <w:iCs w:val="0"/>
                    <w:color w:val="auto"/>
                    <w:sz w:val="24"/>
                    <w:szCs w:val="24"/>
                    <w:lang w:val="es-ES"/>
                  </w:rPr>
                </m:ctrlPr>
              </m:dPr>
              <m:e>
                <m:sSub>
                  <m:sSubPr>
                    <m:ctrlPr>
                      <w:rPr>
                        <w:rFonts w:ascii="Cambria Math" w:hAnsi="Cambria Math"/>
                        <w:iCs w:val="0"/>
                        <w:color w:val="auto"/>
                        <w:sz w:val="24"/>
                        <w:szCs w:val="24"/>
                        <w:lang w:val="es-ES"/>
                      </w:rPr>
                    </m:ctrlPr>
                  </m:sSubPr>
                  <m:e>
                    <m:r>
                      <w:rPr>
                        <w:rFonts w:ascii="Cambria Math" w:hAnsi="Cambria Math"/>
                        <w:color w:val="auto"/>
                        <w:sz w:val="24"/>
                        <w:szCs w:val="24"/>
                        <w:lang w:val="es-ES"/>
                      </w:rPr>
                      <m:t>x</m:t>
                    </m:r>
                  </m:e>
                  <m:sub>
                    <m:r>
                      <w:rPr>
                        <w:rFonts w:ascii="Cambria Math" w:hAnsi="Cambria Math"/>
                        <w:color w:val="auto"/>
                        <w:sz w:val="24"/>
                        <w:szCs w:val="24"/>
                        <w:lang w:val="es-ES"/>
                      </w:rPr>
                      <m:t>1</m:t>
                    </m:r>
                  </m:sub>
                </m:sSub>
                <m:r>
                  <w:rPr>
                    <w:rFonts w:ascii="Cambria Math" w:hAnsi="Cambria Math"/>
                    <w:color w:val="auto"/>
                    <w:sz w:val="24"/>
                    <w:szCs w:val="24"/>
                    <w:lang w:val="es-ES"/>
                  </w:rPr>
                  <m:t>,</m:t>
                </m:r>
                <m:sSub>
                  <m:sSubPr>
                    <m:ctrlPr>
                      <w:rPr>
                        <w:rFonts w:ascii="Cambria Math" w:hAnsi="Cambria Math"/>
                        <w:iCs w:val="0"/>
                        <w:color w:val="auto"/>
                        <w:sz w:val="24"/>
                        <w:szCs w:val="24"/>
                        <w:lang w:val="es-ES"/>
                      </w:rPr>
                    </m:ctrlPr>
                  </m:sSubPr>
                  <m:e>
                    <m:r>
                      <w:rPr>
                        <w:rFonts w:ascii="Cambria Math" w:hAnsi="Cambria Math"/>
                        <w:color w:val="auto"/>
                        <w:sz w:val="24"/>
                        <w:szCs w:val="24"/>
                        <w:lang w:val="es-ES"/>
                      </w:rPr>
                      <m:t>x</m:t>
                    </m:r>
                  </m:e>
                  <m:sub>
                    <m:r>
                      <w:rPr>
                        <w:rFonts w:ascii="Cambria Math" w:hAnsi="Cambria Math"/>
                        <w:color w:val="auto"/>
                        <w:sz w:val="24"/>
                        <w:szCs w:val="24"/>
                        <w:lang w:val="es-ES"/>
                      </w:rPr>
                      <m:t>2</m:t>
                    </m:r>
                  </m:sub>
                </m:sSub>
                <m:r>
                  <w:rPr>
                    <w:rFonts w:ascii="Cambria Math" w:hAnsi="Cambria Math"/>
                    <w:color w:val="auto"/>
                    <w:sz w:val="24"/>
                    <w:szCs w:val="24"/>
                    <w:lang w:val="es-ES"/>
                  </w:rPr>
                  <m:t>,…,</m:t>
                </m:r>
                <m:sSub>
                  <m:sSubPr>
                    <m:ctrlPr>
                      <w:rPr>
                        <w:rFonts w:ascii="Cambria Math" w:hAnsi="Cambria Math"/>
                        <w:iCs w:val="0"/>
                        <w:color w:val="auto"/>
                        <w:sz w:val="24"/>
                        <w:szCs w:val="24"/>
                        <w:lang w:val="es-ES"/>
                      </w:rPr>
                    </m:ctrlPr>
                  </m:sSubPr>
                  <m:e>
                    <m:r>
                      <w:rPr>
                        <w:rFonts w:ascii="Cambria Math" w:hAnsi="Cambria Math"/>
                        <w:color w:val="auto"/>
                        <w:sz w:val="24"/>
                        <w:szCs w:val="24"/>
                        <w:lang w:val="es-ES"/>
                      </w:rPr>
                      <m:t>x</m:t>
                    </m:r>
                  </m:e>
                  <m:sub>
                    <m:r>
                      <w:rPr>
                        <w:rFonts w:ascii="Cambria Math" w:hAnsi="Cambria Math"/>
                        <w:color w:val="auto"/>
                        <w:sz w:val="24"/>
                        <w:szCs w:val="24"/>
                        <w:lang w:val="es-ES"/>
                      </w:rPr>
                      <m:t>n</m:t>
                    </m:r>
                  </m:sub>
                </m:sSub>
              </m:e>
            </m:d>
          </m:e>
          <m:sup>
            <m:f>
              <m:fPr>
                <m:type m:val="skw"/>
                <m:ctrlPr>
                  <w:rPr>
                    <w:rFonts w:ascii="Cambria Math" w:hAnsi="Cambria Math"/>
                    <w:iCs w:val="0"/>
                    <w:color w:val="auto"/>
                    <w:sz w:val="24"/>
                    <w:szCs w:val="24"/>
                    <w:lang w:val="es-ES"/>
                  </w:rPr>
                </m:ctrlPr>
              </m:fPr>
              <m:num>
                <m:r>
                  <w:rPr>
                    <w:rFonts w:ascii="Cambria Math" w:hAnsi="Cambria Math"/>
                    <w:color w:val="auto"/>
                    <w:sz w:val="24"/>
                    <w:szCs w:val="24"/>
                    <w:lang w:val="es-ES"/>
                  </w:rPr>
                  <m:t>1</m:t>
                </m:r>
              </m:num>
              <m:den>
                <m:r>
                  <w:rPr>
                    <w:rFonts w:ascii="Cambria Math" w:hAnsi="Cambria Math"/>
                    <w:color w:val="auto"/>
                    <w:sz w:val="24"/>
                    <w:szCs w:val="24"/>
                    <w:lang w:val="es-ES"/>
                  </w:rPr>
                  <m:t>n</m:t>
                </m:r>
              </m:den>
            </m:f>
          </m:sup>
        </m:sSup>
      </m:oMath>
      <w:r w:rsidRPr="00CA1238">
        <w:rPr>
          <w:color w:val="auto"/>
          <w:sz w:val="24"/>
          <w:szCs w:val="24"/>
          <w:lang w:val="es-ES"/>
        </w:rPr>
        <w:tab/>
      </w:r>
      <w:r w:rsidRPr="00CA1238">
        <w:rPr>
          <w:color w:val="auto"/>
          <w:sz w:val="24"/>
          <w:szCs w:val="24"/>
          <w:lang w:val="es-ES"/>
        </w:rPr>
        <w:tab/>
      </w:r>
      <w:r w:rsidRPr="00CA1238">
        <w:rPr>
          <w:i w:val="0"/>
          <w:color w:val="auto"/>
          <w:sz w:val="24"/>
          <w:szCs w:val="24"/>
          <w:lang w:val="es-ES"/>
        </w:rPr>
        <w:t>(</w:t>
      </w:r>
      <w:r w:rsidRPr="00CA1238">
        <w:rPr>
          <w:i w:val="0"/>
          <w:color w:val="auto"/>
          <w:sz w:val="24"/>
          <w:szCs w:val="24"/>
        </w:rPr>
        <w:t xml:space="preserve">Ecuación </w:t>
      </w:r>
      <w:r w:rsidRPr="00CA1238">
        <w:rPr>
          <w:i w:val="0"/>
          <w:color w:val="auto"/>
          <w:sz w:val="24"/>
          <w:szCs w:val="24"/>
        </w:rPr>
        <w:fldChar w:fldCharType="begin"/>
      </w:r>
      <w:r w:rsidRPr="00CA1238">
        <w:rPr>
          <w:i w:val="0"/>
          <w:color w:val="auto"/>
          <w:sz w:val="24"/>
          <w:szCs w:val="24"/>
        </w:rPr>
        <w:instrText xml:space="preserve"> SEQ Ecuación \* ARABIC </w:instrText>
      </w:r>
      <w:r w:rsidRPr="00CA1238">
        <w:rPr>
          <w:i w:val="0"/>
          <w:color w:val="auto"/>
          <w:sz w:val="24"/>
          <w:szCs w:val="24"/>
        </w:rPr>
        <w:fldChar w:fldCharType="separate"/>
      </w:r>
      <w:r w:rsidRPr="00CA1238">
        <w:rPr>
          <w:i w:val="0"/>
          <w:noProof/>
          <w:color w:val="auto"/>
          <w:sz w:val="24"/>
          <w:szCs w:val="24"/>
        </w:rPr>
        <w:t>1</w:t>
      </w:r>
      <w:r w:rsidRPr="00CA1238">
        <w:rPr>
          <w:i w:val="0"/>
          <w:color w:val="auto"/>
          <w:sz w:val="24"/>
          <w:szCs w:val="24"/>
        </w:rPr>
        <w:fldChar w:fldCharType="end"/>
      </w:r>
      <w:r w:rsidRPr="00CA1238">
        <w:rPr>
          <w:i w:val="0"/>
          <w:color w:val="auto"/>
          <w:sz w:val="24"/>
          <w:szCs w:val="24"/>
        </w:rPr>
        <w:t>)</w:t>
      </w:r>
    </w:p>
    <w:p w14:paraId="2E528279" w14:textId="4C7097CB" w:rsidR="004523DC" w:rsidRPr="00CA1238" w:rsidRDefault="009C23E2" w:rsidP="004523DC">
      <w:pPr>
        <w:spacing w:before="120" w:after="120" w:line="360" w:lineRule="auto"/>
        <w:jc w:val="both"/>
        <w:rPr>
          <w:rFonts w:ascii="Times New Roman" w:hAnsi="Times New Roman" w:cs="Times New Roman"/>
          <w:sz w:val="24"/>
          <w:szCs w:val="24"/>
        </w:rPr>
      </w:pPr>
      <w:sdt>
        <w:sdtPr>
          <w:rPr>
            <w:rFonts w:ascii="Times New Roman" w:hAnsi="Times New Roman" w:cs="Times New Roman"/>
            <w:sz w:val="24"/>
            <w:szCs w:val="24"/>
          </w:rPr>
          <w:id w:val="-949094048"/>
          <w:citation/>
        </w:sdtPr>
        <w:sdtEndPr/>
        <w:sdtContent>
          <w:r w:rsidR="00F17EDD">
            <w:rPr>
              <w:rFonts w:ascii="Times New Roman" w:hAnsi="Times New Roman" w:cs="Times New Roman"/>
              <w:sz w:val="24"/>
              <w:szCs w:val="24"/>
            </w:rPr>
            <w:fldChar w:fldCharType="begin"/>
          </w:r>
          <w:r w:rsidR="00F17EDD">
            <w:rPr>
              <w:rFonts w:ascii="Times New Roman" w:hAnsi="Times New Roman" w:cs="Times New Roman"/>
              <w:sz w:val="24"/>
              <w:szCs w:val="24"/>
            </w:rPr>
            <w:instrText xml:space="preserve"> CITATION Mas13 \l 3082 </w:instrText>
          </w:r>
          <w:r w:rsidR="00F17EDD">
            <w:rPr>
              <w:rFonts w:ascii="Times New Roman" w:hAnsi="Times New Roman" w:cs="Times New Roman"/>
              <w:sz w:val="24"/>
              <w:szCs w:val="24"/>
            </w:rPr>
            <w:fldChar w:fldCharType="separate"/>
          </w:r>
          <w:r w:rsidR="00C02F6C" w:rsidRPr="00C02F6C">
            <w:rPr>
              <w:rFonts w:ascii="Times New Roman" w:hAnsi="Times New Roman" w:cs="Times New Roman"/>
              <w:noProof/>
              <w:sz w:val="24"/>
              <w:szCs w:val="24"/>
            </w:rPr>
            <w:t>(Massone, y otros, 2013)</w:t>
          </w:r>
          <w:r w:rsidR="00F17EDD">
            <w:rPr>
              <w:rFonts w:ascii="Times New Roman" w:hAnsi="Times New Roman" w:cs="Times New Roman"/>
              <w:sz w:val="24"/>
              <w:szCs w:val="24"/>
            </w:rPr>
            <w:fldChar w:fldCharType="end"/>
          </w:r>
        </w:sdtContent>
      </w:sdt>
      <w:r w:rsidR="004523DC" w:rsidRPr="00CA1238">
        <w:rPr>
          <w:rFonts w:ascii="Times New Roman" w:hAnsi="Times New Roman" w:cs="Times New Roman"/>
          <w:sz w:val="24"/>
          <w:szCs w:val="24"/>
        </w:rPr>
        <w:t xml:space="preserve"> propone un </w:t>
      </w:r>
      <w:r w:rsidR="004523DC" w:rsidRPr="00CA1238">
        <w:rPr>
          <w:rFonts w:ascii="Times New Roman" w:hAnsi="Times New Roman" w:cs="Times New Roman"/>
          <w:sz w:val="24"/>
          <w:szCs w:val="24"/>
          <w:lang w:val="es-MX"/>
        </w:rPr>
        <w:t>árbol de predicados difusos representados en el siguiente esquema:</w:t>
      </w:r>
    </w:p>
    <w:p w14:paraId="2E64363F" w14:textId="77777777" w:rsidR="004523DC" w:rsidRPr="00CA1238" w:rsidRDefault="004523DC" w:rsidP="004523DC">
      <w:pPr>
        <w:spacing w:line="360" w:lineRule="auto"/>
        <w:jc w:val="both"/>
        <w:rPr>
          <w:rFonts w:ascii="Times New Roman" w:hAnsi="Times New Roman" w:cs="Times New Roman"/>
          <w:sz w:val="24"/>
          <w:szCs w:val="24"/>
        </w:rPr>
      </w:pPr>
      <w:r w:rsidRPr="00CA1238">
        <w:rPr>
          <w:rFonts w:ascii="Times New Roman" w:hAnsi="Times New Roman" w:cs="Times New Roman"/>
          <w:noProof/>
          <w:sz w:val="24"/>
          <w:szCs w:val="24"/>
          <w:lang w:eastAsia="es-ES"/>
        </w:rPr>
        <w:drawing>
          <wp:inline distT="0" distB="0" distL="0" distR="0" wp14:anchorId="79B6BDA6" wp14:editId="72968ADA">
            <wp:extent cx="5400040" cy="2682912"/>
            <wp:effectExtent l="0" t="0" r="0" b="3175"/>
            <wp:docPr id="5"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9"/>
                    <a:stretch>
                      <a:fillRect/>
                    </a:stretch>
                  </pic:blipFill>
                  <pic:spPr>
                    <a:xfrm>
                      <a:off x="0" y="0"/>
                      <a:ext cx="5400040" cy="2682912"/>
                    </a:xfrm>
                    <a:prstGeom prst="rect">
                      <a:avLst/>
                    </a:prstGeom>
                  </pic:spPr>
                </pic:pic>
              </a:graphicData>
            </a:graphic>
          </wp:inline>
        </w:drawing>
      </w:r>
    </w:p>
    <w:p w14:paraId="5581E401" w14:textId="5DEA74A9" w:rsidR="004523DC" w:rsidRPr="00D36500" w:rsidRDefault="004523DC" w:rsidP="004523DC">
      <w:pPr>
        <w:spacing w:line="360" w:lineRule="auto"/>
        <w:jc w:val="center"/>
        <w:rPr>
          <w:rFonts w:ascii="Times New Roman" w:hAnsi="Times New Roman" w:cs="Times New Roman"/>
          <w:sz w:val="20"/>
          <w:szCs w:val="20"/>
        </w:rPr>
      </w:pPr>
      <w:r w:rsidRPr="00D36500">
        <w:rPr>
          <w:rFonts w:ascii="Times New Roman" w:hAnsi="Times New Roman" w:cs="Times New Roman"/>
          <w:sz w:val="20"/>
          <w:szCs w:val="20"/>
          <w:lang w:val="es-MX"/>
        </w:rPr>
        <w:t xml:space="preserve">Figura </w:t>
      </w:r>
      <w:r w:rsidRPr="00D36500">
        <w:rPr>
          <w:rFonts w:ascii="Times New Roman" w:hAnsi="Times New Roman" w:cs="Times New Roman"/>
          <w:i/>
          <w:iCs/>
          <w:sz w:val="20"/>
          <w:szCs w:val="20"/>
          <w:lang w:val="en-US"/>
        </w:rPr>
        <w:fldChar w:fldCharType="begin"/>
      </w:r>
      <w:r w:rsidRPr="00D36500">
        <w:rPr>
          <w:rFonts w:ascii="Times New Roman" w:hAnsi="Times New Roman" w:cs="Times New Roman"/>
          <w:sz w:val="20"/>
          <w:szCs w:val="20"/>
          <w:lang w:val="es-MX"/>
        </w:rPr>
        <w:instrText xml:space="preserve"> SEQ Figura \* ARABIC </w:instrText>
      </w:r>
      <w:r w:rsidRPr="00D36500">
        <w:rPr>
          <w:rFonts w:ascii="Times New Roman" w:hAnsi="Times New Roman" w:cs="Times New Roman"/>
          <w:i/>
          <w:iCs/>
          <w:sz w:val="20"/>
          <w:szCs w:val="20"/>
          <w:lang w:val="en-US"/>
        </w:rPr>
        <w:fldChar w:fldCharType="separate"/>
      </w:r>
      <w:r w:rsidRPr="00D36500">
        <w:rPr>
          <w:rFonts w:ascii="Times New Roman" w:hAnsi="Times New Roman" w:cs="Times New Roman"/>
          <w:noProof/>
          <w:sz w:val="20"/>
          <w:szCs w:val="20"/>
          <w:lang w:val="es-MX"/>
        </w:rPr>
        <w:t>1</w:t>
      </w:r>
      <w:r w:rsidRPr="00D36500">
        <w:rPr>
          <w:rFonts w:ascii="Times New Roman" w:hAnsi="Times New Roman" w:cs="Times New Roman"/>
          <w:i/>
          <w:iCs/>
          <w:sz w:val="20"/>
          <w:szCs w:val="20"/>
          <w:lang w:val="en-US"/>
        </w:rPr>
        <w:fldChar w:fldCharType="end"/>
      </w:r>
      <w:r w:rsidRPr="00D36500">
        <w:rPr>
          <w:rFonts w:ascii="Times New Roman" w:hAnsi="Times New Roman" w:cs="Times New Roman"/>
          <w:sz w:val="20"/>
          <w:szCs w:val="20"/>
          <w:lang w:val="es-MX"/>
        </w:rPr>
        <w:t>.</w:t>
      </w:r>
      <w:r w:rsidRPr="00D36500">
        <w:rPr>
          <w:rFonts w:ascii="Times New Roman" w:hAnsi="Times New Roman" w:cs="Times New Roman"/>
          <w:sz w:val="20"/>
          <w:szCs w:val="20"/>
        </w:rPr>
        <w:t xml:space="preserve"> </w:t>
      </w:r>
      <w:r w:rsidRPr="00D36500">
        <w:rPr>
          <w:rFonts w:ascii="Times New Roman" w:hAnsi="Times New Roman" w:cs="Times New Roman"/>
          <w:sz w:val="20"/>
          <w:szCs w:val="20"/>
          <w:lang w:val="es-MX"/>
        </w:rPr>
        <w:t xml:space="preserve">Representación del árbol de predicados difusos propuestos por </w:t>
      </w:r>
      <w:r w:rsidRPr="00D36500">
        <w:rPr>
          <w:rFonts w:ascii="Times New Roman" w:hAnsi="Times New Roman" w:cs="Times New Roman"/>
          <w:sz w:val="20"/>
          <w:szCs w:val="20"/>
          <w:lang w:val="es-MX"/>
        </w:rPr>
        <w:br/>
      </w:r>
      <w:r w:rsidR="00557C72">
        <w:rPr>
          <w:rFonts w:ascii="Times New Roman" w:hAnsi="Times New Roman" w:cs="Times New Roman"/>
          <w:sz w:val="20"/>
          <w:szCs w:val="20"/>
          <w:lang w:val="es-MX"/>
        </w:rPr>
        <w:t xml:space="preserve">Fuente: </w:t>
      </w:r>
      <w:sdt>
        <w:sdtPr>
          <w:rPr>
            <w:rFonts w:ascii="Times New Roman" w:hAnsi="Times New Roman" w:cs="Times New Roman"/>
            <w:sz w:val="20"/>
            <w:szCs w:val="20"/>
            <w:lang w:val="es-MX"/>
          </w:rPr>
          <w:id w:val="2114696643"/>
          <w:citation/>
        </w:sdtPr>
        <w:sdtEndPr/>
        <w:sdtContent>
          <w:r w:rsidR="00557C72">
            <w:rPr>
              <w:rFonts w:ascii="Times New Roman" w:hAnsi="Times New Roman" w:cs="Times New Roman"/>
              <w:sz w:val="20"/>
              <w:szCs w:val="20"/>
              <w:lang w:val="es-MX"/>
            </w:rPr>
            <w:fldChar w:fldCharType="begin"/>
          </w:r>
          <w:r w:rsidR="00557C72">
            <w:rPr>
              <w:rFonts w:ascii="Times New Roman" w:hAnsi="Times New Roman" w:cs="Times New Roman"/>
              <w:sz w:val="20"/>
              <w:szCs w:val="20"/>
            </w:rPr>
            <w:instrText xml:space="preserve"> CITATION Mas13 \l 3082 </w:instrText>
          </w:r>
          <w:r w:rsidR="00557C72">
            <w:rPr>
              <w:rFonts w:ascii="Times New Roman" w:hAnsi="Times New Roman" w:cs="Times New Roman"/>
              <w:sz w:val="20"/>
              <w:szCs w:val="20"/>
              <w:lang w:val="es-MX"/>
            </w:rPr>
            <w:fldChar w:fldCharType="separate"/>
          </w:r>
          <w:r w:rsidR="00C02F6C" w:rsidRPr="00C02F6C">
            <w:rPr>
              <w:rFonts w:ascii="Times New Roman" w:hAnsi="Times New Roman" w:cs="Times New Roman"/>
              <w:noProof/>
              <w:sz w:val="20"/>
              <w:szCs w:val="20"/>
            </w:rPr>
            <w:t>(Massone, y otros, 2013)</w:t>
          </w:r>
          <w:r w:rsidR="00557C72">
            <w:rPr>
              <w:rFonts w:ascii="Times New Roman" w:hAnsi="Times New Roman" w:cs="Times New Roman"/>
              <w:sz w:val="20"/>
              <w:szCs w:val="20"/>
              <w:lang w:val="es-MX"/>
            </w:rPr>
            <w:fldChar w:fldCharType="end"/>
          </w:r>
        </w:sdtContent>
      </w:sdt>
      <w:r w:rsidR="00557C72">
        <w:rPr>
          <w:rFonts w:ascii="Times New Roman" w:hAnsi="Times New Roman" w:cs="Times New Roman"/>
          <w:sz w:val="20"/>
          <w:szCs w:val="20"/>
          <w:lang w:val="es-MX"/>
        </w:rPr>
        <w:t>.</w:t>
      </w:r>
    </w:p>
    <w:p w14:paraId="7314E163" w14:textId="77777777"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rPr>
        <w:t xml:space="preserve">Lo aplica a un caso de estudio, que es la </w:t>
      </w:r>
      <w:r w:rsidRPr="00CA1238">
        <w:rPr>
          <w:rFonts w:ascii="Times New Roman" w:hAnsi="Times New Roman" w:cs="Times New Roman"/>
          <w:sz w:val="24"/>
          <w:szCs w:val="24"/>
          <w:lang w:val="es-MX"/>
        </w:rPr>
        <w:t xml:space="preserve">cuenca arroyo </w:t>
      </w:r>
      <w:r>
        <w:rPr>
          <w:rFonts w:ascii="Times New Roman" w:hAnsi="Times New Roman" w:cs="Times New Roman"/>
          <w:sz w:val="24"/>
          <w:szCs w:val="24"/>
          <w:lang w:val="es-MX"/>
        </w:rPr>
        <w:t>E</w:t>
      </w:r>
      <w:r w:rsidRPr="00CA1238">
        <w:rPr>
          <w:rFonts w:ascii="Times New Roman" w:hAnsi="Times New Roman" w:cs="Times New Roman"/>
          <w:sz w:val="24"/>
          <w:szCs w:val="24"/>
          <w:lang w:val="es-MX"/>
        </w:rPr>
        <w:t xml:space="preserve">l Dulce. Al comparar la aplicación de este método con la de DRASTIC, ambos con mapas de vulnerabilidad, los </w:t>
      </w:r>
      <w:r w:rsidRPr="00CA1238">
        <w:rPr>
          <w:rFonts w:ascii="Times New Roman" w:hAnsi="Times New Roman" w:cs="Times New Roman"/>
          <w:sz w:val="24"/>
          <w:szCs w:val="24"/>
        </w:rPr>
        <w:t>resultados</w:t>
      </w:r>
      <w:r w:rsidRPr="00CA1238">
        <w:rPr>
          <w:rFonts w:ascii="Times New Roman" w:hAnsi="Times New Roman" w:cs="Times New Roman"/>
          <w:sz w:val="24"/>
          <w:szCs w:val="24"/>
          <w:lang w:val="es-MX"/>
        </w:rPr>
        <w:t xml:space="preserve"> mostraron que la concordancia es buena. El uso del método propuesto resultó eficaz con menor cantidad de variables.</w:t>
      </w:r>
    </w:p>
    <w:p w14:paraId="031789CE" w14:textId="77777777" w:rsidR="004523DC" w:rsidRPr="00CA1238" w:rsidRDefault="004523DC" w:rsidP="004523DC">
      <w:pPr>
        <w:spacing w:line="360" w:lineRule="auto"/>
        <w:jc w:val="both"/>
        <w:rPr>
          <w:rFonts w:ascii="Times New Roman" w:hAnsi="Times New Roman" w:cs="Times New Roman"/>
          <w:sz w:val="24"/>
          <w:szCs w:val="24"/>
        </w:rPr>
      </w:pPr>
    </w:p>
    <w:p w14:paraId="390E5A9C" w14:textId="77777777" w:rsidR="004523DC" w:rsidRPr="00CA1238" w:rsidRDefault="004523DC" w:rsidP="004523DC">
      <w:pPr>
        <w:spacing w:before="120" w:after="120" w:line="360" w:lineRule="auto"/>
        <w:jc w:val="both"/>
        <w:rPr>
          <w:rFonts w:ascii="Times New Roman" w:eastAsiaTheme="minorEastAsia" w:hAnsi="Times New Roman" w:cs="Times New Roman"/>
          <w:color w:val="000000" w:themeColor="text1"/>
          <w:kern w:val="24"/>
          <w:sz w:val="24"/>
          <w:szCs w:val="24"/>
          <w:lang w:val="es-MX" w:eastAsia="es-ES"/>
        </w:rPr>
      </w:pPr>
      <w:r w:rsidRPr="00CA1238">
        <w:rPr>
          <w:rFonts w:ascii="Times New Roman" w:eastAsiaTheme="minorEastAsia" w:hAnsi="Times New Roman" w:cs="Times New Roman"/>
          <w:color w:val="000000" w:themeColor="text1"/>
          <w:kern w:val="24"/>
          <w:sz w:val="24"/>
          <w:szCs w:val="24"/>
          <w:lang w:val="es-MX" w:eastAsia="es-ES"/>
        </w:rPr>
        <w:t xml:space="preserve">Se realizó una revisión bibliográfica sobre la creación de índices para la medición de la vulnerabilidad del agua subterránea a la contaminación. No se observó una consideración del </w:t>
      </w:r>
      <w:r w:rsidRPr="00CA1238">
        <w:rPr>
          <w:rFonts w:ascii="Times New Roman" w:hAnsi="Times New Roman" w:cs="Times New Roman"/>
          <w:sz w:val="24"/>
          <w:szCs w:val="24"/>
          <w:lang w:val="es-MX"/>
        </w:rPr>
        <w:t>impacto</w:t>
      </w:r>
      <w:r w:rsidRPr="00CA1238">
        <w:rPr>
          <w:rFonts w:ascii="Times New Roman" w:eastAsiaTheme="minorEastAsia" w:hAnsi="Times New Roman" w:cs="Times New Roman"/>
          <w:color w:val="000000" w:themeColor="text1"/>
          <w:kern w:val="24"/>
          <w:sz w:val="24"/>
          <w:szCs w:val="24"/>
          <w:lang w:val="es-MX" w:eastAsia="es-ES"/>
        </w:rPr>
        <w:t xml:space="preserve"> de la vulnerabilidad específica sobre la vulnerabilidad implícita o viceversa y se decidió buscar la fundamentación matemática que nos permitiera lograr este propósito.</w:t>
      </w:r>
    </w:p>
    <w:p w14:paraId="76B6E40B" w14:textId="1422AF5D" w:rsidR="004523DC" w:rsidRPr="00CA1238" w:rsidRDefault="004523DC" w:rsidP="004523DC">
      <w:pPr>
        <w:spacing w:before="120" w:after="120" w:line="360" w:lineRule="auto"/>
        <w:jc w:val="both"/>
        <w:rPr>
          <w:rFonts w:ascii="Times New Roman" w:eastAsiaTheme="minorEastAsia" w:hAnsi="Times New Roman" w:cs="Times New Roman"/>
          <w:color w:val="000000" w:themeColor="text1"/>
          <w:kern w:val="24"/>
          <w:sz w:val="24"/>
          <w:szCs w:val="24"/>
          <w:lang w:val="es-MX" w:eastAsia="es-ES"/>
        </w:rPr>
      </w:pPr>
      <w:r w:rsidRPr="00CA1238">
        <w:rPr>
          <w:rFonts w:ascii="Times New Roman" w:eastAsiaTheme="minorEastAsia" w:hAnsi="Times New Roman" w:cs="Times New Roman"/>
          <w:color w:val="000000" w:themeColor="text1"/>
          <w:kern w:val="24"/>
          <w:sz w:val="24"/>
          <w:szCs w:val="24"/>
          <w:lang w:val="es-MX" w:eastAsia="es-ES"/>
        </w:rPr>
        <w:t>La herramienta seleccionada fue la implicación para al cálculo del impacto de la vulnerabilidad i</w:t>
      </w:r>
      <w:r>
        <w:rPr>
          <w:rFonts w:ascii="Times New Roman" w:eastAsiaTheme="minorEastAsia" w:hAnsi="Times New Roman" w:cs="Times New Roman"/>
          <w:color w:val="000000" w:themeColor="text1"/>
          <w:kern w:val="24"/>
          <w:sz w:val="24"/>
          <w:szCs w:val="24"/>
          <w:lang w:val="es-MX" w:eastAsia="es-ES"/>
        </w:rPr>
        <w:t xml:space="preserve">ntrínseca </w:t>
      </w:r>
      <w:r w:rsidRPr="00CA1238">
        <w:rPr>
          <w:rFonts w:ascii="Times New Roman" w:eastAsiaTheme="minorEastAsia" w:hAnsi="Times New Roman" w:cs="Times New Roman"/>
          <w:color w:val="000000" w:themeColor="text1"/>
          <w:kern w:val="24"/>
          <w:sz w:val="24"/>
          <w:szCs w:val="24"/>
          <w:lang w:val="es-MX" w:eastAsia="es-ES"/>
        </w:rPr>
        <w:t>en la específica.</w:t>
      </w:r>
    </w:p>
    <w:p w14:paraId="615774E0" w14:textId="77777777"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eastAsiaTheme="minorEastAsia" w:hAnsi="Times New Roman" w:cs="Times New Roman"/>
          <w:color w:val="000000" w:themeColor="text1"/>
          <w:kern w:val="24"/>
          <w:sz w:val="24"/>
          <w:szCs w:val="24"/>
          <w:lang w:val="es-MX" w:eastAsia="es-ES"/>
        </w:rPr>
        <w:t xml:space="preserve">En primer lugar, fue planteado </w:t>
      </w:r>
      <w:r w:rsidRPr="00CA1238">
        <w:rPr>
          <w:rFonts w:ascii="Times New Roman" w:hAnsi="Times New Roman" w:cs="Times New Roman"/>
          <w:sz w:val="24"/>
          <w:szCs w:val="24"/>
        </w:rPr>
        <w:t xml:space="preserve">cómo influye la vulnerabilidad intrínseca en la </w:t>
      </w:r>
      <w:r w:rsidRPr="00CA1238">
        <w:rPr>
          <w:rFonts w:ascii="Times New Roman" w:eastAsiaTheme="minorEastAsia" w:hAnsi="Times New Roman" w:cs="Times New Roman"/>
          <w:color w:val="000000" w:themeColor="text1"/>
          <w:kern w:val="24"/>
          <w:sz w:val="24"/>
          <w:szCs w:val="24"/>
          <w:lang w:val="es-MX" w:eastAsia="es-ES"/>
        </w:rPr>
        <w:t>vulnerabilidad</w:t>
      </w:r>
      <w:r w:rsidRPr="00CA1238">
        <w:rPr>
          <w:rFonts w:ascii="Times New Roman" w:hAnsi="Times New Roman" w:cs="Times New Roman"/>
          <w:sz w:val="24"/>
          <w:szCs w:val="24"/>
        </w:rPr>
        <w:t xml:space="preserve"> específica. El contexto teórico es el siguiente: </w:t>
      </w:r>
    </w:p>
    <w:p w14:paraId="732BB161" w14:textId="77777777"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eastAsiaTheme="minorEastAsia" w:hAnsi="Times New Roman" w:cs="Times New Roman"/>
          <w:color w:val="000000" w:themeColor="text1"/>
          <w:kern w:val="24"/>
          <w:sz w:val="24"/>
          <w:szCs w:val="24"/>
          <w:lang w:val="es-MX" w:eastAsia="es-ES"/>
        </w:rPr>
        <w:lastRenderedPageBreak/>
        <w:t>Sean</w:t>
      </w:r>
      <w:r w:rsidRPr="00CA1238">
        <w:rPr>
          <w:rFonts w:ascii="Times New Roman" w:hAnsi="Times New Roman" w:cs="Times New Roman"/>
          <w:sz w:val="24"/>
          <w:szCs w:val="24"/>
        </w:rPr>
        <w:t>:</w:t>
      </w:r>
    </w:p>
    <w:p w14:paraId="6E40C7AD" w14:textId="77777777" w:rsidR="004523DC" w:rsidRPr="00CA1238" w:rsidRDefault="004523DC" w:rsidP="004523DC">
      <w:pPr>
        <w:spacing w:line="360" w:lineRule="auto"/>
        <w:ind w:left="708"/>
        <w:jc w:val="both"/>
        <w:rPr>
          <w:rFonts w:ascii="Times New Roman" w:hAnsi="Times New Roman" w:cs="Times New Roman"/>
          <w:sz w:val="24"/>
          <w:szCs w:val="24"/>
        </w:rPr>
      </w:pPr>
      <w:r w:rsidRPr="00CA1238">
        <w:rPr>
          <w:rFonts w:ascii="Times New Roman" w:hAnsi="Times New Roman" w:cs="Times New Roman"/>
          <w:sz w:val="24"/>
          <w:szCs w:val="24"/>
        </w:rPr>
        <w:t>A: conjunto difuso de las vulnerabilidades intrínsecas</w:t>
      </w:r>
    </w:p>
    <w:p w14:paraId="4639385A" w14:textId="77777777" w:rsidR="004523DC" w:rsidRPr="00CA1238" w:rsidRDefault="004523DC" w:rsidP="004523DC">
      <w:pPr>
        <w:spacing w:line="360" w:lineRule="auto"/>
        <w:ind w:left="708"/>
        <w:jc w:val="both"/>
        <w:rPr>
          <w:rFonts w:ascii="Times New Roman" w:hAnsi="Times New Roman" w:cs="Times New Roman"/>
          <w:sz w:val="24"/>
          <w:szCs w:val="24"/>
        </w:rPr>
      </w:pPr>
      <w:r w:rsidRPr="00CA1238">
        <w:rPr>
          <w:rFonts w:ascii="Times New Roman" w:hAnsi="Times New Roman" w:cs="Times New Roman"/>
          <w:sz w:val="24"/>
          <w:szCs w:val="24"/>
        </w:rPr>
        <w:t>B: conjunto difuso de las vulnerabilidades específicas</w:t>
      </w:r>
    </w:p>
    <w:p w14:paraId="1C339BF4" w14:textId="6843A641" w:rsidR="004523DC" w:rsidRPr="00CA1238" w:rsidRDefault="004523DC" w:rsidP="004523DC">
      <w:pPr>
        <w:spacing w:before="120" w:after="120" w:line="360" w:lineRule="auto"/>
        <w:jc w:val="both"/>
        <w:rPr>
          <w:rFonts w:ascii="Times New Roman" w:eastAsia="MS Mincho" w:hAnsi="Times New Roman" w:cs="Times New Roman"/>
          <w:bCs/>
          <w:position w:val="-12"/>
          <w:sz w:val="24"/>
          <w:szCs w:val="24"/>
          <w:lang w:val="fr-FR" w:eastAsia="es-ES"/>
        </w:rPr>
      </w:pPr>
      <w:r w:rsidRPr="00CA1238">
        <w:rPr>
          <w:rFonts w:ascii="Times New Roman" w:hAnsi="Times New Roman" w:cs="Times New Roman"/>
          <w:sz w:val="24"/>
          <w:szCs w:val="24"/>
        </w:rPr>
        <w:t xml:space="preserve">Se busca </w:t>
      </w:r>
      <w:r w:rsidRPr="00CA1238">
        <w:rPr>
          <w:rFonts w:ascii="Times New Roman" w:eastAsia="MS Mincho" w:hAnsi="Times New Roman" w:cs="Times New Roman"/>
          <w:bCs/>
          <w:sz w:val="24"/>
          <w:szCs w:val="24"/>
          <w:lang w:val="es-MX" w:eastAsia="es-ES"/>
        </w:rPr>
        <w:t xml:space="preserve">la implicación entre conjuntos difusos, la cual se define como un nuevo </w:t>
      </w:r>
      <w:r w:rsidRPr="00CA1238">
        <w:rPr>
          <w:rFonts w:ascii="Times New Roman" w:eastAsiaTheme="minorEastAsia" w:hAnsi="Times New Roman" w:cs="Times New Roman"/>
          <w:color w:val="000000" w:themeColor="text1"/>
          <w:kern w:val="24"/>
          <w:sz w:val="24"/>
          <w:szCs w:val="24"/>
          <w:lang w:val="es-MX" w:eastAsia="es-ES"/>
        </w:rPr>
        <w:t>conjunto</w:t>
      </w:r>
      <w:r w:rsidRPr="00CA1238">
        <w:rPr>
          <w:rFonts w:ascii="Times New Roman" w:eastAsia="MS Mincho" w:hAnsi="Times New Roman" w:cs="Times New Roman"/>
          <w:bCs/>
          <w:sz w:val="24"/>
          <w:szCs w:val="24"/>
          <w:lang w:val="es-MX" w:eastAsia="es-ES"/>
        </w:rPr>
        <w:t xml:space="preserve"> </w:t>
      </w:r>
      <w:r w:rsidRPr="00CA1238">
        <w:rPr>
          <w:rFonts w:ascii="Times New Roman" w:eastAsiaTheme="minorEastAsia" w:hAnsi="Times New Roman" w:cs="Times New Roman"/>
          <w:color w:val="000000" w:themeColor="text1"/>
          <w:kern w:val="24"/>
          <w:sz w:val="24"/>
          <w:szCs w:val="24"/>
          <w:lang w:val="es-MX" w:eastAsia="es-ES"/>
        </w:rPr>
        <w:t>difuso</w:t>
      </w:r>
      <w:r w:rsidRPr="00CA1238">
        <w:rPr>
          <w:rFonts w:ascii="Times New Roman" w:eastAsia="MS Mincho" w:hAnsi="Times New Roman" w:cs="Times New Roman"/>
          <w:bCs/>
          <w:sz w:val="24"/>
          <w:szCs w:val="24"/>
          <w:lang w:val="es-MX" w:eastAsia="es-ES"/>
        </w:rPr>
        <w:t xml:space="preserve"> cuya función de pertenencia se denota  </w:t>
      </w:r>
      <w:r w:rsidRPr="00CA1238">
        <w:rPr>
          <w:rFonts w:ascii="Times New Roman" w:eastAsia="MS Mincho" w:hAnsi="Times New Roman" w:cs="Times New Roman"/>
          <w:bCs/>
          <w:position w:val="-12"/>
          <w:sz w:val="24"/>
          <w:szCs w:val="24"/>
          <w:lang w:val="fr-FR" w:eastAsia="es-ES"/>
        </w:rPr>
        <w:object w:dxaOrig="1080" w:dyaOrig="360" w14:anchorId="6046D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18pt" o:ole="">
            <v:imagedata r:id="rId10" o:title=""/>
          </v:shape>
          <o:OLEObject Type="Embed" ProgID="Equation.3" ShapeID="_x0000_i1025" DrawAspect="Content" ObjectID="_1697133281" r:id="rId11"/>
        </w:object>
      </w:r>
      <w:r w:rsidRPr="00CA1238">
        <w:rPr>
          <w:rFonts w:ascii="Times New Roman" w:eastAsia="MS Mincho" w:hAnsi="Times New Roman" w:cs="Times New Roman"/>
          <w:bCs/>
          <w:position w:val="-12"/>
          <w:sz w:val="24"/>
          <w:szCs w:val="24"/>
          <w:lang w:val="fr-FR" w:eastAsia="es-ES"/>
        </w:rPr>
        <w:t xml:space="preserve">. </w:t>
      </w:r>
    </w:p>
    <w:p w14:paraId="02F2AF85" w14:textId="623C9801" w:rsidR="004523DC" w:rsidRPr="00CA1238" w:rsidRDefault="004523DC" w:rsidP="004523DC">
      <w:pPr>
        <w:spacing w:line="360" w:lineRule="auto"/>
        <w:jc w:val="both"/>
        <w:rPr>
          <w:rFonts w:ascii="Times New Roman" w:eastAsia="MS Mincho" w:hAnsi="Times New Roman" w:cs="Times New Roman"/>
          <w:bCs/>
          <w:position w:val="-12"/>
          <w:sz w:val="24"/>
          <w:szCs w:val="24"/>
          <w:lang w:eastAsia="es-ES"/>
        </w:rPr>
      </w:pPr>
      <w:r w:rsidRPr="00CA1238">
        <w:rPr>
          <w:rFonts w:ascii="Times New Roman" w:eastAsia="MS Mincho" w:hAnsi="Times New Roman" w:cs="Times New Roman"/>
          <w:bCs/>
          <w:position w:val="-12"/>
          <w:sz w:val="24"/>
          <w:szCs w:val="24"/>
          <w:lang w:val="fr-FR" w:eastAsia="es-ES"/>
        </w:rPr>
        <w:t xml:space="preserve">Se </w:t>
      </w:r>
      <w:r w:rsidRPr="00CA1238">
        <w:rPr>
          <w:rFonts w:ascii="Times New Roman" w:eastAsia="MS Mincho" w:hAnsi="Times New Roman" w:cs="Times New Roman"/>
          <w:bCs/>
          <w:position w:val="-12"/>
          <w:sz w:val="24"/>
          <w:szCs w:val="24"/>
          <w:lang w:eastAsia="es-ES"/>
        </w:rPr>
        <w:t>define</w:t>
      </w:r>
      <w:r w:rsidRPr="00CA1238">
        <w:rPr>
          <w:rFonts w:ascii="Times New Roman" w:eastAsia="MS Mincho" w:hAnsi="Times New Roman" w:cs="Times New Roman"/>
          <w:bCs/>
          <w:position w:val="-12"/>
          <w:sz w:val="24"/>
          <w:szCs w:val="24"/>
          <w:lang w:val="fr-FR" w:eastAsia="es-ES"/>
        </w:rPr>
        <w:t xml:space="preserve"> de </w:t>
      </w:r>
      <w:r w:rsidRPr="00CA1238">
        <w:rPr>
          <w:rFonts w:ascii="Times New Roman" w:eastAsia="MS Mincho" w:hAnsi="Times New Roman" w:cs="Times New Roman"/>
          <w:bCs/>
          <w:position w:val="-12"/>
          <w:sz w:val="24"/>
          <w:szCs w:val="24"/>
          <w:lang w:eastAsia="es-ES"/>
        </w:rPr>
        <w:t>manera general</w:t>
      </w:r>
      <w:r w:rsidR="00124597">
        <w:rPr>
          <w:rFonts w:ascii="Times New Roman" w:eastAsia="MS Mincho" w:hAnsi="Times New Roman" w:cs="Times New Roman"/>
          <w:bCs/>
          <w:position w:val="-12"/>
          <w:sz w:val="24"/>
          <w:szCs w:val="24"/>
          <w:lang w:eastAsia="es-ES"/>
        </w:rPr>
        <w:t xml:space="preserve"> </w:t>
      </w:r>
      <w:r w:rsidRPr="00CA1238">
        <w:rPr>
          <w:rFonts w:ascii="Times New Roman" w:eastAsia="MS Mincho" w:hAnsi="Times New Roman" w:cs="Times New Roman"/>
          <w:bCs/>
          <w:position w:val="-12"/>
          <w:sz w:val="24"/>
          <w:szCs w:val="24"/>
          <w:lang w:eastAsia="es-ES"/>
        </w:rPr>
        <w:t>:</w:t>
      </w:r>
    </w:p>
    <w:p w14:paraId="3344268F" w14:textId="77777777" w:rsidR="004523DC" w:rsidRPr="00CA1238" w:rsidRDefault="004523DC" w:rsidP="004523DC">
      <w:pPr>
        <w:spacing w:line="360" w:lineRule="auto"/>
        <w:jc w:val="center"/>
        <w:rPr>
          <w:rFonts w:ascii="Times New Roman" w:eastAsia="MS Mincho" w:hAnsi="Times New Roman" w:cs="Times New Roman"/>
          <w:bCs/>
          <w:sz w:val="24"/>
          <w:szCs w:val="24"/>
          <w:lang w:val="es-MX" w:eastAsia="es-ES"/>
        </w:rPr>
      </w:pPr>
      <w:r w:rsidRPr="00CA1238">
        <w:rPr>
          <w:rFonts w:ascii="Times New Roman" w:hAnsi="Times New Roman" w:cs="Times New Roman"/>
          <w:position w:val="-12"/>
          <w:sz w:val="24"/>
          <w:szCs w:val="24"/>
        </w:rPr>
        <w:object w:dxaOrig="5380" w:dyaOrig="360" w14:anchorId="18745A95">
          <v:shape id="_x0000_i1026" type="#_x0000_t75" style="width:267pt;height:19.5pt;mso-position-horizontal:absolute" o:ole="" o:allowoverlap="f">
            <v:imagedata r:id="rId12" o:title=""/>
          </v:shape>
          <o:OLEObject Type="Embed" ProgID="Equation.3" ShapeID="_x0000_i1026" DrawAspect="Content" ObjectID="_1697133282" r:id="rId13"/>
        </w:object>
      </w:r>
      <w:r w:rsidRPr="00CA1238">
        <w:rPr>
          <w:rFonts w:ascii="Times New Roman" w:hAnsi="Times New Roman" w:cs="Times New Roman"/>
          <w:sz w:val="24"/>
          <w:szCs w:val="24"/>
        </w:rPr>
        <w:tab/>
        <w:t xml:space="preserve">(Ecuación </w:t>
      </w:r>
      <w:r w:rsidRPr="00CA1238">
        <w:rPr>
          <w:rFonts w:ascii="Times New Roman" w:hAnsi="Times New Roman" w:cs="Times New Roman"/>
          <w:sz w:val="24"/>
          <w:szCs w:val="24"/>
        </w:rPr>
        <w:fldChar w:fldCharType="begin"/>
      </w:r>
      <w:r w:rsidRPr="00CA1238">
        <w:rPr>
          <w:rFonts w:ascii="Times New Roman" w:hAnsi="Times New Roman" w:cs="Times New Roman"/>
          <w:sz w:val="24"/>
          <w:szCs w:val="24"/>
        </w:rPr>
        <w:instrText xml:space="preserve"> SEQ Ecuación \* ARABIC </w:instrText>
      </w:r>
      <w:r w:rsidRPr="00CA1238">
        <w:rPr>
          <w:rFonts w:ascii="Times New Roman" w:hAnsi="Times New Roman" w:cs="Times New Roman"/>
          <w:sz w:val="24"/>
          <w:szCs w:val="24"/>
        </w:rPr>
        <w:fldChar w:fldCharType="separate"/>
      </w:r>
      <w:r w:rsidRPr="00CA1238">
        <w:rPr>
          <w:rFonts w:ascii="Times New Roman" w:hAnsi="Times New Roman" w:cs="Times New Roman"/>
          <w:noProof/>
          <w:sz w:val="24"/>
          <w:szCs w:val="24"/>
        </w:rPr>
        <w:t>2</w:t>
      </w:r>
      <w:r w:rsidRPr="00CA1238">
        <w:rPr>
          <w:rFonts w:ascii="Times New Roman" w:hAnsi="Times New Roman" w:cs="Times New Roman"/>
          <w:sz w:val="24"/>
          <w:szCs w:val="24"/>
        </w:rPr>
        <w:fldChar w:fldCharType="end"/>
      </w:r>
      <w:r w:rsidRPr="00CA1238">
        <w:rPr>
          <w:rFonts w:ascii="Times New Roman" w:hAnsi="Times New Roman" w:cs="Times New Roman"/>
          <w:sz w:val="24"/>
          <w:szCs w:val="24"/>
        </w:rPr>
        <w:t>)</w:t>
      </w:r>
    </w:p>
    <w:p w14:paraId="5887F9FE" w14:textId="49A05BCB" w:rsidR="004523DC" w:rsidRPr="00CA1238" w:rsidRDefault="004523DC" w:rsidP="004523DC">
      <w:pPr>
        <w:spacing w:before="120" w:after="120" w:line="360" w:lineRule="auto"/>
        <w:jc w:val="both"/>
        <w:rPr>
          <w:rFonts w:ascii="Times New Roman" w:eastAsia="MS Mincho" w:hAnsi="Times New Roman" w:cs="Times New Roman"/>
          <w:bCs/>
          <w:sz w:val="24"/>
          <w:szCs w:val="24"/>
          <w:lang w:val="es-MX" w:eastAsia="es-ES"/>
        </w:rPr>
      </w:pPr>
      <w:r w:rsidRPr="00CA1238">
        <w:rPr>
          <w:rFonts w:ascii="Times New Roman" w:eastAsia="MS Mincho" w:hAnsi="Times New Roman" w:cs="Times New Roman"/>
          <w:bCs/>
          <w:sz w:val="24"/>
          <w:szCs w:val="24"/>
          <w:lang w:val="es-MX" w:eastAsia="es-ES"/>
        </w:rPr>
        <w:t>Donde S y T constituyen una pareja dual de t-</w:t>
      </w:r>
      <w:proofErr w:type="spellStart"/>
      <w:r w:rsidRPr="00CA1238">
        <w:rPr>
          <w:rFonts w:ascii="Times New Roman" w:eastAsia="MS Mincho" w:hAnsi="Times New Roman" w:cs="Times New Roman"/>
          <w:bCs/>
          <w:sz w:val="24"/>
          <w:szCs w:val="24"/>
          <w:lang w:val="es-MX" w:eastAsia="es-ES"/>
        </w:rPr>
        <w:t>conorma</w:t>
      </w:r>
      <w:proofErr w:type="spellEnd"/>
      <w:r w:rsidRPr="00CA1238">
        <w:rPr>
          <w:rFonts w:ascii="Times New Roman" w:eastAsia="MS Mincho" w:hAnsi="Times New Roman" w:cs="Times New Roman"/>
          <w:bCs/>
          <w:sz w:val="24"/>
          <w:szCs w:val="24"/>
          <w:lang w:val="es-MX" w:eastAsia="es-ES"/>
        </w:rPr>
        <w:t xml:space="preserve"> y t-norma respectivamente.</w:t>
      </w:r>
    </w:p>
    <w:p w14:paraId="738E5F09" w14:textId="77777777"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eastAsia="MS Mincho" w:hAnsi="Times New Roman" w:cs="Times New Roman"/>
          <w:bCs/>
          <w:sz w:val="24"/>
          <w:szCs w:val="24"/>
          <w:lang w:val="es-MX" w:eastAsia="es-ES"/>
        </w:rPr>
        <w:t xml:space="preserve">Para el presente trabajo, se ha elegido la pareja dual </w:t>
      </w:r>
      <w:r w:rsidRPr="00CA1238">
        <w:rPr>
          <w:rFonts w:ascii="Times New Roman" w:eastAsia="MS Mincho" w:hAnsi="Times New Roman" w:cs="Times New Roman"/>
          <w:sz w:val="24"/>
          <w:szCs w:val="24"/>
          <w:lang w:eastAsia="ja-JP"/>
        </w:rPr>
        <w:t>T</w:t>
      </w:r>
      <w:r w:rsidRPr="00CA1238">
        <w:rPr>
          <w:rFonts w:ascii="Times New Roman" w:eastAsia="MS Mincho" w:hAnsi="Times New Roman" w:cs="Times New Roman"/>
          <w:sz w:val="24"/>
          <w:szCs w:val="24"/>
          <w:vertAlign w:val="subscript"/>
          <w:lang w:eastAsia="ja-JP"/>
        </w:rPr>
        <w:t>a</w:t>
      </w:r>
      <w:r w:rsidRPr="00CA1238">
        <w:rPr>
          <w:rFonts w:ascii="Times New Roman" w:eastAsia="MS Mincho" w:hAnsi="Times New Roman" w:cs="Times New Roman"/>
          <w:sz w:val="24"/>
          <w:szCs w:val="24"/>
          <w:lang w:eastAsia="ja-JP"/>
        </w:rPr>
        <w:t xml:space="preserve"> (a, b) = ab, S</w:t>
      </w:r>
      <w:r w:rsidRPr="00CA1238">
        <w:rPr>
          <w:rFonts w:ascii="Times New Roman" w:eastAsia="MS Mincho" w:hAnsi="Times New Roman" w:cs="Times New Roman"/>
          <w:sz w:val="24"/>
          <w:szCs w:val="24"/>
          <w:vertAlign w:val="subscript"/>
          <w:lang w:eastAsia="ja-JP"/>
        </w:rPr>
        <w:t>a</w:t>
      </w:r>
      <w:r w:rsidRPr="00CA1238">
        <w:rPr>
          <w:rFonts w:ascii="Times New Roman" w:eastAsia="MS Mincho" w:hAnsi="Times New Roman" w:cs="Times New Roman"/>
          <w:sz w:val="24"/>
          <w:szCs w:val="24"/>
          <w:lang w:eastAsia="ja-JP"/>
        </w:rPr>
        <w:t xml:space="preserve"> (a, b) = </w:t>
      </w:r>
      <w:proofErr w:type="spellStart"/>
      <w:r w:rsidRPr="00CA1238">
        <w:rPr>
          <w:rFonts w:ascii="Times New Roman" w:eastAsia="MS Mincho" w:hAnsi="Times New Roman" w:cs="Times New Roman"/>
          <w:sz w:val="24"/>
          <w:szCs w:val="24"/>
          <w:lang w:eastAsia="ja-JP"/>
        </w:rPr>
        <w:t>a+b-ab</w:t>
      </w:r>
      <w:proofErr w:type="spellEnd"/>
      <w:r w:rsidRPr="00CA1238">
        <w:rPr>
          <w:rFonts w:ascii="Times New Roman" w:eastAsia="MS Mincho" w:hAnsi="Times New Roman" w:cs="Times New Roman"/>
          <w:sz w:val="24"/>
          <w:szCs w:val="24"/>
          <w:lang w:eastAsia="ja-JP"/>
        </w:rPr>
        <w:t xml:space="preserve"> (denominados </w:t>
      </w:r>
      <w:r w:rsidRPr="00CA1238">
        <w:rPr>
          <w:rFonts w:ascii="Times New Roman" w:eastAsiaTheme="minorEastAsia" w:hAnsi="Times New Roman" w:cs="Times New Roman"/>
          <w:color w:val="000000" w:themeColor="text1"/>
          <w:kern w:val="24"/>
          <w:sz w:val="24"/>
          <w:szCs w:val="24"/>
          <w:lang w:val="es-MX" w:eastAsia="es-ES"/>
        </w:rPr>
        <w:t>producto</w:t>
      </w:r>
      <w:r w:rsidRPr="00CA1238">
        <w:rPr>
          <w:rFonts w:ascii="Times New Roman" w:eastAsia="MS Mincho" w:hAnsi="Times New Roman" w:cs="Times New Roman"/>
          <w:sz w:val="24"/>
          <w:szCs w:val="24"/>
          <w:lang w:eastAsia="ja-JP"/>
        </w:rPr>
        <w:t xml:space="preserve"> algebraico y suma algebraica respectivamente), por la forma en que se define el </w:t>
      </w:r>
      <w:r w:rsidRPr="00CA1238">
        <w:rPr>
          <w:rFonts w:ascii="Times New Roman" w:hAnsi="Times New Roman" w:cs="Times New Roman"/>
          <w:sz w:val="24"/>
          <w:szCs w:val="24"/>
        </w:rPr>
        <w:t xml:space="preserve">riesgo de contaminación: </w:t>
      </w:r>
    </w:p>
    <w:p w14:paraId="37E0CD56" w14:textId="77777777"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eastAsia="MS Mincho" w:hAnsi="Times New Roman" w:cs="Times New Roman"/>
          <w:sz w:val="24"/>
          <w:szCs w:val="24"/>
          <w:lang w:eastAsia="ja-JP"/>
        </w:rPr>
        <w:t>T</w:t>
      </w:r>
      <w:r w:rsidRPr="00CA1238">
        <w:rPr>
          <w:rFonts w:ascii="Times New Roman" w:eastAsia="MS Mincho" w:hAnsi="Times New Roman" w:cs="Times New Roman"/>
          <w:sz w:val="24"/>
          <w:szCs w:val="24"/>
          <w:vertAlign w:val="subscript"/>
          <w:lang w:eastAsia="ja-JP"/>
        </w:rPr>
        <w:t>a</w:t>
      </w:r>
      <w:r w:rsidRPr="00CA1238">
        <w:rPr>
          <w:rFonts w:ascii="Times New Roman" w:eastAsia="MS Mincho" w:hAnsi="Times New Roman" w:cs="Times New Roman"/>
          <w:sz w:val="24"/>
          <w:szCs w:val="24"/>
          <w:lang w:eastAsia="ja-JP"/>
        </w:rPr>
        <w:t xml:space="preserve"> (</w:t>
      </w:r>
      <w:r w:rsidRPr="00CA1238">
        <w:rPr>
          <w:rFonts w:ascii="Times New Roman" w:hAnsi="Times New Roman" w:cs="Times New Roman"/>
          <w:position w:val="-10"/>
          <w:sz w:val="24"/>
          <w:szCs w:val="24"/>
        </w:rPr>
        <w:object w:dxaOrig="620" w:dyaOrig="340" w14:anchorId="42C3BB07">
          <v:shape id="_x0000_i1027" type="#_x0000_t75" style="width:31.5pt;height:17.25pt" o:ole="">
            <v:imagedata r:id="rId14" o:title=""/>
          </v:shape>
          <o:OLEObject Type="Embed" ProgID="Equation.3" ShapeID="_x0000_i1027" DrawAspect="Content" ObjectID="_1697133283" r:id="rId15"/>
        </w:object>
      </w:r>
      <w:r w:rsidRPr="00CA1238">
        <w:rPr>
          <w:rFonts w:ascii="Times New Roman" w:eastAsia="MS Mincho" w:hAnsi="Times New Roman" w:cs="Times New Roman"/>
          <w:sz w:val="24"/>
          <w:szCs w:val="24"/>
          <w:lang w:eastAsia="ja-JP"/>
        </w:rPr>
        <w:t>,</w:t>
      </w:r>
      <w:r w:rsidRPr="00CA1238">
        <w:rPr>
          <w:rFonts w:ascii="Times New Roman" w:hAnsi="Times New Roman" w:cs="Times New Roman"/>
          <w:position w:val="-10"/>
          <w:sz w:val="24"/>
          <w:szCs w:val="24"/>
        </w:rPr>
        <w:object w:dxaOrig="540" w:dyaOrig="340" w14:anchorId="69EADE85">
          <v:shape id="_x0000_i1028" type="#_x0000_t75" style="width:27pt;height:17.25pt" o:ole="">
            <v:imagedata r:id="rId16" o:title=""/>
          </v:shape>
          <o:OLEObject Type="Embed" ProgID="Equation.3" ShapeID="_x0000_i1028" DrawAspect="Content" ObjectID="_1697133284" r:id="rId17"/>
        </w:object>
      </w:r>
      <w:r w:rsidRPr="00CA1238">
        <w:rPr>
          <w:rFonts w:ascii="Times New Roman" w:eastAsia="MS Mincho" w:hAnsi="Times New Roman" w:cs="Times New Roman"/>
          <w:sz w:val="24"/>
          <w:szCs w:val="24"/>
          <w:lang w:eastAsia="ja-JP"/>
        </w:rPr>
        <w:t>)=</w:t>
      </w:r>
      <w:r w:rsidRPr="00CA1238">
        <w:rPr>
          <w:rFonts w:ascii="Times New Roman" w:hAnsi="Times New Roman" w:cs="Times New Roman"/>
          <w:position w:val="-10"/>
          <w:sz w:val="24"/>
          <w:szCs w:val="24"/>
        </w:rPr>
        <w:object w:dxaOrig="620" w:dyaOrig="340" w14:anchorId="7267927E">
          <v:shape id="_x0000_i1029" type="#_x0000_t75" style="width:31.5pt;height:17.25pt" o:ole="">
            <v:imagedata r:id="rId14" o:title=""/>
          </v:shape>
          <o:OLEObject Type="Embed" ProgID="Equation.3" ShapeID="_x0000_i1029" DrawAspect="Content" ObjectID="_1697133285" r:id="rId18"/>
        </w:object>
      </w:r>
      <w:r w:rsidRPr="00CA1238">
        <w:rPr>
          <w:rFonts w:ascii="Times New Roman" w:hAnsi="Times New Roman" w:cs="Times New Roman"/>
          <w:sz w:val="24"/>
          <w:szCs w:val="24"/>
        </w:rPr>
        <w:t>.</w:t>
      </w:r>
      <w:r w:rsidRPr="00CA1238">
        <w:rPr>
          <w:rFonts w:ascii="Times New Roman" w:hAnsi="Times New Roman" w:cs="Times New Roman"/>
          <w:position w:val="-10"/>
          <w:sz w:val="24"/>
          <w:szCs w:val="24"/>
        </w:rPr>
        <w:object w:dxaOrig="540" w:dyaOrig="340" w14:anchorId="0A6BE77C">
          <v:shape id="_x0000_i1030" type="#_x0000_t75" style="width:27pt;height:17.25pt" o:ole="">
            <v:imagedata r:id="rId16" o:title=""/>
          </v:shape>
          <o:OLEObject Type="Embed" ProgID="Equation.3" ShapeID="_x0000_i1030" DrawAspect="Content" ObjectID="_1697133286" r:id="rId19"/>
        </w:object>
      </w:r>
      <w:r w:rsidRPr="00CA1238">
        <w:rPr>
          <w:rFonts w:ascii="Times New Roman" w:hAnsi="Times New Roman" w:cs="Times New Roman"/>
          <w:sz w:val="24"/>
          <w:szCs w:val="24"/>
        </w:rPr>
        <w:t xml:space="preserve">) = (VA) * (CC),  donde  (CC) designa la carga contaminante, tomando en consideración su clase, la </w:t>
      </w:r>
      <w:r w:rsidRPr="00CA1238">
        <w:rPr>
          <w:rFonts w:ascii="Times New Roman" w:eastAsia="MS Mincho" w:hAnsi="Times New Roman" w:cs="Times New Roman"/>
          <w:sz w:val="24"/>
          <w:szCs w:val="24"/>
          <w:lang w:eastAsia="ja-JP"/>
        </w:rPr>
        <w:t>intensidad</w:t>
      </w:r>
      <w:r w:rsidRPr="00CA1238">
        <w:rPr>
          <w:rFonts w:ascii="Times New Roman" w:hAnsi="Times New Roman" w:cs="Times New Roman"/>
          <w:sz w:val="24"/>
          <w:szCs w:val="24"/>
        </w:rPr>
        <w:t xml:space="preserve">, su disposición y  la duración de su influencia y (VA) la vulnerabilidad del acuífero, para lo cual </w:t>
      </w:r>
      <w:r>
        <w:rPr>
          <w:rFonts w:ascii="Times New Roman" w:hAnsi="Times New Roman" w:cs="Times New Roman"/>
          <w:sz w:val="24"/>
          <w:szCs w:val="24"/>
        </w:rPr>
        <w:t>se requieren en particular</w:t>
      </w:r>
      <w:r w:rsidRPr="00CA1238">
        <w:rPr>
          <w:rFonts w:ascii="Times New Roman" w:hAnsi="Times New Roman" w:cs="Times New Roman"/>
          <w:sz w:val="24"/>
          <w:szCs w:val="24"/>
        </w:rPr>
        <w:t xml:space="preserve"> datos sobre: las características de ocurr</w:t>
      </w:r>
      <w:r>
        <w:rPr>
          <w:rFonts w:ascii="Times New Roman" w:hAnsi="Times New Roman" w:cs="Times New Roman"/>
          <w:sz w:val="24"/>
          <w:szCs w:val="24"/>
        </w:rPr>
        <w:t>encia de las aguas subterráneas,</w:t>
      </w:r>
      <w:r w:rsidRPr="00CA1238">
        <w:rPr>
          <w:rFonts w:ascii="Times New Roman" w:hAnsi="Times New Roman" w:cs="Times New Roman"/>
          <w:sz w:val="24"/>
          <w:szCs w:val="24"/>
        </w:rPr>
        <w:t xml:space="preserve"> su profundidad de </w:t>
      </w:r>
      <w:proofErr w:type="spellStart"/>
      <w:r w:rsidRPr="00CA1238">
        <w:rPr>
          <w:rFonts w:ascii="Times New Roman" w:hAnsi="Times New Roman" w:cs="Times New Roman"/>
          <w:sz w:val="24"/>
          <w:szCs w:val="24"/>
        </w:rPr>
        <w:t>yacencia</w:t>
      </w:r>
      <w:proofErr w:type="spellEnd"/>
      <w:r w:rsidRPr="00CA1238">
        <w:rPr>
          <w:rFonts w:ascii="Times New Roman" w:hAnsi="Times New Roman" w:cs="Times New Roman"/>
          <w:sz w:val="24"/>
          <w:szCs w:val="24"/>
        </w:rPr>
        <w:t xml:space="preserve"> (acuíferos libres) o del techo del i</w:t>
      </w:r>
      <w:r>
        <w:rPr>
          <w:rFonts w:ascii="Times New Roman" w:hAnsi="Times New Roman" w:cs="Times New Roman"/>
          <w:sz w:val="24"/>
          <w:szCs w:val="24"/>
        </w:rPr>
        <w:t>mpermeable (acuífero confinado)</w:t>
      </w:r>
      <w:r w:rsidRPr="00CA1238">
        <w:rPr>
          <w:rFonts w:ascii="Times New Roman" w:hAnsi="Times New Roman" w:cs="Times New Roman"/>
          <w:sz w:val="24"/>
          <w:szCs w:val="24"/>
        </w:rPr>
        <w:t xml:space="preserve"> y las características del sustrato litológico</w:t>
      </w:r>
      <w:r>
        <w:rPr>
          <w:rFonts w:ascii="Times New Roman" w:hAnsi="Times New Roman" w:cs="Times New Roman"/>
          <w:sz w:val="24"/>
          <w:szCs w:val="24"/>
        </w:rPr>
        <w:t>, con vista a aplicar el método GOD</w:t>
      </w:r>
      <w:r w:rsidRPr="00CA1238">
        <w:rPr>
          <w:rFonts w:ascii="Times New Roman" w:hAnsi="Times New Roman" w:cs="Times New Roman"/>
          <w:sz w:val="24"/>
          <w:szCs w:val="24"/>
        </w:rPr>
        <w:t xml:space="preserve">. </w:t>
      </w:r>
    </w:p>
    <w:p w14:paraId="463239D4" w14:textId="77777777"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rPr>
        <w:t xml:space="preserve">El riesgo de contaminación de las aguas subterráneas está dado por el producto de la interacción entre CC y VA y la inferencia difusa es utilizada para medir la relación entre los tipos de vulnerabilidad, lo cual determina el impacto en los abastecimientos de aguas subterráneas, ya sea por el transporte lateral o en la construcción de pozos, por lo que constituye un coeficiente de seguridad hídrica. </w:t>
      </w:r>
    </w:p>
    <w:p w14:paraId="0FE14ED6" w14:textId="77777777" w:rsidR="004523DC" w:rsidRPr="00CA1238" w:rsidRDefault="004523DC" w:rsidP="004523DC">
      <w:pPr>
        <w:spacing w:before="120" w:after="120" w:line="360" w:lineRule="auto"/>
        <w:jc w:val="both"/>
        <w:rPr>
          <w:rFonts w:ascii="Times New Roman" w:hAnsi="Times New Roman" w:cs="Times New Roman"/>
          <w:sz w:val="24"/>
          <w:szCs w:val="24"/>
        </w:rPr>
      </w:pPr>
      <w:r w:rsidRPr="00CA1238">
        <w:rPr>
          <w:rFonts w:ascii="Times New Roman" w:hAnsi="Times New Roman" w:cs="Times New Roman"/>
          <w:sz w:val="24"/>
          <w:szCs w:val="24"/>
        </w:rPr>
        <w:t>Para la clasificación de los acuíferos según su grado de vulnerabilidad, fueron utilizados los datos disponibles a partir de una serie de trabajos de campo convenidos entre la Delegación Provincial de Recursos Hidráulicos de Villa Clara (DPRH VC), la Empresa de Aprovechamiento de los Recursos Hidráulicos de Villa Clara (GEARH VC) y la Empresa de Investigaciones Hidráulicos de Villa Clara (IPH VC).</w:t>
      </w:r>
    </w:p>
    <w:p w14:paraId="519A32E5" w14:textId="541D0A7F" w:rsidR="004523DC" w:rsidRDefault="004523DC" w:rsidP="004523D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Por sus características, el método GOD garantiza valores entre cero y uno. Para conseguir este requisito en la</w:t>
      </w:r>
      <w:r w:rsidRPr="00762762">
        <w:rPr>
          <w:rFonts w:ascii="Times New Roman" w:hAnsi="Times New Roman" w:cs="Times New Roman"/>
          <w:sz w:val="24"/>
          <w:szCs w:val="24"/>
        </w:rPr>
        <w:t xml:space="preserve"> carga contaminante</w:t>
      </w:r>
      <w:r>
        <w:rPr>
          <w:rFonts w:ascii="Times New Roman" w:hAnsi="Times New Roman" w:cs="Times New Roman"/>
          <w:sz w:val="24"/>
          <w:szCs w:val="24"/>
        </w:rPr>
        <w:t xml:space="preserve"> al subsuelo, se consideró que   tiene cuatro características cuya magnitud se califica de cero a uno. Ellas son la clase   de</w:t>
      </w:r>
      <w:r w:rsidRPr="00DF79DC">
        <w:rPr>
          <w:rFonts w:ascii="Times New Roman" w:hAnsi="Times New Roman" w:cs="Times New Roman"/>
          <w:sz w:val="24"/>
          <w:szCs w:val="24"/>
        </w:rPr>
        <w:t xml:space="preserve"> </w:t>
      </w:r>
      <w:r>
        <w:rPr>
          <w:rFonts w:ascii="Times New Roman" w:hAnsi="Times New Roman" w:cs="Times New Roman"/>
          <w:sz w:val="24"/>
          <w:szCs w:val="24"/>
        </w:rPr>
        <w:t xml:space="preserve">contaminante, el modo de disposición, la intensidad y la duración. </w:t>
      </w:r>
      <w:sdt>
        <w:sdtPr>
          <w:rPr>
            <w:rFonts w:ascii="Times New Roman" w:hAnsi="Times New Roman" w:cs="Times New Roman"/>
            <w:sz w:val="24"/>
            <w:szCs w:val="24"/>
          </w:rPr>
          <w:id w:val="-1694600609"/>
          <w:citation/>
        </w:sdtPr>
        <w:sdtEndPr/>
        <w:sdtContent>
          <w:r w:rsidR="00FB7C1B">
            <w:rPr>
              <w:rFonts w:ascii="Times New Roman" w:hAnsi="Times New Roman" w:cs="Times New Roman"/>
              <w:sz w:val="24"/>
              <w:szCs w:val="24"/>
            </w:rPr>
            <w:fldChar w:fldCharType="begin"/>
          </w:r>
          <w:r w:rsidR="00FB7C1B">
            <w:rPr>
              <w:rFonts w:ascii="Times New Roman" w:hAnsi="Times New Roman" w:cs="Times New Roman"/>
              <w:sz w:val="24"/>
              <w:szCs w:val="24"/>
            </w:rPr>
            <w:instrText xml:space="preserve"> CITATION Fos02 \l 3082 </w:instrText>
          </w:r>
          <w:r w:rsidR="00FB7C1B">
            <w:rPr>
              <w:rFonts w:ascii="Times New Roman" w:hAnsi="Times New Roman" w:cs="Times New Roman"/>
              <w:sz w:val="24"/>
              <w:szCs w:val="24"/>
            </w:rPr>
            <w:fldChar w:fldCharType="separate"/>
          </w:r>
          <w:r w:rsidR="00C02F6C" w:rsidRPr="00C02F6C">
            <w:rPr>
              <w:rFonts w:ascii="Times New Roman" w:hAnsi="Times New Roman" w:cs="Times New Roman"/>
              <w:noProof/>
              <w:sz w:val="24"/>
              <w:szCs w:val="24"/>
            </w:rPr>
            <w:t>(Foster, Hirata, Gomes, D´Elia, &amp; Paris, 2002)</w:t>
          </w:r>
          <w:r w:rsidR="00FB7C1B">
            <w:rPr>
              <w:rFonts w:ascii="Times New Roman" w:hAnsi="Times New Roman" w:cs="Times New Roman"/>
              <w:sz w:val="24"/>
              <w:szCs w:val="24"/>
            </w:rPr>
            <w:fldChar w:fldCharType="end"/>
          </w:r>
        </w:sdtContent>
      </w:sdt>
    </w:p>
    <w:p w14:paraId="239F5C27" w14:textId="77777777" w:rsidR="004523DC" w:rsidRDefault="004523DC" w:rsidP="004523DC">
      <w:pPr>
        <w:spacing w:line="360" w:lineRule="auto"/>
        <w:jc w:val="both"/>
        <w:rPr>
          <w:rFonts w:ascii="Times New Roman" w:hAnsi="Times New Roman" w:cs="Times New Roman"/>
          <w:sz w:val="24"/>
          <w:szCs w:val="24"/>
        </w:rPr>
      </w:pPr>
      <w:r>
        <w:rPr>
          <w:rFonts w:ascii="Times New Roman" w:hAnsi="Times New Roman" w:cs="Times New Roman"/>
          <w:sz w:val="24"/>
          <w:szCs w:val="24"/>
        </w:rPr>
        <w:t>La clase de contaminante está definida por su tendencia a la transformación en situ y por su coeficiente de retardo relacionado con los procesos subterráneos. Mientras más lenta sea la degradación y más insignificante el retardo, el contaminante será más peligroso y su valor se aproxima más a 1. En cambio, mientras más móvil y menos persistente sea el contaminante, su peligrosidad es menor.</w:t>
      </w:r>
    </w:p>
    <w:p w14:paraId="339EF94B" w14:textId="77777777" w:rsidR="004523DC" w:rsidRDefault="004523DC" w:rsidP="004523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intensidad está definida por la concentración probable del contaminante en relación con los valores recomendados por la OMS para la calidad del agua potable. </w:t>
      </w:r>
    </w:p>
    <w:p w14:paraId="74CE83C4" w14:textId="77777777" w:rsidR="004523DC" w:rsidRDefault="004523DC" w:rsidP="004523DC">
      <w:pPr>
        <w:spacing w:line="360" w:lineRule="auto"/>
        <w:jc w:val="both"/>
        <w:rPr>
          <w:rFonts w:ascii="Times New Roman" w:hAnsi="Times New Roman" w:cs="Times New Roman"/>
          <w:sz w:val="24"/>
          <w:szCs w:val="24"/>
        </w:rPr>
      </w:pPr>
      <w:r>
        <w:rPr>
          <w:rFonts w:ascii="Times New Roman" w:hAnsi="Times New Roman" w:cs="Times New Roman"/>
          <w:sz w:val="24"/>
          <w:szCs w:val="24"/>
        </w:rPr>
        <w:t>La duración de la aplicación de la carga contaminante está definida por la probabilidad de descarga y por el período de aplicación. Para el caso de décadas con probabilidad de descarga cercana al 100% la situación es más crítica y su valor debe ser próximo a 1. Los accidentes ambientales con poca probabilidad y corta duración tienen una calificación cercana a cero.</w:t>
      </w:r>
    </w:p>
    <w:p w14:paraId="31A1E805" w14:textId="4111FBDA" w:rsidR="004523DC" w:rsidRDefault="004523DC" w:rsidP="004523DC">
      <w:pPr>
        <w:spacing w:line="360" w:lineRule="auto"/>
        <w:jc w:val="both"/>
        <w:rPr>
          <w:rFonts w:ascii="Times New Roman" w:hAnsi="Times New Roman" w:cs="Times New Roman"/>
          <w:sz w:val="24"/>
          <w:szCs w:val="24"/>
        </w:rPr>
      </w:pPr>
      <w:r>
        <w:rPr>
          <w:rFonts w:ascii="Times New Roman" w:hAnsi="Times New Roman" w:cs="Times New Roman"/>
          <w:sz w:val="24"/>
          <w:szCs w:val="24"/>
        </w:rPr>
        <w:t>El modo en que el contaminante es descargado al subsuelo está definido por la carga hidráulica asociada con la descarga de contaminante y la profundidad por debajo de la superficie del terreno en la cual el efluente o lixiviado es descargado o generado. Cuando el contaminante es descargado en la superficie, juega un papel importante la carga hidráulica asociada a la descarga del contaminante, pero cuando la descarga se hace directamente al nivel freático tiene mayor efecto sobre la calidad del recurso y su valor relativo es muy cercano a 1.</w:t>
      </w:r>
      <w:r w:rsidR="00FB7C1B">
        <w:rPr>
          <w:rFonts w:ascii="Times New Roman" w:hAnsi="Times New Roman" w:cs="Times New Roman"/>
          <w:sz w:val="24"/>
          <w:szCs w:val="24"/>
        </w:rPr>
        <w:t xml:space="preserve"> </w:t>
      </w:r>
      <w:sdt>
        <w:sdtPr>
          <w:rPr>
            <w:rFonts w:ascii="Times New Roman" w:hAnsi="Times New Roman" w:cs="Times New Roman"/>
            <w:sz w:val="24"/>
            <w:szCs w:val="24"/>
          </w:rPr>
          <w:id w:val="1782845018"/>
          <w:citation/>
        </w:sdtPr>
        <w:sdtEndPr/>
        <w:sdtContent>
          <w:r w:rsidR="00FB7C1B">
            <w:rPr>
              <w:rFonts w:ascii="Times New Roman" w:hAnsi="Times New Roman" w:cs="Times New Roman"/>
              <w:sz w:val="24"/>
              <w:szCs w:val="24"/>
            </w:rPr>
            <w:fldChar w:fldCharType="begin"/>
          </w:r>
          <w:r w:rsidR="00FB7C1B">
            <w:rPr>
              <w:rFonts w:ascii="Times New Roman" w:hAnsi="Times New Roman" w:cs="Times New Roman"/>
              <w:sz w:val="24"/>
              <w:szCs w:val="24"/>
            </w:rPr>
            <w:instrText xml:space="preserve"> CITATION Gav05 \l 3082 </w:instrText>
          </w:r>
          <w:r w:rsidR="00FB7C1B">
            <w:rPr>
              <w:rFonts w:ascii="Times New Roman" w:hAnsi="Times New Roman" w:cs="Times New Roman"/>
              <w:sz w:val="24"/>
              <w:szCs w:val="24"/>
            </w:rPr>
            <w:fldChar w:fldCharType="separate"/>
          </w:r>
          <w:r w:rsidR="00C02F6C" w:rsidRPr="00C02F6C">
            <w:rPr>
              <w:rFonts w:ascii="Times New Roman" w:hAnsi="Times New Roman" w:cs="Times New Roman"/>
              <w:noProof/>
              <w:sz w:val="24"/>
              <w:szCs w:val="24"/>
            </w:rPr>
            <w:t>(Gaviria S. &amp; Betancur V., 2005)</w:t>
          </w:r>
          <w:r w:rsidR="00FB7C1B">
            <w:rPr>
              <w:rFonts w:ascii="Times New Roman" w:hAnsi="Times New Roman" w:cs="Times New Roman"/>
              <w:sz w:val="24"/>
              <w:szCs w:val="24"/>
            </w:rPr>
            <w:fldChar w:fldCharType="end"/>
          </w:r>
        </w:sdtContent>
      </w:sdt>
      <w:sdt>
        <w:sdtPr>
          <w:rPr>
            <w:rFonts w:ascii="Times New Roman" w:hAnsi="Times New Roman" w:cs="Times New Roman"/>
            <w:sz w:val="24"/>
            <w:szCs w:val="24"/>
          </w:rPr>
          <w:id w:val="-1743631151"/>
          <w:citation/>
        </w:sdtPr>
        <w:sdtEndPr/>
        <w:sdtContent>
          <w:r w:rsidR="00FB7C1B">
            <w:rPr>
              <w:rFonts w:ascii="Times New Roman" w:hAnsi="Times New Roman" w:cs="Times New Roman"/>
              <w:sz w:val="24"/>
              <w:szCs w:val="24"/>
            </w:rPr>
            <w:fldChar w:fldCharType="begin"/>
          </w:r>
          <w:r w:rsidR="00C02F6C">
            <w:rPr>
              <w:rFonts w:ascii="Times New Roman" w:hAnsi="Times New Roman" w:cs="Times New Roman"/>
              <w:sz w:val="24"/>
              <w:szCs w:val="24"/>
            </w:rPr>
            <w:instrText xml:space="preserve">CITATION Fos91 \l 3082 </w:instrText>
          </w:r>
          <w:r w:rsidR="00FB7C1B">
            <w:rPr>
              <w:rFonts w:ascii="Times New Roman" w:hAnsi="Times New Roman" w:cs="Times New Roman"/>
              <w:sz w:val="24"/>
              <w:szCs w:val="24"/>
            </w:rPr>
            <w:fldChar w:fldCharType="separate"/>
          </w:r>
          <w:r w:rsidR="00C02F6C">
            <w:rPr>
              <w:rFonts w:ascii="Times New Roman" w:hAnsi="Times New Roman" w:cs="Times New Roman"/>
              <w:noProof/>
              <w:sz w:val="24"/>
              <w:szCs w:val="24"/>
            </w:rPr>
            <w:t xml:space="preserve"> </w:t>
          </w:r>
          <w:r w:rsidR="00C02F6C" w:rsidRPr="00C02F6C">
            <w:rPr>
              <w:rFonts w:ascii="Times New Roman" w:hAnsi="Times New Roman" w:cs="Times New Roman"/>
              <w:noProof/>
              <w:sz w:val="24"/>
              <w:szCs w:val="24"/>
            </w:rPr>
            <w:t>(Foster &amp; Hirata, Determinación del riesgo de contaminación de aguas subterráneas. Una metodología basada en datos existentes., 1991)</w:t>
          </w:r>
          <w:r w:rsidR="00FB7C1B">
            <w:rPr>
              <w:rFonts w:ascii="Times New Roman" w:hAnsi="Times New Roman" w:cs="Times New Roman"/>
              <w:sz w:val="24"/>
              <w:szCs w:val="24"/>
            </w:rPr>
            <w:fldChar w:fldCharType="end"/>
          </w:r>
        </w:sdtContent>
      </w:sdt>
    </w:p>
    <w:p w14:paraId="2B4EDE5C" w14:textId="23EDD1F4" w:rsidR="004523DC" w:rsidRDefault="004523DC" w:rsidP="004523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sdt>
        <w:sdtPr>
          <w:rPr>
            <w:rFonts w:ascii="Times New Roman" w:hAnsi="Times New Roman" w:cs="Times New Roman"/>
            <w:sz w:val="24"/>
            <w:szCs w:val="24"/>
          </w:rPr>
          <w:id w:val="436806143"/>
          <w:citation/>
        </w:sdtPr>
        <w:sdtEndPr/>
        <w:sdtContent>
          <w:r w:rsidR="00F17EDD" w:rsidRPr="00084C6B">
            <w:rPr>
              <w:rFonts w:ascii="Times New Roman" w:hAnsi="Times New Roman" w:cs="Times New Roman"/>
              <w:sz w:val="24"/>
              <w:szCs w:val="24"/>
            </w:rPr>
            <w:fldChar w:fldCharType="begin"/>
          </w:r>
          <w:r w:rsidR="00F17EDD" w:rsidRPr="00084C6B">
            <w:rPr>
              <w:rFonts w:ascii="Times New Roman" w:hAnsi="Times New Roman" w:cs="Times New Roman"/>
              <w:sz w:val="24"/>
              <w:szCs w:val="24"/>
            </w:rPr>
            <w:instrText xml:space="preserve"> CITATION Gav05 \l 3082 </w:instrText>
          </w:r>
          <w:r w:rsidR="00F17EDD" w:rsidRPr="00084C6B">
            <w:rPr>
              <w:rFonts w:ascii="Times New Roman" w:hAnsi="Times New Roman" w:cs="Times New Roman"/>
              <w:sz w:val="24"/>
              <w:szCs w:val="24"/>
            </w:rPr>
            <w:fldChar w:fldCharType="separate"/>
          </w:r>
          <w:r w:rsidR="00C02F6C" w:rsidRPr="00C02F6C">
            <w:rPr>
              <w:rFonts w:ascii="Times New Roman" w:hAnsi="Times New Roman" w:cs="Times New Roman"/>
              <w:noProof/>
              <w:sz w:val="24"/>
              <w:szCs w:val="24"/>
            </w:rPr>
            <w:t>(Gaviria S. &amp; Betancur V., 2005)</w:t>
          </w:r>
          <w:r w:rsidR="00F17EDD" w:rsidRPr="00084C6B">
            <w:rPr>
              <w:rFonts w:ascii="Times New Roman" w:hAnsi="Times New Roman" w:cs="Times New Roman"/>
              <w:sz w:val="24"/>
              <w:szCs w:val="24"/>
            </w:rPr>
            <w:fldChar w:fldCharType="end"/>
          </w:r>
        </w:sdtContent>
      </w:sdt>
      <w:r>
        <w:rPr>
          <w:rFonts w:ascii="Times New Roman" w:hAnsi="Times New Roman" w:cs="Times New Roman"/>
          <w:sz w:val="24"/>
          <w:szCs w:val="24"/>
        </w:rPr>
        <w:t xml:space="preserve"> se propone un índice para determinar la interacción entre estas características dado por:</w:t>
      </w:r>
    </w:p>
    <w:p w14:paraId="0BB54166" w14:textId="77777777" w:rsidR="004523DC" w:rsidRPr="00762762" w:rsidRDefault="004523DC" w:rsidP="004523DC">
      <w:pPr>
        <w:jc w:val="both"/>
        <w:rPr>
          <w:rFonts w:ascii="Times New Roman" w:hAnsi="Times New Roman" w:cs="Times New Roman"/>
          <w:sz w:val="24"/>
          <w:szCs w:val="24"/>
        </w:rPr>
      </w:pPr>
      <w:r>
        <w:rPr>
          <w:rFonts w:ascii="Times New Roman" w:hAnsi="Times New Roman" w:cs="Times New Roman"/>
          <w:sz w:val="24"/>
          <w:szCs w:val="24"/>
        </w:rPr>
        <w:t>ICC = (CIFC) (VRC) + (CIFI) (VRI) + (CIFM) (VRM) + (CIFT) (VRT), donde:</w:t>
      </w:r>
    </w:p>
    <w:p w14:paraId="439A8E97" w14:textId="77777777" w:rsidR="004523DC" w:rsidRDefault="004523DC" w:rsidP="004523D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CIFC, CIFI, CIFM, CIFT son los coeficientes de importancia de los factores de clase de contaminante, intensidad, modo de disposición y duración respectivamente, correspondientes a los valores relativos de VRC,</w:t>
      </w:r>
      <w:r w:rsidRPr="00FE54D9">
        <w:rPr>
          <w:rFonts w:ascii="Times New Roman" w:hAnsi="Times New Roman" w:cs="Times New Roman"/>
          <w:sz w:val="24"/>
          <w:szCs w:val="24"/>
        </w:rPr>
        <w:t xml:space="preserve"> </w:t>
      </w:r>
      <w:r>
        <w:rPr>
          <w:rFonts w:ascii="Times New Roman" w:hAnsi="Times New Roman" w:cs="Times New Roman"/>
          <w:sz w:val="24"/>
          <w:szCs w:val="24"/>
        </w:rPr>
        <w:t>VRI,</w:t>
      </w:r>
      <w:r w:rsidRPr="00FE54D9">
        <w:rPr>
          <w:rFonts w:ascii="Times New Roman" w:hAnsi="Times New Roman" w:cs="Times New Roman"/>
          <w:sz w:val="24"/>
          <w:szCs w:val="24"/>
        </w:rPr>
        <w:t xml:space="preserve"> </w:t>
      </w:r>
      <w:r>
        <w:rPr>
          <w:rFonts w:ascii="Times New Roman" w:hAnsi="Times New Roman" w:cs="Times New Roman"/>
          <w:sz w:val="24"/>
          <w:szCs w:val="24"/>
        </w:rPr>
        <w:t>VRM y VRT de dichos factores.</w:t>
      </w:r>
    </w:p>
    <w:p w14:paraId="1B5D1AF6" w14:textId="77777777" w:rsidR="004523DC" w:rsidRDefault="004523DC" w:rsidP="004523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selección de los coeficientes de modo que CIFC+ CIFI+CIFM+ CIFT=1 garantiza que ICC </w:t>
      </w:r>
      <w:r>
        <w:rPr>
          <w:rFonts w:ascii="Cambria Math" w:hAnsi="Cambria Math" w:cs="Times New Roman"/>
          <w:sz w:val="24"/>
          <w:szCs w:val="24"/>
        </w:rPr>
        <w:t xml:space="preserve">≦ </w:t>
      </w:r>
      <w:r>
        <w:rPr>
          <w:rFonts w:ascii="Times New Roman" w:hAnsi="Times New Roman" w:cs="Times New Roman"/>
          <w:sz w:val="24"/>
          <w:szCs w:val="24"/>
        </w:rPr>
        <w:t>1</w:t>
      </w:r>
    </w:p>
    <w:p w14:paraId="5DE01C9E" w14:textId="487F0914" w:rsidR="004523DC" w:rsidRDefault="004523DC" w:rsidP="004523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Este autor aplicó esta fórmula con valores </w:t>
      </w:r>
      <w:r w:rsidRPr="005A6F5E">
        <w:rPr>
          <w:rFonts w:ascii="Times New Roman" w:hAnsi="Times New Roman" w:cs="Times New Roman"/>
          <w:sz w:val="24"/>
          <w:szCs w:val="24"/>
        </w:rPr>
        <w:t xml:space="preserve">CIFC = </w:t>
      </w:r>
      <w:r w:rsidRPr="00084C6B">
        <w:rPr>
          <w:rFonts w:ascii="Times New Roman" w:hAnsi="Times New Roman" w:cs="Times New Roman"/>
          <w:sz w:val="24"/>
          <w:szCs w:val="24"/>
        </w:rPr>
        <w:t>0,31</w:t>
      </w:r>
      <w:r w:rsidRPr="005A6F5E">
        <w:rPr>
          <w:rFonts w:ascii="Times New Roman" w:hAnsi="Times New Roman" w:cs="Times New Roman"/>
          <w:sz w:val="24"/>
          <w:szCs w:val="24"/>
        </w:rPr>
        <w:t xml:space="preserve">, CIFI = </w:t>
      </w:r>
      <w:r w:rsidRPr="00084C6B">
        <w:rPr>
          <w:rFonts w:ascii="Times New Roman" w:hAnsi="Times New Roman" w:cs="Times New Roman"/>
          <w:sz w:val="24"/>
          <w:szCs w:val="24"/>
        </w:rPr>
        <w:t>0,25</w:t>
      </w:r>
      <w:r w:rsidRPr="005A6F5E">
        <w:rPr>
          <w:rFonts w:ascii="Times New Roman" w:hAnsi="Times New Roman" w:cs="Times New Roman"/>
          <w:sz w:val="24"/>
          <w:szCs w:val="24"/>
        </w:rPr>
        <w:t xml:space="preserve">, CIFM= </w:t>
      </w:r>
      <w:r w:rsidRPr="00084C6B">
        <w:rPr>
          <w:rFonts w:ascii="Times New Roman" w:hAnsi="Times New Roman" w:cs="Times New Roman"/>
          <w:sz w:val="24"/>
          <w:szCs w:val="24"/>
        </w:rPr>
        <w:t>0,21</w:t>
      </w:r>
      <w:r w:rsidRPr="005A6F5E">
        <w:rPr>
          <w:rFonts w:ascii="Times New Roman" w:hAnsi="Times New Roman" w:cs="Times New Roman"/>
          <w:sz w:val="24"/>
          <w:szCs w:val="24"/>
        </w:rPr>
        <w:t xml:space="preserve">, CIFT= </w:t>
      </w:r>
      <w:r w:rsidRPr="00084C6B">
        <w:rPr>
          <w:rFonts w:ascii="Times New Roman" w:hAnsi="Times New Roman" w:cs="Times New Roman"/>
          <w:sz w:val="24"/>
          <w:szCs w:val="24"/>
        </w:rPr>
        <w:t xml:space="preserve">0.23 </w:t>
      </w:r>
      <w:r w:rsidRPr="002A50D4">
        <w:rPr>
          <w:rFonts w:ascii="Times New Roman" w:hAnsi="Times New Roman" w:cs="Times New Roman"/>
          <w:sz w:val="24"/>
          <w:szCs w:val="24"/>
        </w:rPr>
        <w:t>con buenos resultados</w:t>
      </w:r>
      <w:r>
        <w:rPr>
          <w:rFonts w:ascii="Times New Roman" w:hAnsi="Times New Roman" w:cs="Times New Roman"/>
          <w:sz w:val="24"/>
          <w:szCs w:val="24"/>
        </w:rPr>
        <w:t xml:space="preserve"> en la caracterización de carga contaminante en una región colombiana.</w:t>
      </w:r>
    </w:p>
    <w:p w14:paraId="53660803" w14:textId="77777777" w:rsidR="009C2F29" w:rsidRDefault="009C2F29" w:rsidP="004523DC">
      <w:pPr>
        <w:spacing w:after="0" w:line="360" w:lineRule="auto"/>
        <w:jc w:val="both"/>
        <w:rPr>
          <w:rFonts w:ascii="Times New Roman" w:hAnsi="Times New Roman" w:cs="Times New Roman"/>
          <w:sz w:val="24"/>
          <w:szCs w:val="24"/>
        </w:rPr>
      </w:pPr>
    </w:p>
    <w:p w14:paraId="6FE0EB7D" w14:textId="77777777"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14:paraId="0E00DE2B" w14:textId="4C2ED1A7" w:rsidR="00900DB1" w:rsidRPr="005A25B7" w:rsidRDefault="00900DB1" w:rsidP="00900DB1">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5A25B7">
        <w:rPr>
          <w:rFonts w:ascii="Times New Roman" w:hAnsi="Times New Roman" w:cs="Times New Roman"/>
          <w:sz w:val="24"/>
          <w:szCs w:val="24"/>
        </w:rPr>
        <w:t xml:space="preserve">l proceso de representación cartográfica se </w:t>
      </w:r>
      <w:r>
        <w:rPr>
          <w:rFonts w:ascii="Times New Roman" w:hAnsi="Times New Roman" w:cs="Times New Roman"/>
          <w:sz w:val="24"/>
          <w:szCs w:val="24"/>
        </w:rPr>
        <w:t>inicia</w:t>
      </w:r>
      <w:r w:rsidRPr="005A25B7">
        <w:rPr>
          <w:rFonts w:ascii="Times New Roman" w:hAnsi="Times New Roman" w:cs="Times New Roman"/>
          <w:sz w:val="24"/>
          <w:szCs w:val="24"/>
        </w:rPr>
        <w:t xml:space="preserve"> representando la red hidrográfica, los principales asentamientos poblacionales y los pozos de control utilizados en la Red CAL en la provincia de Villa Clara para verificar la cercanía e influencia de las zonas pobladas a las fuentes de abasto por medio de aguas subterráneas (ver Figura </w:t>
      </w:r>
      <w:r>
        <w:rPr>
          <w:rFonts w:ascii="Times New Roman" w:hAnsi="Times New Roman" w:cs="Times New Roman"/>
          <w:sz w:val="24"/>
          <w:szCs w:val="24"/>
        </w:rPr>
        <w:t>1</w:t>
      </w:r>
      <w:r w:rsidRPr="005A25B7">
        <w:rPr>
          <w:rFonts w:ascii="Times New Roman" w:hAnsi="Times New Roman" w:cs="Times New Roman"/>
          <w:sz w:val="24"/>
          <w:szCs w:val="24"/>
        </w:rPr>
        <w:t>).</w:t>
      </w:r>
    </w:p>
    <w:p w14:paraId="5257BDD5" w14:textId="77777777" w:rsidR="00900DB1" w:rsidRPr="005A25B7" w:rsidRDefault="00900DB1" w:rsidP="00900DB1">
      <w:pPr>
        <w:spacing w:line="360" w:lineRule="auto"/>
        <w:jc w:val="both"/>
        <w:rPr>
          <w:rFonts w:ascii="Times New Roman" w:hAnsi="Times New Roman" w:cs="Times New Roman"/>
          <w:sz w:val="24"/>
          <w:szCs w:val="24"/>
        </w:rPr>
      </w:pPr>
    </w:p>
    <w:p w14:paraId="0B1A86A6" w14:textId="77777777" w:rsidR="00900DB1" w:rsidRPr="00237532" w:rsidRDefault="00900DB1" w:rsidP="00900DB1">
      <w:pPr>
        <w:jc w:val="both"/>
        <w:rPr>
          <w:rFonts w:ascii="Arial" w:eastAsia="MS Mincho" w:hAnsi="Arial" w:cs="Arial"/>
          <w:bCs/>
          <w:sz w:val="24"/>
          <w:szCs w:val="24"/>
          <w:lang w:eastAsia="es-ES"/>
        </w:rPr>
      </w:pPr>
      <w:r w:rsidRPr="00237532">
        <w:rPr>
          <w:rFonts w:ascii="Arial" w:eastAsia="MS Mincho" w:hAnsi="Arial" w:cs="Arial"/>
          <w:bCs/>
          <w:noProof/>
          <w:sz w:val="24"/>
          <w:szCs w:val="24"/>
          <w:lang w:eastAsia="es-ES"/>
        </w:rPr>
        <w:lastRenderedPageBreak/>
        <w:drawing>
          <wp:inline distT="0" distB="0" distL="0" distR="0" wp14:anchorId="68891904" wp14:editId="6DCB73D6">
            <wp:extent cx="5400040" cy="5666591"/>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5666591"/>
                    </a:xfrm>
                    <a:prstGeom prst="rect">
                      <a:avLst/>
                    </a:prstGeom>
                    <a:noFill/>
                    <a:ln>
                      <a:noFill/>
                    </a:ln>
                  </pic:spPr>
                </pic:pic>
              </a:graphicData>
            </a:graphic>
          </wp:inline>
        </w:drawing>
      </w:r>
    </w:p>
    <w:p w14:paraId="13AC41DC" w14:textId="73FCC989" w:rsidR="00900DB1" w:rsidRPr="005A25B7" w:rsidRDefault="00900DB1" w:rsidP="00900DB1">
      <w:pPr>
        <w:jc w:val="center"/>
        <w:rPr>
          <w:rFonts w:ascii="Times New Roman" w:hAnsi="Times New Roman" w:cs="Times New Roman"/>
          <w:bCs/>
          <w:sz w:val="20"/>
          <w:szCs w:val="20"/>
        </w:rPr>
      </w:pPr>
      <w:r w:rsidRPr="005A25B7">
        <w:rPr>
          <w:rFonts w:ascii="Times New Roman" w:hAnsi="Times New Roman" w:cs="Times New Roman"/>
          <w:bCs/>
          <w:sz w:val="20"/>
          <w:szCs w:val="20"/>
        </w:rPr>
        <w:t xml:space="preserve">Figura </w:t>
      </w:r>
      <w:r>
        <w:rPr>
          <w:rFonts w:ascii="Times New Roman" w:hAnsi="Times New Roman" w:cs="Times New Roman"/>
          <w:bCs/>
          <w:sz w:val="20"/>
          <w:szCs w:val="20"/>
        </w:rPr>
        <w:t>1</w:t>
      </w:r>
      <w:r w:rsidRPr="005A25B7">
        <w:rPr>
          <w:rFonts w:ascii="Times New Roman" w:hAnsi="Times New Roman" w:cs="Times New Roman"/>
          <w:bCs/>
          <w:sz w:val="20"/>
          <w:szCs w:val="20"/>
        </w:rPr>
        <w:t>. Mapa temático de los asentamientos poblacionales, principales embalses y ríos, además de los pozos de la Red CAL.</w:t>
      </w:r>
      <w:r w:rsidR="00152E93">
        <w:rPr>
          <w:rFonts w:ascii="Times New Roman" w:hAnsi="Times New Roman" w:cs="Times New Roman"/>
          <w:bCs/>
          <w:sz w:val="20"/>
          <w:szCs w:val="20"/>
        </w:rPr>
        <w:t xml:space="preserve"> Fuente: </w:t>
      </w:r>
      <w:sdt>
        <w:sdtPr>
          <w:rPr>
            <w:rFonts w:ascii="Times New Roman" w:hAnsi="Times New Roman" w:cs="Times New Roman"/>
            <w:bCs/>
            <w:sz w:val="20"/>
            <w:szCs w:val="20"/>
          </w:rPr>
          <w:id w:val="585806271"/>
          <w:citation/>
        </w:sdtPr>
        <w:sdtEndPr/>
        <w:sdtContent>
          <w:r w:rsidR="00152E93">
            <w:rPr>
              <w:rFonts w:ascii="Times New Roman" w:hAnsi="Times New Roman" w:cs="Times New Roman"/>
              <w:bCs/>
              <w:sz w:val="20"/>
              <w:szCs w:val="20"/>
            </w:rPr>
            <w:fldChar w:fldCharType="begin"/>
          </w:r>
          <w:r w:rsidR="00152E93">
            <w:rPr>
              <w:rFonts w:ascii="Times New Roman" w:hAnsi="Times New Roman" w:cs="Times New Roman"/>
              <w:bCs/>
              <w:sz w:val="20"/>
              <w:szCs w:val="20"/>
            </w:rPr>
            <w:instrText xml:space="preserve"> CITATION Các19 \l 3082 </w:instrText>
          </w:r>
          <w:r w:rsidR="00152E93">
            <w:rPr>
              <w:rFonts w:ascii="Times New Roman" w:hAnsi="Times New Roman" w:cs="Times New Roman"/>
              <w:bCs/>
              <w:sz w:val="20"/>
              <w:szCs w:val="20"/>
            </w:rPr>
            <w:fldChar w:fldCharType="separate"/>
          </w:r>
          <w:r w:rsidR="00C02F6C" w:rsidRPr="00C02F6C">
            <w:rPr>
              <w:rFonts w:ascii="Times New Roman" w:hAnsi="Times New Roman" w:cs="Times New Roman"/>
              <w:noProof/>
              <w:sz w:val="20"/>
              <w:szCs w:val="20"/>
            </w:rPr>
            <w:t>(Cáceres Barceló, 2019)</w:t>
          </w:r>
          <w:r w:rsidR="00152E93">
            <w:rPr>
              <w:rFonts w:ascii="Times New Roman" w:hAnsi="Times New Roman" w:cs="Times New Roman"/>
              <w:bCs/>
              <w:sz w:val="20"/>
              <w:szCs w:val="20"/>
            </w:rPr>
            <w:fldChar w:fldCharType="end"/>
          </w:r>
        </w:sdtContent>
      </w:sdt>
      <w:r w:rsidR="00152E93">
        <w:rPr>
          <w:rFonts w:ascii="Times New Roman" w:hAnsi="Times New Roman" w:cs="Times New Roman"/>
          <w:bCs/>
          <w:sz w:val="20"/>
          <w:szCs w:val="20"/>
        </w:rPr>
        <w:t>.</w:t>
      </w:r>
    </w:p>
    <w:p w14:paraId="52674733" w14:textId="77777777" w:rsidR="00900DB1" w:rsidRPr="00237532" w:rsidRDefault="00900DB1" w:rsidP="00900DB1">
      <w:pPr>
        <w:jc w:val="both"/>
        <w:rPr>
          <w:rFonts w:ascii="Arial" w:hAnsi="Arial" w:cs="Arial"/>
          <w:b/>
          <w:bCs/>
          <w:sz w:val="24"/>
          <w:szCs w:val="24"/>
        </w:rPr>
      </w:pPr>
    </w:p>
    <w:p w14:paraId="5F2344CB" w14:textId="77777777" w:rsidR="00900DB1" w:rsidRPr="005A25B7" w:rsidRDefault="00900DB1" w:rsidP="00900DB1">
      <w:pPr>
        <w:spacing w:line="360" w:lineRule="auto"/>
        <w:jc w:val="both"/>
        <w:rPr>
          <w:rFonts w:ascii="Times New Roman" w:hAnsi="Times New Roman" w:cs="Times New Roman"/>
          <w:sz w:val="24"/>
          <w:szCs w:val="24"/>
        </w:rPr>
      </w:pPr>
      <w:r>
        <w:rPr>
          <w:rFonts w:ascii="Times New Roman" w:hAnsi="Times New Roman" w:cs="Times New Roman"/>
          <w:sz w:val="24"/>
          <w:szCs w:val="24"/>
        </w:rPr>
        <w:t>Luego se representa</w:t>
      </w:r>
      <w:r w:rsidRPr="005A25B7">
        <w:rPr>
          <w:rFonts w:ascii="Times New Roman" w:hAnsi="Times New Roman" w:cs="Times New Roman"/>
          <w:sz w:val="24"/>
          <w:szCs w:val="24"/>
        </w:rPr>
        <w:t xml:space="preserve"> la ubicación de los principales acuíferos ubicados en la provincia de Villa Clara (ver figura </w:t>
      </w:r>
      <w:r>
        <w:rPr>
          <w:rFonts w:ascii="Times New Roman" w:hAnsi="Times New Roman" w:cs="Times New Roman"/>
          <w:sz w:val="24"/>
          <w:szCs w:val="24"/>
        </w:rPr>
        <w:t>2</w:t>
      </w:r>
      <w:r w:rsidRPr="005A25B7">
        <w:rPr>
          <w:rFonts w:ascii="Times New Roman" w:hAnsi="Times New Roman" w:cs="Times New Roman"/>
          <w:sz w:val="24"/>
          <w:szCs w:val="24"/>
        </w:rPr>
        <w:t>).</w:t>
      </w:r>
    </w:p>
    <w:p w14:paraId="671314B5" w14:textId="77777777" w:rsidR="00900DB1" w:rsidRPr="00237532" w:rsidRDefault="00900DB1" w:rsidP="00900DB1">
      <w:pPr>
        <w:jc w:val="both"/>
        <w:rPr>
          <w:rFonts w:ascii="Arial" w:hAnsi="Arial" w:cs="Arial"/>
          <w:sz w:val="24"/>
          <w:szCs w:val="24"/>
        </w:rPr>
      </w:pPr>
    </w:p>
    <w:p w14:paraId="620E5259" w14:textId="77777777" w:rsidR="00900DB1" w:rsidRPr="00237532" w:rsidRDefault="00900DB1" w:rsidP="00900DB1">
      <w:pPr>
        <w:jc w:val="both"/>
        <w:rPr>
          <w:rFonts w:ascii="Arial" w:hAnsi="Arial" w:cs="Arial"/>
          <w:sz w:val="24"/>
          <w:szCs w:val="24"/>
        </w:rPr>
      </w:pPr>
      <w:r w:rsidRPr="00237532">
        <w:rPr>
          <w:rFonts w:ascii="Arial" w:eastAsia="MS Mincho" w:hAnsi="Arial" w:cs="Arial"/>
          <w:bCs/>
          <w:noProof/>
          <w:sz w:val="24"/>
          <w:szCs w:val="24"/>
          <w:lang w:eastAsia="es-ES"/>
        </w:rPr>
        <w:lastRenderedPageBreak/>
        <w:drawing>
          <wp:inline distT="0" distB="0" distL="0" distR="0" wp14:anchorId="608272C7" wp14:editId="077A2B6A">
            <wp:extent cx="5135270" cy="661588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6999" cy="6618108"/>
                    </a:xfrm>
                    <a:prstGeom prst="rect">
                      <a:avLst/>
                    </a:prstGeom>
                    <a:noFill/>
                    <a:ln>
                      <a:noFill/>
                    </a:ln>
                  </pic:spPr>
                </pic:pic>
              </a:graphicData>
            </a:graphic>
          </wp:inline>
        </w:drawing>
      </w:r>
    </w:p>
    <w:p w14:paraId="5A79FE11" w14:textId="16AC72E0" w:rsidR="00900DB1" w:rsidRPr="00267C03" w:rsidRDefault="00900DB1" w:rsidP="00900DB1">
      <w:pPr>
        <w:jc w:val="center"/>
        <w:rPr>
          <w:rFonts w:ascii="Times New Roman" w:hAnsi="Times New Roman" w:cs="Times New Roman"/>
          <w:bCs/>
          <w:sz w:val="20"/>
          <w:szCs w:val="20"/>
        </w:rPr>
      </w:pPr>
      <w:r w:rsidRPr="00267C03">
        <w:rPr>
          <w:rFonts w:ascii="Times New Roman" w:hAnsi="Times New Roman" w:cs="Times New Roman"/>
          <w:bCs/>
          <w:sz w:val="20"/>
          <w:szCs w:val="20"/>
        </w:rPr>
        <w:t xml:space="preserve">Figura </w:t>
      </w:r>
      <w:r>
        <w:rPr>
          <w:rFonts w:ascii="Times New Roman" w:hAnsi="Times New Roman" w:cs="Times New Roman"/>
          <w:bCs/>
          <w:sz w:val="20"/>
          <w:szCs w:val="20"/>
        </w:rPr>
        <w:t>2</w:t>
      </w:r>
      <w:r w:rsidRPr="00267C03">
        <w:rPr>
          <w:rFonts w:ascii="Times New Roman" w:hAnsi="Times New Roman" w:cs="Times New Roman"/>
          <w:bCs/>
          <w:sz w:val="20"/>
          <w:szCs w:val="20"/>
        </w:rPr>
        <w:t>. Mapa temático de los límites de los principales acuíferos pertenecientes a las cuencas hidrográficas de la provincia de Villa Clara.</w:t>
      </w:r>
      <w:r w:rsidR="00F36E31">
        <w:rPr>
          <w:rFonts w:ascii="Times New Roman" w:hAnsi="Times New Roman" w:cs="Times New Roman"/>
          <w:bCs/>
          <w:sz w:val="20"/>
          <w:szCs w:val="20"/>
        </w:rPr>
        <w:t xml:space="preserve"> Fuente: </w:t>
      </w:r>
      <w:sdt>
        <w:sdtPr>
          <w:rPr>
            <w:rFonts w:ascii="Times New Roman" w:hAnsi="Times New Roman" w:cs="Times New Roman"/>
            <w:bCs/>
            <w:sz w:val="20"/>
            <w:szCs w:val="20"/>
          </w:rPr>
          <w:id w:val="2086107204"/>
          <w:citation/>
        </w:sdtPr>
        <w:sdtEndPr/>
        <w:sdtContent>
          <w:r w:rsidR="00F36E31">
            <w:rPr>
              <w:rFonts w:ascii="Times New Roman" w:hAnsi="Times New Roman" w:cs="Times New Roman"/>
              <w:bCs/>
              <w:sz w:val="20"/>
              <w:szCs w:val="20"/>
            </w:rPr>
            <w:fldChar w:fldCharType="begin"/>
          </w:r>
          <w:r w:rsidR="00F36E31">
            <w:rPr>
              <w:rFonts w:ascii="Times New Roman" w:hAnsi="Times New Roman" w:cs="Times New Roman"/>
              <w:bCs/>
              <w:sz w:val="20"/>
              <w:szCs w:val="20"/>
            </w:rPr>
            <w:instrText xml:space="preserve"> CITATION Các19 \l 3082 </w:instrText>
          </w:r>
          <w:r w:rsidR="00F36E31">
            <w:rPr>
              <w:rFonts w:ascii="Times New Roman" w:hAnsi="Times New Roman" w:cs="Times New Roman"/>
              <w:bCs/>
              <w:sz w:val="20"/>
              <w:szCs w:val="20"/>
            </w:rPr>
            <w:fldChar w:fldCharType="separate"/>
          </w:r>
          <w:r w:rsidR="00C02F6C" w:rsidRPr="00C02F6C">
            <w:rPr>
              <w:rFonts w:ascii="Times New Roman" w:hAnsi="Times New Roman" w:cs="Times New Roman"/>
              <w:noProof/>
              <w:sz w:val="20"/>
              <w:szCs w:val="20"/>
            </w:rPr>
            <w:t>(Cáceres Barceló, 2019)</w:t>
          </w:r>
          <w:r w:rsidR="00F36E31">
            <w:rPr>
              <w:rFonts w:ascii="Times New Roman" w:hAnsi="Times New Roman" w:cs="Times New Roman"/>
              <w:bCs/>
              <w:sz w:val="20"/>
              <w:szCs w:val="20"/>
            </w:rPr>
            <w:fldChar w:fldCharType="end"/>
          </w:r>
        </w:sdtContent>
      </w:sdt>
      <w:r w:rsidR="00F36E31">
        <w:rPr>
          <w:rFonts w:ascii="Times New Roman" w:hAnsi="Times New Roman" w:cs="Times New Roman"/>
          <w:bCs/>
          <w:sz w:val="20"/>
          <w:szCs w:val="20"/>
        </w:rPr>
        <w:t>.</w:t>
      </w:r>
    </w:p>
    <w:p w14:paraId="1514B4EF" w14:textId="15D463B9" w:rsidR="00900DB1" w:rsidRDefault="00900DB1" w:rsidP="00900D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determinó la distribución de los coeficientes de importancia de los factores que se deben considerar en la región mediante el método del </w:t>
      </w:r>
      <w:proofErr w:type="spellStart"/>
      <w:r>
        <w:rPr>
          <w:rFonts w:ascii="Times New Roman" w:hAnsi="Times New Roman" w:cs="Times New Roman"/>
          <w:sz w:val="24"/>
          <w:szCs w:val="24"/>
        </w:rPr>
        <w:t>Scoring</w:t>
      </w:r>
      <w:proofErr w:type="spellEnd"/>
      <w:r w:rsidR="004C2DF0">
        <w:rPr>
          <w:rFonts w:ascii="Times New Roman" w:hAnsi="Times New Roman" w:cs="Times New Roman"/>
          <w:sz w:val="24"/>
          <w:szCs w:val="24"/>
        </w:rPr>
        <w:t xml:space="preserve"> (explicado en </w:t>
      </w:r>
      <w:sdt>
        <w:sdtPr>
          <w:rPr>
            <w:rFonts w:ascii="Times New Roman" w:hAnsi="Times New Roman" w:cs="Times New Roman"/>
            <w:sz w:val="24"/>
            <w:szCs w:val="24"/>
          </w:rPr>
          <w:id w:val="-1201016356"/>
          <w:citation/>
        </w:sdtPr>
        <w:sdtEndPr/>
        <w:sdtContent>
          <w:r w:rsidR="004C2DF0">
            <w:rPr>
              <w:rFonts w:ascii="Times New Roman" w:hAnsi="Times New Roman" w:cs="Times New Roman"/>
              <w:sz w:val="24"/>
              <w:szCs w:val="24"/>
            </w:rPr>
            <w:fldChar w:fldCharType="begin"/>
          </w:r>
          <w:r w:rsidR="004C2DF0">
            <w:rPr>
              <w:rFonts w:ascii="Times New Roman" w:hAnsi="Times New Roman" w:cs="Times New Roman"/>
              <w:sz w:val="24"/>
              <w:szCs w:val="24"/>
            </w:rPr>
            <w:instrText xml:space="preserve"> CITATION Roc05 \l 3082 </w:instrText>
          </w:r>
          <w:r w:rsidR="004C2DF0">
            <w:rPr>
              <w:rFonts w:ascii="Times New Roman" w:hAnsi="Times New Roman" w:cs="Times New Roman"/>
              <w:sz w:val="24"/>
              <w:szCs w:val="24"/>
            </w:rPr>
            <w:fldChar w:fldCharType="separate"/>
          </w:r>
          <w:r w:rsidR="00C02F6C" w:rsidRPr="00C02F6C">
            <w:rPr>
              <w:rFonts w:ascii="Times New Roman" w:hAnsi="Times New Roman" w:cs="Times New Roman"/>
              <w:noProof/>
              <w:sz w:val="24"/>
              <w:szCs w:val="24"/>
            </w:rPr>
            <w:t>(Roche &amp; Viejo, 2005)</w:t>
          </w:r>
          <w:r w:rsidR="004C2DF0">
            <w:rPr>
              <w:rFonts w:ascii="Times New Roman" w:hAnsi="Times New Roman" w:cs="Times New Roman"/>
              <w:sz w:val="24"/>
              <w:szCs w:val="24"/>
            </w:rPr>
            <w:fldChar w:fldCharType="end"/>
          </w:r>
        </w:sdtContent>
      </w:sdt>
      <w:r w:rsidR="004C2DF0">
        <w:rPr>
          <w:rFonts w:ascii="Times New Roman" w:hAnsi="Times New Roman" w:cs="Times New Roman"/>
          <w:sz w:val="24"/>
          <w:szCs w:val="24"/>
        </w:rPr>
        <w:t>)</w:t>
      </w:r>
      <w:r>
        <w:rPr>
          <w:rFonts w:ascii="Times New Roman" w:hAnsi="Times New Roman" w:cs="Times New Roman"/>
          <w:sz w:val="24"/>
          <w:szCs w:val="24"/>
        </w:rPr>
        <w:t xml:space="preserve"> de acuerdo con el procedimiento que se muestra a continuación.</w:t>
      </w:r>
    </w:p>
    <w:p w14:paraId="566DF7BC" w14:textId="3CBEA9ED" w:rsidR="00900DB1" w:rsidRPr="005A6F5E" w:rsidRDefault="00900DB1" w:rsidP="00900DB1">
      <w:pPr>
        <w:spacing w:line="360" w:lineRule="auto"/>
        <w:jc w:val="both"/>
        <w:rPr>
          <w:rFonts w:ascii="Times New Roman" w:hAnsi="Times New Roman" w:cs="Times New Roman"/>
          <w:color w:val="00B050"/>
          <w:sz w:val="24"/>
          <w:szCs w:val="24"/>
        </w:rPr>
      </w:pPr>
      <w:r w:rsidRPr="005A6F5E">
        <w:rPr>
          <w:rFonts w:ascii="Times New Roman" w:hAnsi="Times New Roman" w:cs="Times New Roman"/>
          <w:sz w:val="24"/>
          <w:szCs w:val="24"/>
        </w:rPr>
        <w:lastRenderedPageBreak/>
        <w:t>Objetivo: Determinar el orden de asignación de los puntajes de los coeficientes CIFC, CIFI, CIFM, CIFT</w:t>
      </w:r>
    </w:p>
    <w:p w14:paraId="53C5C901" w14:textId="77777777" w:rsidR="00900DB1" w:rsidRPr="005A6F5E" w:rsidRDefault="00900DB1" w:rsidP="00900DB1">
      <w:pPr>
        <w:spacing w:line="360" w:lineRule="auto"/>
        <w:jc w:val="both"/>
        <w:rPr>
          <w:rFonts w:ascii="Times New Roman" w:hAnsi="Times New Roman" w:cs="Times New Roman"/>
          <w:sz w:val="24"/>
          <w:szCs w:val="24"/>
        </w:rPr>
      </w:pPr>
      <w:r w:rsidRPr="005A6F5E">
        <w:rPr>
          <w:rFonts w:ascii="Times New Roman" w:hAnsi="Times New Roman" w:cs="Times New Roman"/>
          <w:sz w:val="24"/>
          <w:szCs w:val="24"/>
        </w:rPr>
        <w:t xml:space="preserve">Alternativas: </w:t>
      </w:r>
      <w:r>
        <w:rPr>
          <w:rFonts w:ascii="Times New Roman" w:hAnsi="Times New Roman" w:cs="Times New Roman"/>
          <w:sz w:val="24"/>
          <w:szCs w:val="24"/>
        </w:rPr>
        <w:t xml:space="preserve">clase de contaminante, el modo de disposición, la intensidad y la duración. </w:t>
      </w:r>
    </w:p>
    <w:p w14:paraId="65BCFFCE" w14:textId="77777777" w:rsidR="00900DB1" w:rsidRPr="005A6F5E" w:rsidRDefault="00900DB1" w:rsidP="00900DB1">
      <w:pPr>
        <w:spacing w:line="360" w:lineRule="auto"/>
        <w:jc w:val="both"/>
        <w:rPr>
          <w:rFonts w:ascii="Times New Roman" w:hAnsi="Times New Roman" w:cs="Times New Roman"/>
          <w:sz w:val="24"/>
          <w:szCs w:val="24"/>
        </w:rPr>
      </w:pPr>
      <w:r w:rsidRPr="005A6F5E">
        <w:rPr>
          <w:rFonts w:ascii="Times New Roman" w:hAnsi="Times New Roman" w:cs="Times New Roman"/>
          <w:sz w:val="24"/>
          <w:szCs w:val="24"/>
        </w:rPr>
        <w:t xml:space="preserve">Criterios: Complejidad de obtención, Datos en el terreno, Cálculos a realizar, </w:t>
      </w:r>
      <w:r>
        <w:rPr>
          <w:rFonts w:ascii="Times New Roman" w:hAnsi="Times New Roman" w:cs="Times New Roman"/>
          <w:sz w:val="24"/>
          <w:szCs w:val="24"/>
        </w:rPr>
        <w:t>Experiencia ingenieril.</w:t>
      </w:r>
    </w:p>
    <w:p w14:paraId="1EAE76E0" w14:textId="77777777" w:rsidR="00900DB1" w:rsidRPr="00044CA9" w:rsidRDefault="00900DB1" w:rsidP="00900DB1">
      <w:pPr>
        <w:pStyle w:val="Caption"/>
        <w:spacing w:line="360" w:lineRule="auto"/>
        <w:rPr>
          <w:i w:val="0"/>
          <w:color w:val="auto"/>
          <w:sz w:val="20"/>
          <w:szCs w:val="20"/>
        </w:rPr>
      </w:pPr>
      <w:r w:rsidRPr="00044CA9">
        <w:rPr>
          <w:i w:val="0"/>
          <w:color w:val="auto"/>
          <w:sz w:val="20"/>
          <w:szCs w:val="20"/>
        </w:rPr>
        <w:t>Tabla 1: Asignación de una ponderación para cada criterio mediante el empleo de una escala de 5 puntos</w:t>
      </w:r>
    </w:p>
    <w:tbl>
      <w:tblPr>
        <w:tblW w:w="4824" w:type="dxa"/>
        <w:jc w:val="center"/>
        <w:tblCellMar>
          <w:left w:w="70" w:type="dxa"/>
          <w:right w:w="70" w:type="dxa"/>
        </w:tblCellMar>
        <w:tblLook w:val="04A0" w:firstRow="1" w:lastRow="0" w:firstColumn="1" w:lastColumn="0" w:noHBand="0" w:noVBand="1"/>
      </w:tblPr>
      <w:tblGrid>
        <w:gridCol w:w="260"/>
        <w:gridCol w:w="2725"/>
        <w:gridCol w:w="1839"/>
      </w:tblGrid>
      <w:tr w:rsidR="00900DB1" w:rsidRPr="005A6F5E" w14:paraId="0000E796" w14:textId="77777777" w:rsidTr="006778DE">
        <w:trPr>
          <w:trHeight w:val="669"/>
          <w:jc w:val="center"/>
        </w:trPr>
        <w:tc>
          <w:tcPr>
            <w:tcW w:w="2985" w:type="dxa"/>
            <w:gridSpan w:val="2"/>
            <w:tcBorders>
              <w:top w:val="single" w:sz="4" w:space="0" w:color="auto"/>
              <w:left w:val="single" w:sz="4" w:space="0" w:color="auto"/>
              <w:bottom w:val="single" w:sz="4" w:space="0" w:color="auto"/>
              <w:right w:val="single" w:sz="4" w:space="0" w:color="000000"/>
            </w:tcBorders>
            <w:noWrap/>
            <w:vAlign w:val="bottom"/>
            <w:hideMark/>
          </w:tcPr>
          <w:p w14:paraId="26133E93" w14:textId="77777777" w:rsidR="00900DB1" w:rsidRPr="005A6F5E" w:rsidRDefault="00900DB1" w:rsidP="006778DE">
            <w:pPr>
              <w:spacing w:after="0" w:line="360" w:lineRule="auto"/>
              <w:jc w:val="center"/>
              <w:rPr>
                <w:rFonts w:ascii="Times New Roman" w:eastAsia="Times New Roman" w:hAnsi="Times New Roman" w:cs="Times New Roman"/>
                <w:sz w:val="24"/>
                <w:szCs w:val="24"/>
              </w:rPr>
            </w:pPr>
            <w:r w:rsidRPr="005A6F5E">
              <w:rPr>
                <w:rFonts w:ascii="Times New Roman" w:eastAsia="Times New Roman" w:hAnsi="Times New Roman" w:cs="Times New Roman"/>
                <w:sz w:val="24"/>
                <w:szCs w:val="24"/>
              </w:rPr>
              <w:t>Criterios</w:t>
            </w:r>
          </w:p>
        </w:tc>
        <w:tc>
          <w:tcPr>
            <w:tcW w:w="1839" w:type="dxa"/>
            <w:tcBorders>
              <w:top w:val="single" w:sz="4" w:space="0" w:color="auto"/>
              <w:left w:val="nil"/>
              <w:bottom w:val="single" w:sz="4" w:space="0" w:color="auto"/>
              <w:right w:val="single" w:sz="4" w:space="0" w:color="auto"/>
            </w:tcBorders>
            <w:noWrap/>
            <w:vAlign w:val="bottom"/>
            <w:hideMark/>
          </w:tcPr>
          <w:p w14:paraId="4B546704" w14:textId="77777777" w:rsidR="00900DB1" w:rsidRPr="005A6F5E" w:rsidRDefault="00900DB1" w:rsidP="006778DE">
            <w:pPr>
              <w:spacing w:after="0" w:line="360" w:lineRule="auto"/>
              <w:rPr>
                <w:rFonts w:ascii="Times New Roman" w:eastAsia="Times New Roman" w:hAnsi="Times New Roman" w:cs="Times New Roman"/>
                <w:sz w:val="24"/>
                <w:szCs w:val="24"/>
              </w:rPr>
            </w:pPr>
            <w:r w:rsidRPr="005A6F5E">
              <w:rPr>
                <w:rFonts w:ascii="Times New Roman" w:eastAsia="Times New Roman" w:hAnsi="Times New Roman" w:cs="Times New Roman"/>
                <w:sz w:val="24"/>
                <w:szCs w:val="24"/>
              </w:rPr>
              <w:t xml:space="preserve">Ponderación </w:t>
            </w:r>
            <w:proofErr w:type="spellStart"/>
            <w:r w:rsidRPr="005A6F5E">
              <w:rPr>
                <w:rFonts w:ascii="Times New Roman" w:eastAsia="Times New Roman" w:hAnsi="Times New Roman" w:cs="Times New Roman"/>
                <w:sz w:val="24"/>
                <w:szCs w:val="24"/>
              </w:rPr>
              <w:t>W</w:t>
            </w:r>
            <w:r w:rsidRPr="005A6F5E">
              <w:rPr>
                <w:rFonts w:ascii="Times New Roman" w:eastAsia="Times New Roman" w:hAnsi="Times New Roman" w:cs="Times New Roman"/>
                <w:sz w:val="24"/>
                <w:szCs w:val="24"/>
                <w:vertAlign w:val="subscript"/>
              </w:rPr>
              <w:t>i</w:t>
            </w:r>
            <w:proofErr w:type="spellEnd"/>
          </w:p>
        </w:tc>
      </w:tr>
      <w:tr w:rsidR="00900DB1" w:rsidRPr="005A6F5E" w14:paraId="295330E4" w14:textId="77777777" w:rsidTr="006778DE">
        <w:trPr>
          <w:trHeight w:val="334"/>
          <w:jc w:val="center"/>
        </w:trPr>
        <w:tc>
          <w:tcPr>
            <w:tcW w:w="260" w:type="dxa"/>
            <w:tcBorders>
              <w:top w:val="nil"/>
              <w:left w:val="single" w:sz="4" w:space="0" w:color="auto"/>
              <w:bottom w:val="single" w:sz="4" w:space="0" w:color="auto"/>
              <w:right w:val="single" w:sz="4" w:space="0" w:color="auto"/>
            </w:tcBorders>
            <w:noWrap/>
            <w:vAlign w:val="bottom"/>
            <w:hideMark/>
          </w:tcPr>
          <w:p w14:paraId="3DC124E2" w14:textId="77777777" w:rsidR="00900DB1" w:rsidRPr="005A6F5E" w:rsidRDefault="00900DB1" w:rsidP="006778DE">
            <w:pPr>
              <w:spacing w:after="0" w:line="360" w:lineRule="auto"/>
              <w:jc w:val="right"/>
              <w:rPr>
                <w:rFonts w:ascii="Times New Roman" w:eastAsia="Times New Roman" w:hAnsi="Times New Roman" w:cs="Times New Roman"/>
                <w:color w:val="000000"/>
                <w:sz w:val="24"/>
                <w:szCs w:val="24"/>
              </w:rPr>
            </w:pPr>
            <w:r w:rsidRPr="005A6F5E">
              <w:rPr>
                <w:rFonts w:ascii="Times New Roman" w:eastAsia="Times New Roman" w:hAnsi="Times New Roman" w:cs="Times New Roman"/>
                <w:color w:val="000000"/>
                <w:sz w:val="24"/>
                <w:szCs w:val="24"/>
              </w:rPr>
              <w:t>1</w:t>
            </w:r>
          </w:p>
        </w:tc>
        <w:tc>
          <w:tcPr>
            <w:tcW w:w="2725" w:type="dxa"/>
            <w:tcBorders>
              <w:top w:val="nil"/>
              <w:left w:val="nil"/>
              <w:bottom w:val="single" w:sz="4" w:space="0" w:color="auto"/>
              <w:right w:val="single" w:sz="4" w:space="0" w:color="auto"/>
            </w:tcBorders>
            <w:noWrap/>
            <w:vAlign w:val="bottom"/>
            <w:hideMark/>
          </w:tcPr>
          <w:p w14:paraId="35B0BF35" w14:textId="77777777" w:rsidR="00900DB1" w:rsidRPr="005A6F5E" w:rsidRDefault="00900DB1" w:rsidP="006778DE">
            <w:pPr>
              <w:spacing w:after="0" w:line="360" w:lineRule="auto"/>
              <w:rPr>
                <w:rFonts w:ascii="Times New Roman" w:eastAsia="Times New Roman" w:hAnsi="Times New Roman" w:cs="Times New Roman"/>
                <w:sz w:val="24"/>
                <w:szCs w:val="24"/>
              </w:rPr>
            </w:pPr>
            <w:r w:rsidRPr="005A6F5E">
              <w:rPr>
                <w:rFonts w:ascii="Times New Roman" w:eastAsia="Times New Roman" w:hAnsi="Times New Roman" w:cs="Times New Roman"/>
                <w:sz w:val="24"/>
                <w:szCs w:val="24"/>
              </w:rPr>
              <w:t xml:space="preserve">Complejidad de obtención </w:t>
            </w:r>
          </w:p>
        </w:tc>
        <w:tc>
          <w:tcPr>
            <w:tcW w:w="1839" w:type="dxa"/>
            <w:tcBorders>
              <w:top w:val="nil"/>
              <w:left w:val="nil"/>
              <w:bottom w:val="single" w:sz="4" w:space="0" w:color="auto"/>
              <w:right w:val="single" w:sz="4" w:space="0" w:color="auto"/>
            </w:tcBorders>
            <w:noWrap/>
            <w:vAlign w:val="bottom"/>
            <w:hideMark/>
          </w:tcPr>
          <w:p w14:paraId="58A411FE" w14:textId="77777777" w:rsidR="00900DB1" w:rsidRPr="005A6F5E" w:rsidRDefault="00900DB1" w:rsidP="006778DE">
            <w:pPr>
              <w:spacing w:after="0" w:line="360" w:lineRule="auto"/>
              <w:jc w:val="center"/>
              <w:rPr>
                <w:rFonts w:ascii="Times New Roman" w:eastAsia="Times New Roman" w:hAnsi="Times New Roman" w:cs="Times New Roman"/>
                <w:sz w:val="24"/>
                <w:szCs w:val="24"/>
              </w:rPr>
            </w:pPr>
            <w:r w:rsidRPr="005A6F5E">
              <w:rPr>
                <w:rFonts w:ascii="Times New Roman" w:eastAsia="Times New Roman" w:hAnsi="Times New Roman" w:cs="Times New Roman"/>
                <w:sz w:val="24"/>
                <w:szCs w:val="24"/>
              </w:rPr>
              <w:t>3</w:t>
            </w:r>
          </w:p>
        </w:tc>
      </w:tr>
      <w:tr w:rsidR="00900DB1" w:rsidRPr="005A6F5E" w14:paraId="5DBB1F2D" w14:textId="77777777" w:rsidTr="006778DE">
        <w:trPr>
          <w:trHeight w:val="300"/>
          <w:jc w:val="center"/>
        </w:trPr>
        <w:tc>
          <w:tcPr>
            <w:tcW w:w="260" w:type="dxa"/>
            <w:tcBorders>
              <w:top w:val="nil"/>
              <w:left w:val="single" w:sz="4" w:space="0" w:color="auto"/>
              <w:bottom w:val="single" w:sz="4" w:space="0" w:color="auto"/>
              <w:right w:val="single" w:sz="4" w:space="0" w:color="auto"/>
            </w:tcBorders>
            <w:noWrap/>
            <w:vAlign w:val="bottom"/>
            <w:hideMark/>
          </w:tcPr>
          <w:p w14:paraId="778758B7" w14:textId="77777777" w:rsidR="00900DB1" w:rsidRPr="005A6F5E" w:rsidRDefault="00900DB1" w:rsidP="006778DE">
            <w:pPr>
              <w:spacing w:after="0" w:line="360" w:lineRule="auto"/>
              <w:jc w:val="right"/>
              <w:rPr>
                <w:rFonts w:ascii="Times New Roman" w:eastAsia="Times New Roman" w:hAnsi="Times New Roman" w:cs="Times New Roman"/>
                <w:color w:val="000000"/>
                <w:sz w:val="24"/>
                <w:szCs w:val="24"/>
              </w:rPr>
            </w:pPr>
            <w:r w:rsidRPr="005A6F5E">
              <w:rPr>
                <w:rFonts w:ascii="Times New Roman" w:eastAsia="Times New Roman" w:hAnsi="Times New Roman" w:cs="Times New Roman"/>
                <w:color w:val="000000"/>
                <w:sz w:val="24"/>
                <w:szCs w:val="24"/>
              </w:rPr>
              <w:t>2</w:t>
            </w:r>
          </w:p>
        </w:tc>
        <w:tc>
          <w:tcPr>
            <w:tcW w:w="2725" w:type="dxa"/>
            <w:tcBorders>
              <w:top w:val="nil"/>
              <w:left w:val="nil"/>
              <w:bottom w:val="single" w:sz="4" w:space="0" w:color="auto"/>
              <w:right w:val="single" w:sz="4" w:space="0" w:color="auto"/>
            </w:tcBorders>
            <w:noWrap/>
            <w:vAlign w:val="bottom"/>
            <w:hideMark/>
          </w:tcPr>
          <w:p w14:paraId="1E636609" w14:textId="77777777" w:rsidR="00900DB1" w:rsidRPr="005A6F5E" w:rsidRDefault="00900DB1" w:rsidP="006778DE">
            <w:pPr>
              <w:spacing w:after="0" w:line="360" w:lineRule="auto"/>
              <w:rPr>
                <w:rFonts w:ascii="Times New Roman" w:eastAsia="Times New Roman" w:hAnsi="Times New Roman" w:cs="Times New Roman"/>
                <w:sz w:val="24"/>
                <w:szCs w:val="24"/>
              </w:rPr>
            </w:pPr>
            <w:r w:rsidRPr="005A6F5E">
              <w:rPr>
                <w:rFonts w:ascii="Times New Roman" w:eastAsia="Times New Roman" w:hAnsi="Times New Roman" w:cs="Times New Roman"/>
                <w:sz w:val="24"/>
                <w:szCs w:val="24"/>
              </w:rPr>
              <w:t>Datos en el terreno</w:t>
            </w:r>
          </w:p>
        </w:tc>
        <w:tc>
          <w:tcPr>
            <w:tcW w:w="1839" w:type="dxa"/>
            <w:tcBorders>
              <w:top w:val="nil"/>
              <w:left w:val="nil"/>
              <w:bottom w:val="single" w:sz="4" w:space="0" w:color="auto"/>
              <w:right w:val="single" w:sz="4" w:space="0" w:color="auto"/>
            </w:tcBorders>
            <w:noWrap/>
            <w:vAlign w:val="bottom"/>
            <w:hideMark/>
          </w:tcPr>
          <w:p w14:paraId="664E1CFE" w14:textId="77777777" w:rsidR="00900DB1" w:rsidRPr="005A6F5E" w:rsidRDefault="00900DB1" w:rsidP="006778DE">
            <w:pPr>
              <w:spacing w:after="0" w:line="360" w:lineRule="auto"/>
              <w:jc w:val="center"/>
              <w:rPr>
                <w:rFonts w:ascii="Times New Roman" w:eastAsia="Times New Roman" w:hAnsi="Times New Roman" w:cs="Times New Roman"/>
                <w:sz w:val="24"/>
                <w:szCs w:val="24"/>
              </w:rPr>
            </w:pPr>
            <w:r w:rsidRPr="005A6F5E">
              <w:rPr>
                <w:rFonts w:ascii="Times New Roman" w:eastAsia="Times New Roman" w:hAnsi="Times New Roman" w:cs="Times New Roman"/>
                <w:sz w:val="24"/>
                <w:szCs w:val="24"/>
              </w:rPr>
              <w:t>4</w:t>
            </w:r>
          </w:p>
        </w:tc>
      </w:tr>
      <w:tr w:rsidR="00900DB1" w:rsidRPr="005A6F5E" w14:paraId="182292C4" w14:textId="77777777" w:rsidTr="006778DE">
        <w:trPr>
          <w:trHeight w:val="300"/>
          <w:jc w:val="center"/>
        </w:trPr>
        <w:tc>
          <w:tcPr>
            <w:tcW w:w="260" w:type="dxa"/>
            <w:tcBorders>
              <w:top w:val="nil"/>
              <w:left w:val="single" w:sz="4" w:space="0" w:color="auto"/>
              <w:bottom w:val="single" w:sz="4" w:space="0" w:color="auto"/>
              <w:right w:val="single" w:sz="4" w:space="0" w:color="auto"/>
            </w:tcBorders>
            <w:noWrap/>
            <w:vAlign w:val="bottom"/>
            <w:hideMark/>
          </w:tcPr>
          <w:p w14:paraId="6EA7F88E" w14:textId="77777777" w:rsidR="00900DB1" w:rsidRPr="005A6F5E" w:rsidRDefault="00900DB1" w:rsidP="006778DE">
            <w:pPr>
              <w:spacing w:after="0" w:line="360" w:lineRule="auto"/>
              <w:jc w:val="right"/>
              <w:rPr>
                <w:rFonts w:ascii="Times New Roman" w:eastAsia="Times New Roman" w:hAnsi="Times New Roman" w:cs="Times New Roman"/>
                <w:color w:val="000000"/>
                <w:sz w:val="24"/>
                <w:szCs w:val="24"/>
              </w:rPr>
            </w:pPr>
            <w:r w:rsidRPr="005A6F5E">
              <w:rPr>
                <w:rFonts w:ascii="Times New Roman" w:eastAsia="Times New Roman" w:hAnsi="Times New Roman" w:cs="Times New Roman"/>
                <w:color w:val="000000"/>
                <w:sz w:val="24"/>
                <w:szCs w:val="24"/>
              </w:rPr>
              <w:t>3</w:t>
            </w:r>
          </w:p>
        </w:tc>
        <w:tc>
          <w:tcPr>
            <w:tcW w:w="2725" w:type="dxa"/>
            <w:tcBorders>
              <w:top w:val="nil"/>
              <w:left w:val="nil"/>
              <w:bottom w:val="single" w:sz="4" w:space="0" w:color="auto"/>
              <w:right w:val="single" w:sz="4" w:space="0" w:color="auto"/>
            </w:tcBorders>
            <w:noWrap/>
            <w:vAlign w:val="bottom"/>
            <w:hideMark/>
          </w:tcPr>
          <w:p w14:paraId="3CF75F6A" w14:textId="77777777" w:rsidR="00900DB1" w:rsidRPr="005A6F5E" w:rsidRDefault="00900DB1" w:rsidP="006778DE">
            <w:pPr>
              <w:spacing w:after="0" w:line="360" w:lineRule="auto"/>
              <w:rPr>
                <w:rFonts w:ascii="Times New Roman" w:eastAsia="Times New Roman" w:hAnsi="Times New Roman" w:cs="Times New Roman"/>
                <w:sz w:val="24"/>
                <w:szCs w:val="24"/>
              </w:rPr>
            </w:pPr>
            <w:r w:rsidRPr="005A6F5E">
              <w:rPr>
                <w:rFonts w:ascii="Times New Roman" w:eastAsia="Times New Roman" w:hAnsi="Times New Roman" w:cs="Times New Roman"/>
                <w:sz w:val="24"/>
                <w:szCs w:val="24"/>
              </w:rPr>
              <w:t>Cálculos a realizar</w:t>
            </w:r>
          </w:p>
        </w:tc>
        <w:tc>
          <w:tcPr>
            <w:tcW w:w="1839" w:type="dxa"/>
            <w:tcBorders>
              <w:top w:val="nil"/>
              <w:left w:val="nil"/>
              <w:bottom w:val="single" w:sz="4" w:space="0" w:color="auto"/>
              <w:right w:val="single" w:sz="4" w:space="0" w:color="auto"/>
            </w:tcBorders>
            <w:noWrap/>
            <w:vAlign w:val="bottom"/>
            <w:hideMark/>
          </w:tcPr>
          <w:p w14:paraId="79143AD9" w14:textId="77777777" w:rsidR="00900DB1" w:rsidRPr="005A6F5E" w:rsidRDefault="00900DB1" w:rsidP="006778DE">
            <w:pPr>
              <w:spacing w:after="0" w:line="360" w:lineRule="auto"/>
              <w:jc w:val="center"/>
              <w:rPr>
                <w:rFonts w:ascii="Times New Roman" w:eastAsia="Times New Roman" w:hAnsi="Times New Roman" w:cs="Times New Roman"/>
                <w:sz w:val="24"/>
                <w:szCs w:val="24"/>
              </w:rPr>
            </w:pPr>
            <w:r w:rsidRPr="005A6F5E">
              <w:rPr>
                <w:rFonts w:ascii="Times New Roman" w:eastAsia="Times New Roman" w:hAnsi="Times New Roman" w:cs="Times New Roman"/>
                <w:sz w:val="24"/>
                <w:szCs w:val="24"/>
              </w:rPr>
              <w:t>3</w:t>
            </w:r>
          </w:p>
        </w:tc>
      </w:tr>
      <w:tr w:rsidR="00900DB1" w:rsidRPr="005A6F5E" w14:paraId="09BEF3EC" w14:textId="77777777" w:rsidTr="006778DE">
        <w:trPr>
          <w:trHeight w:val="300"/>
          <w:jc w:val="center"/>
        </w:trPr>
        <w:tc>
          <w:tcPr>
            <w:tcW w:w="260" w:type="dxa"/>
            <w:tcBorders>
              <w:top w:val="nil"/>
              <w:left w:val="single" w:sz="4" w:space="0" w:color="auto"/>
              <w:bottom w:val="single" w:sz="4" w:space="0" w:color="auto"/>
              <w:right w:val="single" w:sz="4" w:space="0" w:color="auto"/>
            </w:tcBorders>
            <w:noWrap/>
            <w:vAlign w:val="bottom"/>
            <w:hideMark/>
          </w:tcPr>
          <w:p w14:paraId="01652D78" w14:textId="77777777" w:rsidR="00900DB1" w:rsidRPr="005A6F5E" w:rsidRDefault="00900DB1" w:rsidP="006778DE">
            <w:pPr>
              <w:spacing w:after="0" w:line="360" w:lineRule="auto"/>
              <w:jc w:val="right"/>
              <w:rPr>
                <w:rFonts w:ascii="Times New Roman" w:eastAsia="Times New Roman" w:hAnsi="Times New Roman" w:cs="Times New Roman"/>
                <w:color w:val="000000"/>
                <w:sz w:val="24"/>
                <w:szCs w:val="24"/>
              </w:rPr>
            </w:pPr>
            <w:r w:rsidRPr="005A6F5E">
              <w:rPr>
                <w:rFonts w:ascii="Times New Roman" w:eastAsia="Times New Roman" w:hAnsi="Times New Roman" w:cs="Times New Roman"/>
                <w:color w:val="000000"/>
                <w:sz w:val="24"/>
                <w:szCs w:val="24"/>
              </w:rPr>
              <w:t>4</w:t>
            </w:r>
          </w:p>
        </w:tc>
        <w:tc>
          <w:tcPr>
            <w:tcW w:w="2725" w:type="dxa"/>
            <w:tcBorders>
              <w:top w:val="nil"/>
              <w:left w:val="nil"/>
              <w:bottom w:val="single" w:sz="4" w:space="0" w:color="auto"/>
              <w:right w:val="single" w:sz="4" w:space="0" w:color="auto"/>
            </w:tcBorders>
            <w:noWrap/>
            <w:vAlign w:val="bottom"/>
            <w:hideMark/>
          </w:tcPr>
          <w:p w14:paraId="218DF3EA" w14:textId="77777777" w:rsidR="00900DB1" w:rsidRPr="005A6F5E" w:rsidRDefault="00900DB1" w:rsidP="006778D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Experiencia ingenieril</w:t>
            </w:r>
          </w:p>
        </w:tc>
        <w:tc>
          <w:tcPr>
            <w:tcW w:w="1839" w:type="dxa"/>
            <w:tcBorders>
              <w:top w:val="nil"/>
              <w:left w:val="nil"/>
              <w:bottom w:val="single" w:sz="4" w:space="0" w:color="auto"/>
              <w:right w:val="single" w:sz="4" w:space="0" w:color="auto"/>
            </w:tcBorders>
            <w:noWrap/>
            <w:vAlign w:val="bottom"/>
            <w:hideMark/>
          </w:tcPr>
          <w:p w14:paraId="5DD32F00" w14:textId="77777777" w:rsidR="00900DB1" w:rsidRPr="005A6F5E" w:rsidRDefault="00900DB1" w:rsidP="006778DE">
            <w:pPr>
              <w:keepNext/>
              <w:spacing w:after="0" w:line="360" w:lineRule="auto"/>
              <w:jc w:val="center"/>
              <w:rPr>
                <w:rFonts w:ascii="Times New Roman" w:eastAsia="Times New Roman" w:hAnsi="Times New Roman" w:cs="Times New Roman"/>
                <w:sz w:val="24"/>
                <w:szCs w:val="24"/>
              </w:rPr>
            </w:pPr>
            <w:r w:rsidRPr="005A6F5E">
              <w:rPr>
                <w:rFonts w:ascii="Times New Roman" w:eastAsia="Times New Roman" w:hAnsi="Times New Roman" w:cs="Times New Roman"/>
                <w:sz w:val="24"/>
                <w:szCs w:val="24"/>
              </w:rPr>
              <w:t>2</w:t>
            </w:r>
          </w:p>
        </w:tc>
      </w:tr>
    </w:tbl>
    <w:p w14:paraId="7DA06984" w14:textId="77777777" w:rsidR="00900DB1" w:rsidRDefault="00900DB1" w:rsidP="00900DB1">
      <w:pPr>
        <w:pStyle w:val="Caption"/>
        <w:spacing w:line="360" w:lineRule="auto"/>
        <w:rPr>
          <w:i w:val="0"/>
          <w:sz w:val="20"/>
          <w:szCs w:val="20"/>
        </w:rPr>
      </w:pPr>
    </w:p>
    <w:p w14:paraId="0DFCE36B" w14:textId="437E579C" w:rsidR="00900DB1" w:rsidRPr="00044CA9" w:rsidRDefault="00900DB1" w:rsidP="00900DB1">
      <w:pPr>
        <w:pStyle w:val="Caption"/>
        <w:spacing w:line="360" w:lineRule="auto"/>
        <w:rPr>
          <w:i w:val="0"/>
          <w:color w:val="auto"/>
          <w:sz w:val="20"/>
          <w:szCs w:val="20"/>
        </w:rPr>
      </w:pPr>
      <w:r w:rsidRPr="00044CA9">
        <w:rPr>
          <w:i w:val="0"/>
          <w:color w:val="auto"/>
          <w:sz w:val="20"/>
          <w:szCs w:val="20"/>
        </w:rPr>
        <w:t>Tabla 2: Establecimiento del rating de satisfacción para cada alternativa empleando una escala de 9 puntos y cálculo de la ponderación para cada alternativa</w:t>
      </w:r>
    </w:p>
    <w:tbl>
      <w:tblPr>
        <w:tblW w:w="8000" w:type="dxa"/>
        <w:jc w:val="center"/>
        <w:tblCellMar>
          <w:left w:w="70" w:type="dxa"/>
          <w:right w:w="70" w:type="dxa"/>
        </w:tblCellMar>
        <w:tblLook w:val="04A0" w:firstRow="1" w:lastRow="0" w:firstColumn="1" w:lastColumn="0" w:noHBand="0" w:noVBand="1"/>
      </w:tblPr>
      <w:tblGrid>
        <w:gridCol w:w="260"/>
        <w:gridCol w:w="2578"/>
        <w:gridCol w:w="1642"/>
        <w:gridCol w:w="880"/>
        <w:gridCol w:w="880"/>
        <w:gridCol w:w="880"/>
        <w:gridCol w:w="880"/>
      </w:tblGrid>
      <w:tr w:rsidR="00900DB1" w:rsidRPr="005A6F5E" w14:paraId="6600C9B5" w14:textId="77777777" w:rsidTr="006778DE">
        <w:trPr>
          <w:trHeight w:val="300"/>
          <w:jc w:val="center"/>
        </w:trPr>
        <w:tc>
          <w:tcPr>
            <w:tcW w:w="2838" w:type="dxa"/>
            <w:gridSpan w:val="2"/>
            <w:tcBorders>
              <w:top w:val="single" w:sz="4" w:space="0" w:color="auto"/>
              <w:left w:val="single" w:sz="4" w:space="0" w:color="auto"/>
              <w:bottom w:val="single" w:sz="4" w:space="0" w:color="auto"/>
              <w:right w:val="single" w:sz="4" w:space="0" w:color="auto"/>
            </w:tcBorders>
            <w:noWrap/>
            <w:vAlign w:val="bottom"/>
            <w:hideMark/>
          </w:tcPr>
          <w:p w14:paraId="39AD3A17" w14:textId="77777777" w:rsidR="00900DB1" w:rsidRPr="005A6F5E" w:rsidRDefault="00900DB1" w:rsidP="006778DE">
            <w:pPr>
              <w:spacing w:after="0" w:line="360" w:lineRule="auto"/>
              <w:jc w:val="center"/>
              <w:rPr>
                <w:rFonts w:ascii="Times New Roman" w:eastAsia="Times New Roman" w:hAnsi="Times New Roman" w:cs="Times New Roman"/>
                <w:color w:val="000000"/>
                <w:sz w:val="24"/>
                <w:szCs w:val="24"/>
              </w:rPr>
            </w:pPr>
            <w:r w:rsidRPr="005A6F5E">
              <w:rPr>
                <w:rFonts w:ascii="Times New Roman" w:eastAsia="Times New Roman" w:hAnsi="Times New Roman" w:cs="Times New Roman"/>
                <w:color w:val="000000"/>
                <w:sz w:val="24"/>
                <w:szCs w:val="24"/>
              </w:rPr>
              <w:t>Criterios</w:t>
            </w:r>
          </w:p>
        </w:tc>
        <w:tc>
          <w:tcPr>
            <w:tcW w:w="1642" w:type="dxa"/>
            <w:tcBorders>
              <w:top w:val="single" w:sz="4" w:space="0" w:color="auto"/>
              <w:left w:val="nil"/>
              <w:bottom w:val="single" w:sz="4" w:space="0" w:color="auto"/>
              <w:right w:val="single" w:sz="4" w:space="0" w:color="auto"/>
            </w:tcBorders>
            <w:noWrap/>
            <w:vAlign w:val="bottom"/>
            <w:hideMark/>
          </w:tcPr>
          <w:p w14:paraId="459A635D" w14:textId="77777777" w:rsidR="00900DB1" w:rsidRPr="005A6F5E" w:rsidRDefault="00900DB1" w:rsidP="006778DE">
            <w:pPr>
              <w:spacing w:after="0" w:line="360" w:lineRule="auto"/>
              <w:jc w:val="center"/>
              <w:rPr>
                <w:rFonts w:ascii="Times New Roman" w:eastAsia="Times New Roman" w:hAnsi="Times New Roman" w:cs="Times New Roman"/>
                <w:color w:val="000000"/>
                <w:sz w:val="24"/>
                <w:szCs w:val="24"/>
              </w:rPr>
            </w:pPr>
            <w:r w:rsidRPr="005A6F5E">
              <w:rPr>
                <w:rFonts w:ascii="Times New Roman" w:eastAsia="Times New Roman" w:hAnsi="Times New Roman" w:cs="Times New Roman"/>
                <w:color w:val="000000"/>
                <w:sz w:val="24"/>
                <w:szCs w:val="24"/>
              </w:rPr>
              <w:t xml:space="preserve">Ponderación </w:t>
            </w:r>
            <w:proofErr w:type="spellStart"/>
            <w:r w:rsidRPr="005A6F5E">
              <w:rPr>
                <w:rFonts w:ascii="Times New Roman" w:eastAsia="Times New Roman" w:hAnsi="Times New Roman" w:cs="Times New Roman"/>
                <w:color w:val="000000"/>
                <w:sz w:val="24"/>
                <w:szCs w:val="24"/>
              </w:rPr>
              <w:t>W</w:t>
            </w:r>
            <w:r w:rsidRPr="005A6F5E">
              <w:rPr>
                <w:rFonts w:ascii="Times New Roman" w:eastAsia="Times New Roman" w:hAnsi="Times New Roman" w:cs="Times New Roman"/>
                <w:color w:val="000000"/>
                <w:sz w:val="24"/>
                <w:szCs w:val="24"/>
                <w:vertAlign w:val="subscript"/>
              </w:rPr>
              <w:t>i</w:t>
            </w:r>
            <w:proofErr w:type="spellEnd"/>
          </w:p>
        </w:tc>
        <w:tc>
          <w:tcPr>
            <w:tcW w:w="880" w:type="dxa"/>
            <w:tcBorders>
              <w:top w:val="single" w:sz="4" w:space="0" w:color="auto"/>
              <w:left w:val="nil"/>
              <w:bottom w:val="single" w:sz="4" w:space="0" w:color="auto"/>
              <w:right w:val="single" w:sz="4" w:space="0" w:color="auto"/>
            </w:tcBorders>
            <w:noWrap/>
            <w:vAlign w:val="bottom"/>
            <w:hideMark/>
          </w:tcPr>
          <w:p w14:paraId="4EE2CCE9" w14:textId="77777777" w:rsidR="00900DB1" w:rsidRPr="005A6F5E" w:rsidRDefault="00900DB1" w:rsidP="006778DE">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CC</w:t>
            </w:r>
          </w:p>
        </w:tc>
        <w:tc>
          <w:tcPr>
            <w:tcW w:w="880" w:type="dxa"/>
            <w:tcBorders>
              <w:top w:val="single" w:sz="4" w:space="0" w:color="auto"/>
              <w:left w:val="nil"/>
              <w:bottom w:val="single" w:sz="4" w:space="0" w:color="auto"/>
              <w:right w:val="single" w:sz="4" w:space="0" w:color="auto"/>
            </w:tcBorders>
            <w:noWrap/>
            <w:vAlign w:val="bottom"/>
            <w:hideMark/>
          </w:tcPr>
          <w:p w14:paraId="6DDBF696" w14:textId="77777777" w:rsidR="00900DB1" w:rsidRPr="005A6F5E" w:rsidRDefault="00900DB1" w:rsidP="006778DE">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w:t>
            </w:r>
          </w:p>
        </w:tc>
        <w:tc>
          <w:tcPr>
            <w:tcW w:w="880" w:type="dxa"/>
            <w:tcBorders>
              <w:top w:val="single" w:sz="4" w:space="0" w:color="auto"/>
              <w:left w:val="nil"/>
              <w:bottom w:val="single" w:sz="4" w:space="0" w:color="auto"/>
              <w:right w:val="single" w:sz="4" w:space="0" w:color="auto"/>
            </w:tcBorders>
            <w:noWrap/>
            <w:vAlign w:val="bottom"/>
            <w:hideMark/>
          </w:tcPr>
          <w:p w14:paraId="2A8FC092" w14:textId="77777777" w:rsidR="00900DB1" w:rsidRPr="005A6F5E" w:rsidRDefault="00900DB1" w:rsidP="006778DE">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MD</w:t>
            </w:r>
          </w:p>
        </w:tc>
        <w:tc>
          <w:tcPr>
            <w:tcW w:w="880" w:type="dxa"/>
            <w:tcBorders>
              <w:top w:val="single" w:sz="4" w:space="0" w:color="auto"/>
              <w:left w:val="nil"/>
              <w:bottom w:val="single" w:sz="4" w:space="0" w:color="auto"/>
              <w:right w:val="single" w:sz="4" w:space="0" w:color="auto"/>
            </w:tcBorders>
            <w:noWrap/>
            <w:vAlign w:val="bottom"/>
            <w:hideMark/>
          </w:tcPr>
          <w:p w14:paraId="67DB600D" w14:textId="77777777" w:rsidR="00900DB1" w:rsidRPr="005A6F5E" w:rsidRDefault="00900DB1" w:rsidP="006778DE">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w:t>
            </w:r>
          </w:p>
        </w:tc>
      </w:tr>
      <w:tr w:rsidR="00900DB1" w:rsidRPr="005A6F5E" w14:paraId="1949FA58" w14:textId="77777777" w:rsidTr="006778DE">
        <w:trPr>
          <w:trHeight w:val="300"/>
          <w:jc w:val="center"/>
        </w:trPr>
        <w:tc>
          <w:tcPr>
            <w:tcW w:w="260" w:type="dxa"/>
            <w:tcBorders>
              <w:top w:val="nil"/>
              <w:left w:val="single" w:sz="4" w:space="0" w:color="auto"/>
              <w:bottom w:val="single" w:sz="4" w:space="0" w:color="auto"/>
              <w:right w:val="single" w:sz="4" w:space="0" w:color="auto"/>
            </w:tcBorders>
            <w:noWrap/>
            <w:vAlign w:val="bottom"/>
            <w:hideMark/>
          </w:tcPr>
          <w:p w14:paraId="47470FAD" w14:textId="77777777" w:rsidR="00900DB1" w:rsidRPr="005A6F5E" w:rsidRDefault="00900DB1" w:rsidP="006778DE">
            <w:pPr>
              <w:spacing w:after="0" w:line="360" w:lineRule="auto"/>
              <w:jc w:val="right"/>
              <w:rPr>
                <w:rFonts w:ascii="Times New Roman" w:eastAsia="Times New Roman" w:hAnsi="Times New Roman" w:cs="Times New Roman"/>
                <w:color w:val="000000"/>
                <w:sz w:val="24"/>
                <w:szCs w:val="24"/>
              </w:rPr>
            </w:pPr>
            <w:r w:rsidRPr="005A6F5E">
              <w:rPr>
                <w:rFonts w:ascii="Times New Roman" w:eastAsia="Times New Roman" w:hAnsi="Times New Roman" w:cs="Times New Roman"/>
                <w:color w:val="000000"/>
                <w:sz w:val="24"/>
                <w:szCs w:val="24"/>
              </w:rPr>
              <w:t>1</w:t>
            </w:r>
          </w:p>
        </w:tc>
        <w:tc>
          <w:tcPr>
            <w:tcW w:w="2578" w:type="dxa"/>
            <w:tcBorders>
              <w:top w:val="nil"/>
              <w:left w:val="nil"/>
              <w:bottom w:val="single" w:sz="4" w:space="0" w:color="auto"/>
              <w:right w:val="single" w:sz="4" w:space="0" w:color="auto"/>
            </w:tcBorders>
            <w:noWrap/>
            <w:vAlign w:val="bottom"/>
            <w:hideMark/>
          </w:tcPr>
          <w:p w14:paraId="0C314168" w14:textId="77777777" w:rsidR="00900DB1" w:rsidRPr="005A6F5E" w:rsidRDefault="00900DB1" w:rsidP="006778DE">
            <w:pPr>
              <w:spacing w:after="0" w:line="360" w:lineRule="auto"/>
              <w:rPr>
                <w:rFonts w:ascii="Times New Roman" w:eastAsia="Times New Roman" w:hAnsi="Times New Roman" w:cs="Times New Roman"/>
                <w:color w:val="000000"/>
                <w:sz w:val="24"/>
                <w:szCs w:val="24"/>
              </w:rPr>
            </w:pPr>
            <w:r w:rsidRPr="005A6F5E">
              <w:rPr>
                <w:rFonts w:ascii="Times New Roman" w:eastAsia="Times New Roman" w:hAnsi="Times New Roman" w:cs="Times New Roman"/>
                <w:color w:val="000000"/>
                <w:sz w:val="24"/>
                <w:szCs w:val="24"/>
              </w:rPr>
              <w:t xml:space="preserve">Complejidad de obtención </w:t>
            </w:r>
          </w:p>
        </w:tc>
        <w:tc>
          <w:tcPr>
            <w:tcW w:w="1642" w:type="dxa"/>
            <w:tcBorders>
              <w:top w:val="nil"/>
              <w:left w:val="nil"/>
              <w:bottom w:val="single" w:sz="4" w:space="0" w:color="auto"/>
              <w:right w:val="single" w:sz="4" w:space="0" w:color="auto"/>
            </w:tcBorders>
            <w:noWrap/>
            <w:vAlign w:val="bottom"/>
            <w:hideMark/>
          </w:tcPr>
          <w:p w14:paraId="58A6F94A"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3</w:t>
            </w:r>
          </w:p>
        </w:tc>
        <w:tc>
          <w:tcPr>
            <w:tcW w:w="880" w:type="dxa"/>
            <w:tcBorders>
              <w:top w:val="nil"/>
              <w:left w:val="nil"/>
              <w:bottom w:val="single" w:sz="4" w:space="0" w:color="auto"/>
              <w:right w:val="single" w:sz="4" w:space="0" w:color="auto"/>
            </w:tcBorders>
            <w:noWrap/>
            <w:vAlign w:val="bottom"/>
            <w:hideMark/>
          </w:tcPr>
          <w:p w14:paraId="18B662CD"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7</w:t>
            </w:r>
          </w:p>
        </w:tc>
        <w:tc>
          <w:tcPr>
            <w:tcW w:w="880" w:type="dxa"/>
            <w:tcBorders>
              <w:top w:val="nil"/>
              <w:left w:val="nil"/>
              <w:bottom w:val="single" w:sz="4" w:space="0" w:color="auto"/>
              <w:right w:val="single" w:sz="4" w:space="0" w:color="auto"/>
            </w:tcBorders>
            <w:noWrap/>
            <w:vAlign w:val="bottom"/>
            <w:hideMark/>
          </w:tcPr>
          <w:p w14:paraId="27F920ED"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4</w:t>
            </w:r>
          </w:p>
        </w:tc>
        <w:tc>
          <w:tcPr>
            <w:tcW w:w="880" w:type="dxa"/>
            <w:tcBorders>
              <w:top w:val="nil"/>
              <w:left w:val="nil"/>
              <w:bottom w:val="single" w:sz="4" w:space="0" w:color="auto"/>
              <w:right w:val="single" w:sz="4" w:space="0" w:color="auto"/>
            </w:tcBorders>
            <w:noWrap/>
            <w:vAlign w:val="bottom"/>
            <w:hideMark/>
          </w:tcPr>
          <w:p w14:paraId="1B70DE65"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4</w:t>
            </w:r>
          </w:p>
        </w:tc>
        <w:tc>
          <w:tcPr>
            <w:tcW w:w="880" w:type="dxa"/>
            <w:tcBorders>
              <w:top w:val="nil"/>
              <w:left w:val="nil"/>
              <w:bottom w:val="single" w:sz="4" w:space="0" w:color="auto"/>
              <w:right w:val="single" w:sz="4" w:space="0" w:color="auto"/>
            </w:tcBorders>
            <w:noWrap/>
            <w:vAlign w:val="bottom"/>
            <w:hideMark/>
          </w:tcPr>
          <w:p w14:paraId="5410884E"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5</w:t>
            </w:r>
          </w:p>
        </w:tc>
      </w:tr>
      <w:tr w:rsidR="00900DB1" w:rsidRPr="005A6F5E" w14:paraId="2C5E2C74" w14:textId="77777777" w:rsidTr="006778DE">
        <w:trPr>
          <w:trHeight w:val="300"/>
          <w:jc w:val="center"/>
        </w:trPr>
        <w:tc>
          <w:tcPr>
            <w:tcW w:w="260" w:type="dxa"/>
            <w:tcBorders>
              <w:top w:val="nil"/>
              <w:left w:val="single" w:sz="4" w:space="0" w:color="auto"/>
              <w:bottom w:val="single" w:sz="4" w:space="0" w:color="auto"/>
              <w:right w:val="single" w:sz="4" w:space="0" w:color="auto"/>
            </w:tcBorders>
            <w:noWrap/>
            <w:vAlign w:val="bottom"/>
            <w:hideMark/>
          </w:tcPr>
          <w:p w14:paraId="4615CBEC" w14:textId="77777777" w:rsidR="00900DB1" w:rsidRPr="005A6F5E" w:rsidRDefault="00900DB1" w:rsidP="006778DE">
            <w:pPr>
              <w:spacing w:after="0" w:line="360" w:lineRule="auto"/>
              <w:jc w:val="right"/>
              <w:rPr>
                <w:rFonts w:ascii="Times New Roman" w:eastAsia="Times New Roman" w:hAnsi="Times New Roman" w:cs="Times New Roman"/>
                <w:color w:val="000000"/>
                <w:sz w:val="24"/>
                <w:szCs w:val="24"/>
              </w:rPr>
            </w:pPr>
            <w:r w:rsidRPr="005A6F5E">
              <w:rPr>
                <w:rFonts w:ascii="Times New Roman" w:eastAsia="Times New Roman" w:hAnsi="Times New Roman" w:cs="Times New Roman"/>
                <w:color w:val="000000"/>
                <w:sz w:val="24"/>
                <w:szCs w:val="24"/>
              </w:rPr>
              <w:t>2</w:t>
            </w:r>
          </w:p>
        </w:tc>
        <w:tc>
          <w:tcPr>
            <w:tcW w:w="2578" w:type="dxa"/>
            <w:tcBorders>
              <w:top w:val="nil"/>
              <w:left w:val="nil"/>
              <w:bottom w:val="single" w:sz="4" w:space="0" w:color="auto"/>
              <w:right w:val="single" w:sz="4" w:space="0" w:color="auto"/>
            </w:tcBorders>
            <w:noWrap/>
            <w:vAlign w:val="bottom"/>
            <w:hideMark/>
          </w:tcPr>
          <w:p w14:paraId="4D3D014A" w14:textId="77777777" w:rsidR="00900DB1" w:rsidRPr="005A6F5E" w:rsidRDefault="00900DB1" w:rsidP="006778DE">
            <w:pPr>
              <w:spacing w:after="0" w:line="360" w:lineRule="auto"/>
              <w:rPr>
                <w:rFonts w:ascii="Times New Roman" w:eastAsia="Times New Roman" w:hAnsi="Times New Roman" w:cs="Times New Roman"/>
                <w:color w:val="000000"/>
                <w:sz w:val="24"/>
                <w:szCs w:val="24"/>
              </w:rPr>
            </w:pPr>
            <w:r w:rsidRPr="005A6F5E">
              <w:rPr>
                <w:rFonts w:ascii="Times New Roman" w:eastAsia="Times New Roman" w:hAnsi="Times New Roman" w:cs="Times New Roman"/>
                <w:color w:val="000000"/>
                <w:sz w:val="24"/>
                <w:szCs w:val="24"/>
              </w:rPr>
              <w:t>Datos en el terreno</w:t>
            </w:r>
          </w:p>
        </w:tc>
        <w:tc>
          <w:tcPr>
            <w:tcW w:w="1642" w:type="dxa"/>
            <w:tcBorders>
              <w:top w:val="nil"/>
              <w:left w:val="nil"/>
              <w:bottom w:val="single" w:sz="4" w:space="0" w:color="auto"/>
              <w:right w:val="single" w:sz="4" w:space="0" w:color="auto"/>
            </w:tcBorders>
            <w:noWrap/>
            <w:vAlign w:val="bottom"/>
            <w:hideMark/>
          </w:tcPr>
          <w:p w14:paraId="38674495"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4</w:t>
            </w:r>
          </w:p>
        </w:tc>
        <w:tc>
          <w:tcPr>
            <w:tcW w:w="880" w:type="dxa"/>
            <w:tcBorders>
              <w:top w:val="nil"/>
              <w:left w:val="nil"/>
              <w:bottom w:val="single" w:sz="4" w:space="0" w:color="auto"/>
              <w:right w:val="single" w:sz="4" w:space="0" w:color="auto"/>
            </w:tcBorders>
            <w:noWrap/>
            <w:vAlign w:val="bottom"/>
            <w:hideMark/>
          </w:tcPr>
          <w:p w14:paraId="6CBED3A7"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6</w:t>
            </w:r>
          </w:p>
        </w:tc>
        <w:tc>
          <w:tcPr>
            <w:tcW w:w="880" w:type="dxa"/>
            <w:tcBorders>
              <w:top w:val="nil"/>
              <w:left w:val="nil"/>
              <w:bottom w:val="single" w:sz="4" w:space="0" w:color="auto"/>
              <w:right w:val="single" w:sz="4" w:space="0" w:color="auto"/>
            </w:tcBorders>
            <w:noWrap/>
            <w:vAlign w:val="bottom"/>
            <w:hideMark/>
          </w:tcPr>
          <w:p w14:paraId="6FCAB177"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7</w:t>
            </w:r>
          </w:p>
        </w:tc>
        <w:tc>
          <w:tcPr>
            <w:tcW w:w="880" w:type="dxa"/>
            <w:tcBorders>
              <w:top w:val="nil"/>
              <w:left w:val="nil"/>
              <w:bottom w:val="single" w:sz="4" w:space="0" w:color="auto"/>
              <w:right w:val="single" w:sz="4" w:space="0" w:color="auto"/>
            </w:tcBorders>
            <w:noWrap/>
            <w:vAlign w:val="bottom"/>
            <w:hideMark/>
          </w:tcPr>
          <w:p w14:paraId="4E070F8D"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7</w:t>
            </w:r>
          </w:p>
        </w:tc>
        <w:tc>
          <w:tcPr>
            <w:tcW w:w="880" w:type="dxa"/>
            <w:tcBorders>
              <w:top w:val="nil"/>
              <w:left w:val="nil"/>
              <w:bottom w:val="single" w:sz="4" w:space="0" w:color="auto"/>
              <w:right w:val="single" w:sz="4" w:space="0" w:color="auto"/>
            </w:tcBorders>
            <w:noWrap/>
            <w:vAlign w:val="bottom"/>
            <w:hideMark/>
          </w:tcPr>
          <w:p w14:paraId="7FEC6EA8"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7</w:t>
            </w:r>
          </w:p>
        </w:tc>
      </w:tr>
      <w:tr w:rsidR="00900DB1" w:rsidRPr="005A6F5E" w14:paraId="11975024" w14:textId="77777777" w:rsidTr="006778DE">
        <w:trPr>
          <w:trHeight w:val="300"/>
          <w:jc w:val="center"/>
        </w:trPr>
        <w:tc>
          <w:tcPr>
            <w:tcW w:w="260" w:type="dxa"/>
            <w:tcBorders>
              <w:top w:val="nil"/>
              <w:left w:val="single" w:sz="4" w:space="0" w:color="auto"/>
              <w:bottom w:val="single" w:sz="4" w:space="0" w:color="auto"/>
              <w:right w:val="single" w:sz="4" w:space="0" w:color="auto"/>
            </w:tcBorders>
            <w:noWrap/>
            <w:vAlign w:val="bottom"/>
            <w:hideMark/>
          </w:tcPr>
          <w:p w14:paraId="33DC16B6" w14:textId="77777777" w:rsidR="00900DB1" w:rsidRPr="005A6F5E" w:rsidRDefault="00900DB1" w:rsidP="006778DE">
            <w:pPr>
              <w:spacing w:after="0" w:line="360" w:lineRule="auto"/>
              <w:jc w:val="right"/>
              <w:rPr>
                <w:rFonts w:ascii="Times New Roman" w:eastAsia="Times New Roman" w:hAnsi="Times New Roman" w:cs="Times New Roman"/>
                <w:color w:val="000000"/>
                <w:sz w:val="24"/>
                <w:szCs w:val="24"/>
              </w:rPr>
            </w:pPr>
            <w:r w:rsidRPr="005A6F5E">
              <w:rPr>
                <w:rFonts w:ascii="Times New Roman" w:eastAsia="Times New Roman" w:hAnsi="Times New Roman" w:cs="Times New Roman"/>
                <w:color w:val="000000"/>
                <w:sz w:val="24"/>
                <w:szCs w:val="24"/>
              </w:rPr>
              <w:t>3</w:t>
            </w:r>
          </w:p>
        </w:tc>
        <w:tc>
          <w:tcPr>
            <w:tcW w:w="2578" w:type="dxa"/>
            <w:tcBorders>
              <w:top w:val="nil"/>
              <w:left w:val="nil"/>
              <w:bottom w:val="single" w:sz="4" w:space="0" w:color="auto"/>
              <w:right w:val="single" w:sz="4" w:space="0" w:color="auto"/>
            </w:tcBorders>
            <w:noWrap/>
            <w:vAlign w:val="bottom"/>
            <w:hideMark/>
          </w:tcPr>
          <w:p w14:paraId="1D602347" w14:textId="77777777" w:rsidR="00900DB1" w:rsidRPr="005A6F5E" w:rsidRDefault="00900DB1" w:rsidP="006778DE">
            <w:pPr>
              <w:spacing w:after="0" w:line="360" w:lineRule="auto"/>
              <w:rPr>
                <w:rFonts w:ascii="Times New Roman" w:eastAsia="Times New Roman" w:hAnsi="Times New Roman" w:cs="Times New Roman"/>
                <w:color w:val="000000"/>
                <w:sz w:val="24"/>
                <w:szCs w:val="24"/>
              </w:rPr>
            </w:pPr>
            <w:r w:rsidRPr="005A6F5E">
              <w:rPr>
                <w:rFonts w:ascii="Times New Roman" w:eastAsia="Times New Roman" w:hAnsi="Times New Roman" w:cs="Times New Roman"/>
                <w:color w:val="000000"/>
                <w:sz w:val="24"/>
                <w:szCs w:val="24"/>
              </w:rPr>
              <w:t>Cálculos a realizar</w:t>
            </w:r>
          </w:p>
        </w:tc>
        <w:tc>
          <w:tcPr>
            <w:tcW w:w="1642" w:type="dxa"/>
            <w:tcBorders>
              <w:top w:val="nil"/>
              <w:left w:val="nil"/>
              <w:bottom w:val="single" w:sz="4" w:space="0" w:color="auto"/>
              <w:right w:val="single" w:sz="4" w:space="0" w:color="auto"/>
            </w:tcBorders>
            <w:noWrap/>
            <w:vAlign w:val="bottom"/>
            <w:hideMark/>
          </w:tcPr>
          <w:p w14:paraId="0C36287F"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3</w:t>
            </w:r>
          </w:p>
        </w:tc>
        <w:tc>
          <w:tcPr>
            <w:tcW w:w="880" w:type="dxa"/>
            <w:tcBorders>
              <w:top w:val="nil"/>
              <w:left w:val="nil"/>
              <w:bottom w:val="single" w:sz="4" w:space="0" w:color="auto"/>
              <w:right w:val="single" w:sz="4" w:space="0" w:color="auto"/>
            </w:tcBorders>
            <w:noWrap/>
            <w:vAlign w:val="bottom"/>
            <w:hideMark/>
          </w:tcPr>
          <w:p w14:paraId="14BC517A"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6</w:t>
            </w:r>
          </w:p>
        </w:tc>
        <w:tc>
          <w:tcPr>
            <w:tcW w:w="880" w:type="dxa"/>
            <w:tcBorders>
              <w:top w:val="nil"/>
              <w:left w:val="nil"/>
              <w:bottom w:val="single" w:sz="4" w:space="0" w:color="auto"/>
              <w:right w:val="single" w:sz="4" w:space="0" w:color="auto"/>
            </w:tcBorders>
            <w:noWrap/>
            <w:vAlign w:val="bottom"/>
            <w:hideMark/>
          </w:tcPr>
          <w:p w14:paraId="178E77C9"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4</w:t>
            </w:r>
          </w:p>
        </w:tc>
        <w:tc>
          <w:tcPr>
            <w:tcW w:w="880" w:type="dxa"/>
            <w:tcBorders>
              <w:top w:val="nil"/>
              <w:left w:val="nil"/>
              <w:bottom w:val="single" w:sz="4" w:space="0" w:color="auto"/>
              <w:right w:val="single" w:sz="4" w:space="0" w:color="auto"/>
            </w:tcBorders>
            <w:noWrap/>
            <w:vAlign w:val="bottom"/>
            <w:hideMark/>
          </w:tcPr>
          <w:p w14:paraId="4F9611EA"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4</w:t>
            </w:r>
          </w:p>
        </w:tc>
        <w:tc>
          <w:tcPr>
            <w:tcW w:w="880" w:type="dxa"/>
            <w:tcBorders>
              <w:top w:val="nil"/>
              <w:left w:val="nil"/>
              <w:bottom w:val="single" w:sz="4" w:space="0" w:color="auto"/>
              <w:right w:val="single" w:sz="4" w:space="0" w:color="auto"/>
            </w:tcBorders>
            <w:noWrap/>
            <w:vAlign w:val="bottom"/>
            <w:hideMark/>
          </w:tcPr>
          <w:p w14:paraId="4B3A2B2E"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5</w:t>
            </w:r>
          </w:p>
        </w:tc>
      </w:tr>
      <w:tr w:rsidR="00900DB1" w:rsidRPr="005A6F5E" w14:paraId="4451B3DD" w14:textId="77777777" w:rsidTr="006778DE">
        <w:trPr>
          <w:trHeight w:val="300"/>
          <w:jc w:val="center"/>
        </w:trPr>
        <w:tc>
          <w:tcPr>
            <w:tcW w:w="260" w:type="dxa"/>
            <w:tcBorders>
              <w:top w:val="nil"/>
              <w:left w:val="single" w:sz="4" w:space="0" w:color="auto"/>
              <w:bottom w:val="single" w:sz="4" w:space="0" w:color="auto"/>
              <w:right w:val="single" w:sz="4" w:space="0" w:color="auto"/>
            </w:tcBorders>
            <w:noWrap/>
            <w:vAlign w:val="bottom"/>
            <w:hideMark/>
          </w:tcPr>
          <w:p w14:paraId="74EA330A" w14:textId="77777777" w:rsidR="00900DB1" w:rsidRPr="005A6F5E" w:rsidRDefault="00900DB1" w:rsidP="006778DE">
            <w:pPr>
              <w:spacing w:after="0" w:line="360" w:lineRule="auto"/>
              <w:jc w:val="right"/>
              <w:rPr>
                <w:rFonts w:ascii="Times New Roman" w:eastAsia="Times New Roman" w:hAnsi="Times New Roman" w:cs="Times New Roman"/>
                <w:color w:val="000000"/>
                <w:sz w:val="24"/>
                <w:szCs w:val="24"/>
              </w:rPr>
            </w:pPr>
            <w:r w:rsidRPr="005A6F5E">
              <w:rPr>
                <w:rFonts w:ascii="Times New Roman" w:eastAsia="Times New Roman" w:hAnsi="Times New Roman" w:cs="Times New Roman"/>
                <w:color w:val="000000"/>
                <w:sz w:val="24"/>
                <w:szCs w:val="24"/>
              </w:rPr>
              <w:t>4</w:t>
            </w:r>
          </w:p>
        </w:tc>
        <w:tc>
          <w:tcPr>
            <w:tcW w:w="2578" w:type="dxa"/>
            <w:tcBorders>
              <w:top w:val="nil"/>
              <w:left w:val="nil"/>
              <w:bottom w:val="single" w:sz="4" w:space="0" w:color="auto"/>
              <w:right w:val="single" w:sz="4" w:space="0" w:color="auto"/>
            </w:tcBorders>
            <w:noWrap/>
            <w:vAlign w:val="bottom"/>
            <w:hideMark/>
          </w:tcPr>
          <w:p w14:paraId="57B50F27" w14:textId="77777777" w:rsidR="00900DB1" w:rsidRPr="005A6F5E" w:rsidRDefault="00900DB1" w:rsidP="006778DE">
            <w:pPr>
              <w:spacing w:after="0" w:line="360" w:lineRule="auto"/>
              <w:rPr>
                <w:rFonts w:ascii="Times New Roman" w:eastAsia="Times New Roman" w:hAnsi="Times New Roman" w:cs="Times New Roman"/>
                <w:color w:val="000000"/>
                <w:sz w:val="24"/>
                <w:szCs w:val="24"/>
              </w:rPr>
            </w:pPr>
            <w:r w:rsidRPr="005A6F5E">
              <w:rPr>
                <w:rFonts w:ascii="Times New Roman" w:eastAsia="Times New Roman" w:hAnsi="Times New Roman" w:cs="Times New Roman"/>
                <w:color w:val="000000"/>
                <w:sz w:val="24"/>
                <w:szCs w:val="24"/>
              </w:rPr>
              <w:t xml:space="preserve">Mayor </w:t>
            </w:r>
            <w:r>
              <w:rPr>
                <w:rFonts w:ascii="Times New Roman" w:eastAsia="Times New Roman" w:hAnsi="Times New Roman" w:cs="Times New Roman"/>
                <w:color w:val="000000"/>
                <w:sz w:val="24"/>
                <w:szCs w:val="24"/>
              </w:rPr>
              <w:t>significación</w:t>
            </w:r>
          </w:p>
        </w:tc>
        <w:tc>
          <w:tcPr>
            <w:tcW w:w="1642" w:type="dxa"/>
            <w:tcBorders>
              <w:top w:val="nil"/>
              <w:left w:val="nil"/>
              <w:bottom w:val="single" w:sz="4" w:space="0" w:color="auto"/>
              <w:right w:val="single" w:sz="4" w:space="0" w:color="auto"/>
            </w:tcBorders>
            <w:noWrap/>
            <w:vAlign w:val="bottom"/>
            <w:hideMark/>
          </w:tcPr>
          <w:p w14:paraId="58132335"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2</w:t>
            </w:r>
          </w:p>
        </w:tc>
        <w:tc>
          <w:tcPr>
            <w:tcW w:w="880" w:type="dxa"/>
            <w:tcBorders>
              <w:top w:val="nil"/>
              <w:left w:val="nil"/>
              <w:bottom w:val="single" w:sz="4" w:space="0" w:color="auto"/>
              <w:right w:val="single" w:sz="4" w:space="0" w:color="auto"/>
            </w:tcBorders>
            <w:noWrap/>
            <w:vAlign w:val="bottom"/>
            <w:hideMark/>
          </w:tcPr>
          <w:p w14:paraId="713A9280"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8</w:t>
            </w:r>
          </w:p>
        </w:tc>
        <w:tc>
          <w:tcPr>
            <w:tcW w:w="880" w:type="dxa"/>
            <w:tcBorders>
              <w:top w:val="nil"/>
              <w:left w:val="nil"/>
              <w:bottom w:val="single" w:sz="4" w:space="0" w:color="auto"/>
              <w:right w:val="single" w:sz="4" w:space="0" w:color="auto"/>
            </w:tcBorders>
            <w:noWrap/>
            <w:vAlign w:val="bottom"/>
            <w:hideMark/>
          </w:tcPr>
          <w:p w14:paraId="6F132811"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6</w:t>
            </w:r>
          </w:p>
        </w:tc>
        <w:tc>
          <w:tcPr>
            <w:tcW w:w="880" w:type="dxa"/>
            <w:tcBorders>
              <w:top w:val="nil"/>
              <w:left w:val="nil"/>
              <w:bottom w:val="single" w:sz="4" w:space="0" w:color="auto"/>
              <w:right w:val="single" w:sz="4" w:space="0" w:color="auto"/>
            </w:tcBorders>
            <w:noWrap/>
            <w:vAlign w:val="bottom"/>
            <w:hideMark/>
          </w:tcPr>
          <w:p w14:paraId="4CF4FFD9"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8</w:t>
            </w:r>
          </w:p>
        </w:tc>
        <w:tc>
          <w:tcPr>
            <w:tcW w:w="880" w:type="dxa"/>
            <w:tcBorders>
              <w:top w:val="nil"/>
              <w:left w:val="nil"/>
              <w:bottom w:val="single" w:sz="4" w:space="0" w:color="auto"/>
              <w:right w:val="single" w:sz="4" w:space="0" w:color="auto"/>
            </w:tcBorders>
            <w:noWrap/>
            <w:vAlign w:val="bottom"/>
            <w:hideMark/>
          </w:tcPr>
          <w:p w14:paraId="6E08026B"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8</w:t>
            </w:r>
          </w:p>
        </w:tc>
      </w:tr>
      <w:tr w:rsidR="00900DB1" w:rsidRPr="005A6F5E" w14:paraId="2EFF426A" w14:textId="77777777" w:rsidTr="006778DE">
        <w:trPr>
          <w:trHeight w:val="300"/>
          <w:jc w:val="center"/>
        </w:trPr>
        <w:tc>
          <w:tcPr>
            <w:tcW w:w="260" w:type="dxa"/>
            <w:tcBorders>
              <w:top w:val="nil"/>
              <w:left w:val="single" w:sz="4" w:space="0" w:color="auto"/>
              <w:bottom w:val="single" w:sz="4" w:space="0" w:color="auto"/>
              <w:right w:val="single" w:sz="4" w:space="0" w:color="auto"/>
            </w:tcBorders>
            <w:noWrap/>
            <w:vAlign w:val="bottom"/>
            <w:hideMark/>
          </w:tcPr>
          <w:p w14:paraId="0D6DFBD5" w14:textId="77777777" w:rsidR="00900DB1" w:rsidRPr="005A6F5E" w:rsidRDefault="00900DB1" w:rsidP="006778DE">
            <w:pPr>
              <w:spacing w:after="0" w:line="360" w:lineRule="auto"/>
              <w:rPr>
                <w:rFonts w:ascii="Times New Roman" w:eastAsia="Times New Roman" w:hAnsi="Times New Roman" w:cs="Times New Roman"/>
                <w:color w:val="000000"/>
                <w:sz w:val="24"/>
                <w:szCs w:val="24"/>
              </w:rPr>
            </w:pPr>
            <w:r w:rsidRPr="005A6F5E">
              <w:rPr>
                <w:rFonts w:ascii="Times New Roman" w:eastAsia="Times New Roman" w:hAnsi="Times New Roman" w:cs="Times New Roman"/>
                <w:color w:val="000000"/>
                <w:sz w:val="24"/>
                <w:szCs w:val="24"/>
              </w:rPr>
              <w:t> </w:t>
            </w:r>
          </w:p>
        </w:tc>
        <w:tc>
          <w:tcPr>
            <w:tcW w:w="2578" w:type="dxa"/>
            <w:tcBorders>
              <w:top w:val="nil"/>
              <w:left w:val="nil"/>
              <w:bottom w:val="single" w:sz="4" w:space="0" w:color="auto"/>
              <w:right w:val="single" w:sz="4" w:space="0" w:color="auto"/>
            </w:tcBorders>
            <w:noWrap/>
            <w:vAlign w:val="bottom"/>
            <w:hideMark/>
          </w:tcPr>
          <w:p w14:paraId="4F62C5FD" w14:textId="77777777" w:rsidR="00900DB1" w:rsidRPr="005A6F5E" w:rsidRDefault="00900DB1" w:rsidP="006778DE">
            <w:pPr>
              <w:spacing w:after="0" w:line="360" w:lineRule="auto"/>
              <w:rPr>
                <w:rFonts w:ascii="Times New Roman" w:eastAsia="Times New Roman" w:hAnsi="Times New Roman" w:cs="Times New Roman"/>
                <w:color w:val="000000"/>
                <w:sz w:val="24"/>
                <w:szCs w:val="24"/>
              </w:rPr>
            </w:pPr>
            <w:r w:rsidRPr="005A6F5E">
              <w:rPr>
                <w:rFonts w:ascii="Times New Roman" w:eastAsia="Times New Roman" w:hAnsi="Times New Roman" w:cs="Times New Roman"/>
                <w:color w:val="000000"/>
                <w:sz w:val="24"/>
                <w:szCs w:val="24"/>
              </w:rPr>
              <w:t xml:space="preserve">Score </w:t>
            </w:r>
            <w:proofErr w:type="spellStart"/>
            <w:r w:rsidRPr="005A6F5E">
              <w:rPr>
                <w:rFonts w:ascii="Times New Roman" w:eastAsia="Times New Roman" w:hAnsi="Times New Roman" w:cs="Times New Roman"/>
                <w:color w:val="000000"/>
                <w:sz w:val="24"/>
                <w:szCs w:val="24"/>
              </w:rPr>
              <w:t>Sj</w:t>
            </w:r>
            <w:proofErr w:type="spellEnd"/>
          </w:p>
        </w:tc>
        <w:tc>
          <w:tcPr>
            <w:tcW w:w="1642" w:type="dxa"/>
            <w:tcBorders>
              <w:top w:val="nil"/>
              <w:left w:val="nil"/>
              <w:bottom w:val="single" w:sz="4" w:space="0" w:color="auto"/>
              <w:right w:val="single" w:sz="4" w:space="0" w:color="auto"/>
            </w:tcBorders>
            <w:noWrap/>
            <w:vAlign w:val="bottom"/>
            <w:hideMark/>
          </w:tcPr>
          <w:p w14:paraId="1B5249D0" w14:textId="77777777" w:rsidR="00900DB1" w:rsidRPr="00044CA9" w:rsidRDefault="00900DB1" w:rsidP="006778DE">
            <w:pPr>
              <w:spacing w:after="0" w:line="360" w:lineRule="auto"/>
              <w:rPr>
                <w:rFonts w:ascii="Times New Roman" w:hAnsi="Times New Roman" w:cs="Times New Roman"/>
                <w:sz w:val="24"/>
                <w:szCs w:val="24"/>
              </w:rPr>
            </w:pPr>
          </w:p>
        </w:tc>
        <w:tc>
          <w:tcPr>
            <w:tcW w:w="880" w:type="dxa"/>
            <w:tcBorders>
              <w:top w:val="nil"/>
              <w:left w:val="nil"/>
              <w:bottom w:val="single" w:sz="4" w:space="0" w:color="auto"/>
              <w:right w:val="single" w:sz="4" w:space="0" w:color="auto"/>
            </w:tcBorders>
            <w:noWrap/>
            <w:vAlign w:val="bottom"/>
            <w:hideMark/>
          </w:tcPr>
          <w:p w14:paraId="3EE66E4E"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79</w:t>
            </w:r>
          </w:p>
        </w:tc>
        <w:tc>
          <w:tcPr>
            <w:tcW w:w="880" w:type="dxa"/>
            <w:tcBorders>
              <w:top w:val="nil"/>
              <w:left w:val="nil"/>
              <w:bottom w:val="single" w:sz="4" w:space="0" w:color="auto"/>
              <w:right w:val="single" w:sz="4" w:space="0" w:color="auto"/>
            </w:tcBorders>
            <w:noWrap/>
            <w:vAlign w:val="bottom"/>
            <w:hideMark/>
          </w:tcPr>
          <w:p w14:paraId="29227397"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64</w:t>
            </w:r>
          </w:p>
        </w:tc>
        <w:tc>
          <w:tcPr>
            <w:tcW w:w="880" w:type="dxa"/>
            <w:tcBorders>
              <w:top w:val="nil"/>
              <w:left w:val="nil"/>
              <w:bottom w:val="single" w:sz="4" w:space="0" w:color="auto"/>
              <w:right w:val="single" w:sz="4" w:space="0" w:color="auto"/>
            </w:tcBorders>
            <w:noWrap/>
            <w:vAlign w:val="bottom"/>
            <w:hideMark/>
          </w:tcPr>
          <w:p w14:paraId="29B925BF"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68</w:t>
            </w:r>
          </w:p>
        </w:tc>
        <w:tc>
          <w:tcPr>
            <w:tcW w:w="880" w:type="dxa"/>
            <w:tcBorders>
              <w:top w:val="nil"/>
              <w:left w:val="nil"/>
              <w:bottom w:val="single" w:sz="4" w:space="0" w:color="auto"/>
              <w:right w:val="single" w:sz="4" w:space="0" w:color="auto"/>
            </w:tcBorders>
            <w:noWrap/>
            <w:vAlign w:val="bottom"/>
            <w:hideMark/>
          </w:tcPr>
          <w:p w14:paraId="3EE9EB93" w14:textId="77777777" w:rsidR="00900DB1" w:rsidRPr="00044CA9" w:rsidRDefault="00900DB1" w:rsidP="006778DE">
            <w:pPr>
              <w:spacing w:after="0" w:line="360" w:lineRule="auto"/>
              <w:jc w:val="center"/>
              <w:rPr>
                <w:rFonts w:ascii="Times New Roman" w:eastAsia="Times New Roman" w:hAnsi="Times New Roman" w:cs="Times New Roman"/>
                <w:sz w:val="24"/>
                <w:szCs w:val="24"/>
              </w:rPr>
            </w:pPr>
            <w:r w:rsidRPr="00044CA9">
              <w:rPr>
                <w:rFonts w:ascii="Times New Roman" w:eastAsia="Times New Roman" w:hAnsi="Times New Roman" w:cs="Times New Roman"/>
                <w:sz w:val="24"/>
                <w:szCs w:val="24"/>
              </w:rPr>
              <w:t>74</w:t>
            </w:r>
          </w:p>
        </w:tc>
      </w:tr>
    </w:tbl>
    <w:p w14:paraId="11A3B873" w14:textId="77777777" w:rsidR="00900DB1" w:rsidRPr="005A6F5E" w:rsidRDefault="00900DB1" w:rsidP="00900DB1">
      <w:pPr>
        <w:spacing w:line="360" w:lineRule="auto"/>
        <w:jc w:val="both"/>
        <w:rPr>
          <w:rFonts w:ascii="Times New Roman" w:hAnsi="Times New Roman" w:cs="Times New Roman"/>
          <w:sz w:val="24"/>
          <w:szCs w:val="24"/>
        </w:rPr>
      </w:pPr>
    </w:p>
    <w:p w14:paraId="50E7C262" w14:textId="088A67D4" w:rsidR="00900DB1" w:rsidRDefault="00900DB1" w:rsidP="00900DB1">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De acuerdo con el Score, s</w:t>
      </w:r>
      <w:r w:rsidRPr="005A6F5E">
        <w:rPr>
          <w:rFonts w:ascii="Times New Roman" w:hAnsi="Times New Roman" w:cs="Times New Roman"/>
          <w:sz w:val="24"/>
          <w:szCs w:val="24"/>
        </w:rPr>
        <w:t xml:space="preserve">e valoró </w:t>
      </w:r>
      <w:proofErr w:type="gramStart"/>
      <w:r w:rsidRPr="005A6F5E">
        <w:rPr>
          <w:rFonts w:ascii="Times New Roman" w:hAnsi="Times New Roman" w:cs="Times New Roman"/>
          <w:sz w:val="24"/>
          <w:szCs w:val="24"/>
        </w:rPr>
        <w:t>considerar  CIFC</w:t>
      </w:r>
      <w:proofErr w:type="gramEnd"/>
      <w:r w:rsidRPr="005A6F5E">
        <w:rPr>
          <w:rFonts w:ascii="Times New Roman" w:hAnsi="Times New Roman" w:cs="Times New Roman"/>
          <w:sz w:val="24"/>
          <w:szCs w:val="24"/>
        </w:rPr>
        <w:t xml:space="preserve"> =</w:t>
      </w:r>
      <w:r w:rsidR="00890F3A">
        <w:rPr>
          <w:rFonts w:ascii="Times New Roman" w:hAnsi="Times New Roman" w:cs="Times New Roman"/>
          <w:sz w:val="24"/>
          <w:szCs w:val="24"/>
        </w:rPr>
        <w:t>0</w:t>
      </w:r>
      <w:r w:rsidR="00405A6B">
        <w:rPr>
          <w:rFonts w:ascii="Times New Roman" w:hAnsi="Times New Roman" w:cs="Times New Roman"/>
          <w:sz w:val="24"/>
          <w:szCs w:val="24"/>
        </w:rPr>
        <w:t>.31</w:t>
      </w:r>
      <w:r>
        <w:rPr>
          <w:rFonts w:ascii="Times New Roman" w:hAnsi="Times New Roman" w:cs="Times New Roman"/>
          <w:sz w:val="24"/>
          <w:szCs w:val="24"/>
        </w:rPr>
        <w:t xml:space="preserve">  </w:t>
      </w:r>
      <w:r w:rsidRPr="005A6F5E">
        <w:rPr>
          <w:rFonts w:ascii="Times New Roman" w:hAnsi="Times New Roman" w:cs="Times New Roman"/>
          <w:sz w:val="24"/>
          <w:szCs w:val="24"/>
        </w:rPr>
        <w:t>, CIFI =</w:t>
      </w:r>
      <w:r w:rsidR="00405A6B">
        <w:rPr>
          <w:rFonts w:ascii="Times New Roman" w:hAnsi="Times New Roman" w:cs="Times New Roman"/>
          <w:sz w:val="24"/>
          <w:szCs w:val="24"/>
        </w:rPr>
        <w:t>0.22</w:t>
      </w:r>
      <w:r w:rsidRPr="005A6F5E">
        <w:rPr>
          <w:rFonts w:ascii="Times New Roman" w:hAnsi="Times New Roman" w:cs="Times New Roman"/>
          <w:sz w:val="24"/>
          <w:szCs w:val="24"/>
        </w:rPr>
        <w:t xml:space="preserve"> ,     CIFM=</w:t>
      </w:r>
      <w:r w:rsidR="00405A6B">
        <w:rPr>
          <w:rFonts w:ascii="Times New Roman" w:hAnsi="Times New Roman" w:cs="Times New Roman"/>
          <w:sz w:val="24"/>
          <w:szCs w:val="24"/>
        </w:rPr>
        <w:t>0.23</w:t>
      </w:r>
      <w:r>
        <w:rPr>
          <w:rFonts w:ascii="Times New Roman" w:hAnsi="Times New Roman" w:cs="Times New Roman"/>
          <w:sz w:val="24"/>
          <w:szCs w:val="24"/>
        </w:rPr>
        <w:t xml:space="preserve"> </w:t>
      </w:r>
      <w:r w:rsidRPr="005A6F5E">
        <w:rPr>
          <w:rFonts w:ascii="Times New Roman" w:hAnsi="Times New Roman" w:cs="Times New Roman"/>
          <w:sz w:val="24"/>
          <w:szCs w:val="24"/>
        </w:rPr>
        <w:t>, CIFT=</w:t>
      </w:r>
      <w:r w:rsidR="00405A6B">
        <w:rPr>
          <w:rFonts w:ascii="Times New Roman" w:hAnsi="Times New Roman" w:cs="Times New Roman"/>
          <w:sz w:val="24"/>
          <w:szCs w:val="24"/>
        </w:rPr>
        <w:t>0.24</w:t>
      </w:r>
      <w:r w:rsidRPr="005A6F5E">
        <w:rPr>
          <w:rFonts w:ascii="Times New Roman" w:hAnsi="Times New Roman" w:cs="Times New Roman"/>
          <w:sz w:val="24"/>
          <w:szCs w:val="24"/>
        </w:rPr>
        <w:t xml:space="preserve">, </w:t>
      </w:r>
      <w:r>
        <w:rPr>
          <w:rFonts w:ascii="Times New Roman" w:hAnsi="Times New Roman" w:cs="Times New Roman"/>
          <w:sz w:val="24"/>
          <w:szCs w:val="24"/>
        </w:rPr>
        <w:t xml:space="preserve"> lo cual </w:t>
      </w:r>
      <w:r w:rsidR="007E31AD">
        <w:rPr>
          <w:rFonts w:ascii="Times New Roman" w:hAnsi="Times New Roman" w:cs="Times New Roman"/>
          <w:sz w:val="24"/>
          <w:szCs w:val="24"/>
        </w:rPr>
        <w:t>no coincide exactamente</w:t>
      </w:r>
      <w:r>
        <w:rPr>
          <w:rFonts w:ascii="Times New Roman" w:hAnsi="Times New Roman" w:cs="Times New Roman"/>
          <w:sz w:val="24"/>
          <w:szCs w:val="24"/>
        </w:rPr>
        <w:t xml:space="preserve"> con la</w:t>
      </w:r>
      <w:r w:rsidR="00AF423C">
        <w:rPr>
          <w:rFonts w:ascii="Times New Roman" w:hAnsi="Times New Roman" w:cs="Times New Roman"/>
          <w:sz w:val="24"/>
          <w:szCs w:val="24"/>
        </w:rPr>
        <w:t xml:space="preserve"> propuesta</w:t>
      </w:r>
      <w:r>
        <w:rPr>
          <w:rFonts w:ascii="Times New Roman" w:hAnsi="Times New Roman" w:cs="Times New Roman"/>
          <w:sz w:val="24"/>
          <w:szCs w:val="24"/>
        </w:rPr>
        <w:t xml:space="preserve"> </w:t>
      </w:r>
      <w:r w:rsidR="00AF423C" w:rsidRPr="00AF423C">
        <w:rPr>
          <w:rFonts w:ascii="Times New Roman" w:hAnsi="Times New Roman" w:cs="Times New Roman"/>
          <w:sz w:val="24"/>
          <w:szCs w:val="24"/>
        </w:rPr>
        <w:t>Gaviria</w:t>
      </w:r>
      <w:r w:rsidR="00AF423C">
        <w:rPr>
          <w:rFonts w:ascii="Times New Roman" w:hAnsi="Times New Roman" w:cs="Times New Roman"/>
          <w:sz w:val="24"/>
          <w:szCs w:val="24"/>
        </w:rPr>
        <w:t xml:space="preserve">, aunque la diferencia con </w:t>
      </w:r>
      <w:r w:rsidR="002C1CE7">
        <w:rPr>
          <w:rFonts w:ascii="Times New Roman" w:hAnsi="Times New Roman" w:cs="Times New Roman"/>
          <w:sz w:val="24"/>
          <w:szCs w:val="24"/>
        </w:rPr>
        <w:t>sus coeficientes es muy pequeña.</w:t>
      </w:r>
    </w:p>
    <w:p w14:paraId="661902B0" w14:textId="5CE7C77F" w:rsidR="00900DB1" w:rsidRPr="005A6F5E" w:rsidRDefault="00900DB1" w:rsidP="00900DB1">
      <w:pPr>
        <w:spacing w:line="360" w:lineRule="auto"/>
        <w:jc w:val="both"/>
        <w:rPr>
          <w:rFonts w:ascii="Times New Roman" w:eastAsia="MS Mincho" w:hAnsi="Times New Roman" w:cs="Times New Roman"/>
          <w:bCs/>
          <w:sz w:val="24"/>
          <w:szCs w:val="24"/>
          <w:lang w:eastAsia="es-ES"/>
        </w:rPr>
      </w:pPr>
      <w:r w:rsidRPr="005A6F5E">
        <w:rPr>
          <w:rFonts w:ascii="Times New Roman" w:eastAsia="MS Mincho" w:hAnsi="Times New Roman" w:cs="Times New Roman"/>
          <w:bCs/>
          <w:sz w:val="24"/>
          <w:szCs w:val="24"/>
          <w:lang w:eastAsia="es-ES"/>
        </w:rPr>
        <w:t>Se realizó el procesamiento de esta información</w:t>
      </w:r>
      <w:r>
        <w:rPr>
          <w:rFonts w:ascii="Times New Roman" w:eastAsia="MS Mincho" w:hAnsi="Times New Roman" w:cs="Times New Roman"/>
          <w:bCs/>
          <w:sz w:val="24"/>
          <w:szCs w:val="24"/>
          <w:lang w:eastAsia="es-ES"/>
        </w:rPr>
        <w:t xml:space="preserve"> asociada a los factores</w:t>
      </w:r>
      <w:r w:rsidRPr="005A6F5E">
        <w:rPr>
          <w:rFonts w:ascii="Times New Roman" w:eastAsia="MS Mincho" w:hAnsi="Times New Roman" w:cs="Times New Roman"/>
          <w:bCs/>
          <w:sz w:val="24"/>
          <w:szCs w:val="24"/>
          <w:lang w:eastAsia="es-ES"/>
        </w:rPr>
        <w:t xml:space="preserve">, de modo que su referenciación espacial conjuntamente con las potencialidades de </w:t>
      </w:r>
      <w:proofErr w:type="spellStart"/>
      <w:r w:rsidRPr="005A6F5E">
        <w:rPr>
          <w:rFonts w:ascii="Times New Roman" w:eastAsia="MS Mincho" w:hAnsi="Times New Roman" w:cs="Times New Roman"/>
          <w:bCs/>
          <w:sz w:val="24"/>
          <w:szCs w:val="24"/>
          <w:lang w:eastAsia="es-ES"/>
        </w:rPr>
        <w:t>mapificación</w:t>
      </w:r>
      <w:proofErr w:type="spellEnd"/>
      <w:r w:rsidRPr="005A6F5E">
        <w:rPr>
          <w:rFonts w:ascii="Times New Roman" w:eastAsia="MS Mincho" w:hAnsi="Times New Roman" w:cs="Times New Roman"/>
          <w:bCs/>
          <w:sz w:val="24"/>
          <w:szCs w:val="24"/>
          <w:lang w:eastAsia="es-ES"/>
        </w:rPr>
        <w:t xml:space="preserve"> de los </w:t>
      </w:r>
      <w:r w:rsidRPr="005A6F5E">
        <w:rPr>
          <w:rFonts w:ascii="Times New Roman" w:eastAsia="MS Mincho" w:hAnsi="Times New Roman" w:cs="Times New Roman"/>
          <w:bCs/>
          <w:sz w:val="24"/>
          <w:szCs w:val="24"/>
          <w:lang w:eastAsia="es-ES"/>
        </w:rPr>
        <w:lastRenderedPageBreak/>
        <w:t>sistemas de información Geográfica</w:t>
      </w:r>
      <w:r>
        <w:rPr>
          <w:rFonts w:ascii="Times New Roman" w:eastAsia="MS Mincho" w:hAnsi="Times New Roman" w:cs="Times New Roman"/>
          <w:bCs/>
          <w:sz w:val="24"/>
          <w:szCs w:val="24"/>
          <w:lang w:eastAsia="es-ES"/>
        </w:rPr>
        <w:t>,</w:t>
      </w:r>
      <w:r w:rsidRPr="005A6F5E">
        <w:rPr>
          <w:rFonts w:ascii="Times New Roman" w:eastAsia="MS Mincho" w:hAnsi="Times New Roman" w:cs="Times New Roman"/>
          <w:bCs/>
          <w:sz w:val="24"/>
          <w:szCs w:val="24"/>
          <w:lang w:eastAsia="es-ES"/>
        </w:rPr>
        <w:t xml:space="preserve"> se </w:t>
      </w:r>
      <w:r>
        <w:rPr>
          <w:rFonts w:ascii="Times New Roman" w:eastAsia="MS Mincho" w:hAnsi="Times New Roman" w:cs="Times New Roman"/>
          <w:bCs/>
          <w:sz w:val="24"/>
          <w:szCs w:val="24"/>
          <w:lang w:eastAsia="es-ES"/>
        </w:rPr>
        <w:t>representen y visualicen</w:t>
      </w:r>
      <w:r w:rsidRPr="005A6F5E">
        <w:rPr>
          <w:rFonts w:ascii="Times New Roman" w:eastAsia="MS Mincho" w:hAnsi="Times New Roman" w:cs="Times New Roman"/>
          <w:bCs/>
          <w:sz w:val="24"/>
          <w:szCs w:val="24"/>
          <w:lang w:eastAsia="es-ES"/>
        </w:rPr>
        <w:t xml:space="preserve"> las condiciones de vulnerabilidad al que está sometido el recurso hídrico de la red CAL de Villa Clara.</w:t>
      </w:r>
    </w:p>
    <w:p w14:paraId="31686BA6" w14:textId="77777777" w:rsidR="00FF3346" w:rsidRDefault="00FF3346" w:rsidP="00FF3346">
      <w:pPr>
        <w:spacing w:after="0" w:line="360" w:lineRule="auto"/>
        <w:jc w:val="both"/>
        <w:rPr>
          <w:rFonts w:ascii="Times New Roman" w:hAnsi="Times New Roman" w:cs="Times New Roman"/>
          <w:sz w:val="24"/>
          <w:szCs w:val="24"/>
        </w:rPr>
      </w:pPr>
    </w:p>
    <w:p w14:paraId="0DF698D9" w14:textId="77777777"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14:paraId="28825A10" w14:textId="77777777" w:rsidR="00FC2721" w:rsidRPr="00FC2721" w:rsidRDefault="00FC2721" w:rsidP="00FC2721">
      <w:pPr>
        <w:spacing w:after="0" w:line="360" w:lineRule="auto"/>
        <w:jc w:val="both"/>
        <w:rPr>
          <w:rFonts w:ascii="Times New Roman" w:hAnsi="Times New Roman" w:cs="Times New Roman"/>
          <w:sz w:val="24"/>
          <w:szCs w:val="24"/>
        </w:rPr>
      </w:pPr>
      <w:r w:rsidRPr="00FC2721">
        <w:rPr>
          <w:rFonts w:ascii="Times New Roman" w:hAnsi="Times New Roman" w:cs="Times New Roman"/>
          <w:sz w:val="24"/>
          <w:szCs w:val="24"/>
        </w:rPr>
        <w:t xml:space="preserve">- Fue realizada una actualización bibliográfica sobre la aplicación de la Lógica Difusa en la estimación de vulnerabilidades en acuíferos. </w:t>
      </w:r>
    </w:p>
    <w:p w14:paraId="2BC5E776" w14:textId="77777777" w:rsidR="00FC2721" w:rsidRPr="00FC2721" w:rsidRDefault="00FC2721" w:rsidP="00FC2721">
      <w:pPr>
        <w:spacing w:after="0" w:line="360" w:lineRule="auto"/>
        <w:jc w:val="both"/>
        <w:rPr>
          <w:rFonts w:ascii="Times New Roman" w:hAnsi="Times New Roman" w:cs="Times New Roman"/>
          <w:sz w:val="24"/>
          <w:szCs w:val="24"/>
        </w:rPr>
      </w:pPr>
      <w:r w:rsidRPr="00FC2721">
        <w:rPr>
          <w:rFonts w:ascii="Times New Roman" w:hAnsi="Times New Roman" w:cs="Times New Roman"/>
          <w:sz w:val="24"/>
          <w:szCs w:val="24"/>
        </w:rPr>
        <w:t xml:space="preserve">- Se identificaron las principales experiencias nacionales e internacionales asociadas al proceso de evaluación y propuestas de soluciones para mitigar las vulnerabilidades en acuíferos. </w:t>
      </w:r>
    </w:p>
    <w:p w14:paraId="624D76ED" w14:textId="77777777" w:rsidR="00FC2721" w:rsidRPr="00FC2721" w:rsidRDefault="00FC2721" w:rsidP="00FC2721">
      <w:pPr>
        <w:spacing w:after="0" w:line="360" w:lineRule="auto"/>
        <w:jc w:val="both"/>
        <w:rPr>
          <w:rFonts w:ascii="Times New Roman" w:hAnsi="Times New Roman" w:cs="Times New Roman"/>
          <w:sz w:val="24"/>
          <w:szCs w:val="24"/>
        </w:rPr>
      </w:pPr>
      <w:r w:rsidRPr="00FC2721">
        <w:rPr>
          <w:rFonts w:ascii="Times New Roman" w:hAnsi="Times New Roman" w:cs="Times New Roman"/>
          <w:sz w:val="24"/>
          <w:szCs w:val="24"/>
        </w:rPr>
        <w:t xml:space="preserve">- Se propuso una nueva forma de relacionar distintos tipos de vulnerabilidades, la cual está basada </w:t>
      </w:r>
      <w:proofErr w:type="gramStart"/>
      <w:r w:rsidRPr="00FC2721">
        <w:rPr>
          <w:rFonts w:ascii="Times New Roman" w:hAnsi="Times New Roman" w:cs="Times New Roman"/>
          <w:sz w:val="24"/>
          <w:szCs w:val="24"/>
        </w:rPr>
        <w:t>en  técnicas</w:t>
      </w:r>
      <w:proofErr w:type="gramEnd"/>
      <w:r w:rsidRPr="00FC2721">
        <w:rPr>
          <w:rFonts w:ascii="Times New Roman" w:hAnsi="Times New Roman" w:cs="Times New Roman"/>
          <w:sz w:val="24"/>
          <w:szCs w:val="24"/>
        </w:rPr>
        <w:t xml:space="preserve"> de la Lógica Difusa.</w:t>
      </w:r>
    </w:p>
    <w:p w14:paraId="50D852DD" w14:textId="77777777" w:rsidR="00FC2721" w:rsidRPr="00FC2721" w:rsidRDefault="00FC2721" w:rsidP="00FC2721">
      <w:pPr>
        <w:spacing w:after="0" w:line="360" w:lineRule="auto"/>
        <w:jc w:val="both"/>
        <w:rPr>
          <w:rFonts w:ascii="Times New Roman" w:hAnsi="Times New Roman" w:cs="Times New Roman"/>
          <w:sz w:val="24"/>
          <w:szCs w:val="24"/>
        </w:rPr>
      </w:pPr>
      <w:r w:rsidRPr="00FC2721">
        <w:rPr>
          <w:rFonts w:ascii="Times New Roman" w:hAnsi="Times New Roman" w:cs="Times New Roman"/>
          <w:sz w:val="24"/>
          <w:szCs w:val="24"/>
        </w:rPr>
        <w:t xml:space="preserve">- Se recopilaron datos para realizar el cálculo realizado asociado a las principales cuencas hidrográficas y acuíferos pertenecientes a la provincia de Villa Clara mediante la confección de índices de carga contaminante que resultan representativos para el análisis y garantizan ser valores comprendidos entre cero y uno como </w:t>
      </w:r>
      <w:proofErr w:type="gramStart"/>
      <w:r w:rsidRPr="00FC2721">
        <w:rPr>
          <w:rFonts w:ascii="Times New Roman" w:hAnsi="Times New Roman" w:cs="Times New Roman"/>
          <w:sz w:val="24"/>
          <w:szCs w:val="24"/>
        </w:rPr>
        <w:t>requiere  la</w:t>
      </w:r>
      <w:proofErr w:type="gramEnd"/>
      <w:r w:rsidRPr="00FC2721">
        <w:rPr>
          <w:rFonts w:ascii="Times New Roman" w:hAnsi="Times New Roman" w:cs="Times New Roman"/>
          <w:sz w:val="24"/>
          <w:szCs w:val="24"/>
        </w:rPr>
        <w:t xml:space="preserve"> relación de inferencia difusa. </w:t>
      </w:r>
    </w:p>
    <w:p w14:paraId="1E04745D" w14:textId="5A60687B" w:rsidR="00FF3346" w:rsidRDefault="00FC2721" w:rsidP="00FC2721">
      <w:pPr>
        <w:spacing w:after="0" w:line="360" w:lineRule="auto"/>
        <w:jc w:val="both"/>
        <w:rPr>
          <w:rFonts w:ascii="Times New Roman" w:hAnsi="Times New Roman" w:cs="Times New Roman"/>
          <w:sz w:val="24"/>
          <w:szCs w:val="24"/>
        </w:rPr>
      </w:pPr>
      <w:r w:rsidRPr="00FC2721">
        <w:rPr>
          <w:rFonts w:ascii="Times New Roman" w:hAnsi="Times New Roman" w:cs="Times New Roman"/>
          <w:sz w:val="24"/>
          <w:szCs w:val="24"/>
        </w:rPr>
        <w:t xml:space="preserve">- Se determinó la selección de los coeficientes de importancia de los factores de la carga contaminante sobre la base del orden de relevancia desde la perspectiva de diversos </w:t>
      </w:r>
      <w:proofErr w:type="gramStart"/>
      <w:r w:rsidRPr="00FC2721">
        <w:rPr>
          <w:rFonts w:ascii="Times New Roman" w:hAnsi="Times New Roman" w:cs="Times New Roman"/>
          <w:sz w:val="24"/>
          <w:szCs w:val="24"/>
        </w:rPr>
        <w:t>criterios  objetivos</w:t>
      </w:r>
      <w:proofErr w:type="gramEnd"/>
      <w:r w:rsidRPr="00FC2721">
        <w:rPr>
          <w:rFonts w:ascii="Times New Roman" w:hAnsi="Times New Roman" w:cs="Times New Roman"/>
          <w:sz w:val="24"/>
          <w:szCs w:val="24"/>
        </w:rPr>
        <w:t xml:space="preserve"> aplicando el método multicriterio del </w:t>
      </w:r>
      <w:proofErr w:type="spellStart"/>
      <w:r w:rsidRPr="00FC2721">
        <w:rPr>
          <w:rFonts w:ascii="Times New Roman" w:hAnsi="Times New Roman" w:cs="Times New Roman"/>
          <w:sz w:val="24"/>
          <w:szCs w:val="24"/>
        </w:rPr>
        <w:t>Scoring</w:t>
      </w:r>
      <w:proofErr w:type="spellEnd"/>
      <w:r>
        <w:rPr>
          <w:rFonts w:ascii="Times New Roman" w:hAnsi="Times New Roman" w:cs="Times New Roman"/>
          <w:sz w:val="24"/>
          <w:szCs w:val="24"/>
        </w:rPr>
        <w:t>.</w:t>
      </w:r>
    </w:p>
    <w:p w14:paraId="3F9510D3" w14:textId="77777777" w:rsidR="00204CC1" w:rsidRDefault="00204CC1" w:rsidP="00FC2721">
      <w:pPr>
        <w:spacing w:after="0" w:line="360" w:lineRule="auto"/>
        <w:jc w:val="both"/>
        <w:rPr>
          <w:rFonts w:ascii="Times New Roman" w:hAnsi="Times New Roman" w:cs="Times New Roman"/>
          <w:sz w:val="24"/>
          <w:szCs w:val="24"/>
        </w:rPr>
      </w:pPr>
    </w:p>
    <w:p w14:paraId="2BF0E083" w14:textId="77777777" w:rsidR="00FF3346" w:rsidRPr="00D97678" w:rsidRDefault="00FF3346" w:rsidP="00FF3346">
      <w:pPr>
        <w:spacing w:after="0" w:line="360" w:lineRule="auto"/>
        <w:jc w:val="both"/>
        <w:rPr>
          <w:rFonts w:ascii="Times New Roman" w:hAnsi="Times New Roman" w:cs="Times New Roman"/>
          <w:b/>
          <w:sz w:val="24"/>
          <w:szCs w:val="24"/>
          <w:lang w:val="en-US"/>
        </w:rPr>
      </w:pPr>
      <w:r w:rsidRPr="00D97678">
        <w:rPr>
          <w:rFonts w:ascii="Times New Roman" w:hAnsi="Times New Roman" w:cs="Times New Roman"/>
          <w:b/>
          <w:sz w:val="24"/>
          <w:szCs w:val="24"/>
          <w:lang w:val="en-US"/>
        </w:rPr>
        <w:t xml:space="preserve">5. </w:t>
      </w:r>
      <w:proofErr w:type="spellStart"/>
      <w:r w:rsidRPr="00D97678">
        <w:rPr>
          <w:rFonts w:ascii="Times New Roman" w:hAnsi="Times New Roman" w:cs="Times New Roman"/>
          <w:b/>
          <w:sz w:val="24"/>
          <w:szCs w:val="24"/>
          <w:lang w:val="en-US"/>
        </w:rPr>
        <w:t>Referencias</w:t>
      </w:r>
      <w:proofErr w:type="spellEnd"/>
      <w:r w:rsidRPr="00D97678">
        <w:rPr>
          <w:rFonts w:ascii="Times New Roman" w:hAnsi="Times New Roman" w:cs="Times New Roman"/>
          <w:b/>
          <w:sz w:val="24"/>
          <w:szCs w:val="24"/>
          <w:lang w:val="en-US"/>
        </w:rPr>
        <w:t xml:space="preserve"> </w:t>
      </w:r>
      <w:proofErr w:type="spellStart"/>
      <w:r w:rsidRPr="00D97678">
        <w:rPr>
          <w:rFonts w:ascii="Times New Roman" w:hAnsi="Times New Roman" w:cs="Times New Roman"/>
          <w:b/>
          <w:sz w:val="24"/>
          <w:szCs w:val="24"/>
          <w:lang w:val="en-US"/>
        </w:rPr>
        <w:t>bibliográficas</w:t>
      </w:r>
      <w:proofErr w:type="spellEnd"/>
    </w:p>
    <w:p w14:paraId="29FAD214" w14:textId="165A1D0A" w:rsidR="00CA6AC6" w:rsidRPr="00D97678" w:rsidRDefault="00CA6AC6" w:rsidP="00FF3346">
      <w:pPr>
        <w:spacing w:after="0" w:line="360" w:lineRule="auto"/>
        <w:jc w:val="both"/>
        <w:rPr>
          <w:rFonts w:ascii="Times New Roman" w:hAnsi="Times New Roman" w:cs="Times New Roman"/>
          <w:sz w:val="24"/>
          <w:szCs w:val="24"/>
          <w:lang w:val="en-US"/>
        </w:rPr>
      </w:pPr>
    </w:p>
    <w:sdt>
      <w:sdtPr>
        <w:rPr>
          <w:rFonts w:asciiTheme="minorHAnsi" w:eastAsiaTheme="minorHAnsi" w:hAnsiTheme="minorHAnsi" w:cstheme="minorBidi"/>
          <w:color w:val="auto"/>
          <w:sz w:val="22"/>
          <w:szCs w:val="22"/>
          <w:lang w:val="es-ES"/>
        </w:rPr>
        <w:id w:val="564761934"/>
        <w:docPartObj>
          <w:docPartGallery w:val="Bibliographies"/>
          <w:docPartUnique/>
        </w:docPartObj>
      </w:sdtPr>
      <w:sdtEndPr/>
      <w:sdtContent>
        <w:p w14:paraId="451021CC" w14:textId="77C6C252" w:rsidR="00CA6AC6" w:rsidRPr="00D97678" w:rsidRDefault="00CA6AC6">
          <w:pPr>
            <w:pStyle w:val="Heading1"/>
          </w:pPr>
        </w:p>
        <w:sdt>
          <w:sdtPr>
            <w:id w:val="-573587230"/>
            <w:bibliography/>
          </w:sdtPr>
          <w:sdtEndPr/>
          <w:sdtContent>
            <w:p w14:paraId="5A460388" w14:textId="77777777" w:rsidR="00C02F6C" w:rsidRDefault="00CA6AC6" w:rsidP="00C02F6C">
              <w:pPr>
                <w:pStyle w:val="Bibliography"/>
                <w:ind w:left="720" w:hanging="720"/>
                <w:rPr>
                  <w:noProof/>
                  <w:sz w:val="24"/>
                  <w:szCs w:val="24"/>
                </w:rPr>
              </w:pPr>
              <w:r>
                <w:fldChar w:fldCharType="begin"/>
              </w:r>
              <w:r w:rsidRPr="00D97678">
                <w:rPr>
                  <w:lang w:val="en-US"/>
                </w:rPr>
                <w:instrText xml:space="preserve"> BIBLIOGRAPHY </w:instrText>
              </w:r>
              <w:r>
                <w:fldChar w:fldCharType="separate"/>
              </w:r>
              <w:r w:rsidR="00C02F6C" w:rsidRPr="00D97678">
                <w:rPr>
                  <w:noProof/>
                  <w:lang w:val="en-US"/>
                </w:rPr>
                <w:t xml:space="preserve">Aller, L., Bennett, T., Lehr, J. H., Petty, R., &amp; Hackett, G. (1987). </w:t>
              </w:r>
              <w:r w:rsidR="00C02F6C" w:rsidRPr="00C02F6C">
                <w:rPr>
                  <w:i/>
                  <w:iCs/>
                  <w:noProof/>
                  <w:lang w:val="en-US"/>
                </w:rPr>
                <w:t>DRASTIC: A standardized system for evaluating ground water pollution potential using hydrogeologic settings.</w:t>
              </w:r>
              <w:r w:rsidR="00C02F6C" w:rsidRPr="00C02F6C">
                <w:rPr>
                  <w:noProof/>
                  <w:lang w:val="en-US"/>
                </w:rPr>
                <w:t xml:space="preserve"> </w:t>
              </w:r>
              <w:r w:rsidR="00C02F6C">
                <w:rPr>
                  <w:noProof/>
                </w:rPr>
                <w:t>Ada, Oklahoma: EPA.</w:t>
              </w:r>
              <w:bookmarkStart w:id="1" w:name="_GoBack"/>
              <w:bookmarkEnd w:id="1"/>
            </w:p>
            <w:p w14:paraId="4B025F6F" w14:textId="77777777" w:rsidR="00C02F6C" w:rsidRDefault="00C02F6C" w:rsidP="00C02F6C">
              <w:pPr>
                <w:pStyle w:val="Bibliography"/>
                <w:ind w:left="720" w:hanging="720"/>
                <w:rPr>
                  <w:noProof/>
                </w:rPr>
              </w:pPr>
              <w:r>
                <w:rPr>
                  <w:noProof/>
                </w:rPr>
                <w:t xml:space="preserve">Auge, M. (2004). Vulnerabilidad de acuíferos. </w:t>
              </w:r>
              <w:r>
                <w:rPr>
                  <w:i/>
                  <w:iCs/>
                  <w:noProof/>
                </w:rPr>
                <w:t>Revista Latino-Americana de Hidrogeología</w:t>
              </w:r>
              <w:r>
                <w:rPr>
                  <w:noProof/>
                </w:rPr>
                <w:t>, 85-103.</w:t>
              </w:r>
            </w:p>
            <w:p w14:paraId="3513F5CC" w14:textId="77777777" w:rsidR="00C02F6C" w:rsidRDefault="00C02F6C" w:rsidP="00C02F6C">
              <w:pPr>
                <w:pStyle w:val="Bibliography"/>
                <w:ind w:left="720" w:hanging="720"/>
                <w:rPr>
                  <w:noProof/>
                </w:rPr>
              </w:pPr>
              <w:r>
                <w:rPr>
                  <w:noProof/>
                </w:rPr>
                <w:t xml:space="preserve">Cáceres Barceló, J. J. (2019). </w:t>
              </w:r>
              <w:r>
                <w:rPr>
                  <w:i/>
                  <w:iCs/>
                  <w:noProof/>
                </w:rPr>
                <w:t>Análisis y visualización geoespacial de vulnerabilidades por contaminación a partir de la Red Cal para la provincia de Villa Clara, Cuba.</w:t>
              </w:r>
              <w:r>
                <w:rPr>
                  <w:noProof/>
                </w:rPr>
                <w:t xml:space="preserve"> Santa Clara, Cuba: Facultad de Construcciones, Universidad Central "Marta Abreu" de Las Villas.</w:t>
              </w:r>
            </w:p>
            <w:p w14:paraId="59C97018" w14:textId="77777777" w:rsidR="00C02F6C" w:rsidRDefault="00C02F6C" w:rsidP="00C02F6C">
              <w:pPr>
                <w:pStyle w:val="Bibliography"/>
                <w:ind w:left="720" w:hanging="720"/>
                <w:rPr>
                  <w:noProof/>
                </w:rPr>
              </w:pPr>
              <w:r>
                <w:rPr>
                  <w:noProof/>
                </w:rPr>
                <w:lastRenderedPageBreak/>
                <w:t xml:space="preserve">Foster, S., &amp; Hirata, R. (1991). </w:t>
              </w:r>
              <w:r>
                <w:rPr>
                  <w:i/>
                  <w:iCs/>
                  <w:noProof/>
                </w:rPr>
                <w:t>Determinación del riesgo de contaminación de aguas subterráneas. Una metodología basada en datos existentes.</w:t>
              </w:r>
              <w:r>
                <w:rPr>
                  <w:noProof/>
                </w:rPr>
                <w:t xml:space="preserve"> Lima, Perú: CEPIS.</w:t>
              </w:r>
            </w:p>
            <w:p w14:paraId="1FDE3285" w14:textId="77777777" w:rsidR="00C02F6C" w:rsidRDefault="00C02F6C" w:rsidP="00C02F6C">
              <w:pPr>
                <w:pStyle w:val="Bibliography"/>
                <w:ind w:left="720" w:hanging="720"/>
                <w:rPr>
                  <w:noProof/>
                </w:rPr>
              </w:pPr>
              <w:r>
                <w:rPr>
                  <w:noProof/>
                </w:rPr>
                <w:t xml:space="preserve">Foster, S., Hirata, R., Gomes, D., D´Elia, M., &amp; Paris, M. (2002). </w:t>
              </w:r>
              <w:r>
                <w:rPr>
                  <w:i/>
                  <w:iCs/>
                  <w:noProof/>
                </w:rPr>
                <w:t>Protección de la Calidad del Água Subterránea.</w:t>
              </w:r>
              <w:r>
                <w:rPr>
                  <w:noProof/>
                </w:rPr>
                <w:t xml:space="preserve"> Washington, D.C.,USA.: Banco Internacional de Reconstrucción y Fomento / Banco Mundial.</w:t>
              </w:r>
            </w:p>
            <w:p w14:paraId="2A44DE14" w14:textId="77777777" w:rsidR="00C02F6C" w:rsidRDefault="00C02F6C" w:rsidP="00C02F6C">
              <w:pPr>
                <w:pStyle w:val="Bibliography"/>
                <w:ind w:left="720" w:hanging="720"/>
                <w:rPr>
                  <w:noProof/>
                </w:rPr>
              </w:pPr>
              <w:r>
                <w:rPr>
                  <w:noProof/>
                </w:rPr>
                <w:t xml:space="preserve">Gaviria S., J., &amp; Betancur V., T. (2005). Una caracterización de carga contaminante a los acuíferos libres del Bajo Cauca Antioqueño. </w:t>
              </w:r>
              <w:r>
                <w:rPr>
                  <w:i/>
                  <w:iCs/>
                  <w:noProof/>
                </w:rPr>
                <w:t>Gestión y Ambiente, 8</w:t>
              </w:r>
              <w:r>
                <w:rPr>
                  <w:noProof/>
                </w:rPr>
                <w:t>(2), 85-102.</w:t>
              </w:r>
            </w:p>
            <w:p w14:paraId="2F085CDD" w14:textId="77777777" w:rsidR="00C02F6C" w:rsidRDefault="00C02F6C" w:rsidP="00C02F6C">
              <w:pPr>
                <w:pStyle w:val="Bibliography"/>
                <w:ind w:left="720" w:hanging="720"/>
                <w:rPr>
                  <w:noProof/>
                </w:rPr>
              </w:pPr>
              <w:r>
                <w:rPr>
                  <w:noProof/>
                </w:rPr>
                <w:t xml:space="preserve">González Herrera, R. A., Albornoz Euán, B., Sánchez y Pinto, I., &amp; Osorio Rodríguez, J. (2018). EL ACUÍFERO YUCATECO. ANÁLISIS DEL RIESGO DE CONTAMINACIÓN CON APOYO DE UN SISTEMA DE INFORMACIÓN GEOGRÁFICA. </w:t>
              </w:r>
              <w:r>
                <w:rPr>
                  <w:i/>
                  <w:iCs/>
                  <w:noProof/>
                </w:rPr>
                <w:t>Revista Internacional de Contaminación Ambiental, 34</w:t>
              </w:r>
              <w:r>
                <w:rPr>
                  <w:noProof/>
                </w:rPr>
                <w:t>(4), 667-683.</w:t>
              </w:r>
            </w:p>
            <w:p w14:paraId="6EDF5B94" w14:textId="77777777" w:rsidR="00C02F6C" w:rsidRDefault="00C02F6C" w:rsidP="00C02F6C">
              <w:pPr>
                <w:pStyle w:val="Bibliography"/>
                <w:ind w:left="720" w:hanging="720"/>
                <w:rPr>
                  <w:noProof/>
                </w:rPr>
              </w:pPr>
              <w:r>
                <w:rPr>
                  <w:noProof/>
                </w:rPr>
                <w:t xml:space="preserve">Macián Sorribes, H. (2012). </w:t>
              </w:r>
              <w:r>
                <w:rPr>
                  <w:i/>
                  <w:iCs/>
                  <w:noProof/>
                </w:rPr>
                <w:t>Utilización de la lógica difusa en la gestión de embalses. Aplicación a los ríos Sorbe, Esla y Mijares.</w:t>
              </w:r>
              <w:r>
                <w:rPr>
                  <w:noProof/>
                </w:rPr>
                <w:t xml:space="preserve"> Valencia: Departamento de Ingeniería Hidráulica y Medio Ambiente. Universitat Politècnica de València.</w:t>
              </w:r>
            </w:p>
            <w:p w14:paraId="09C9400B" w14:textId="77777777" w:rsidR="00C02F6C" w:rsidRDefault="00C02F6C" w:rsidP="00C02F6C">
              <w:pPr>
                <w:pStyle w:val="Bibliography"/>
                <w:ind w:left="720" w:hanging="720"/>
                <w:rPr>
                  <w:noProof/>
                </w:rPr>
              </w:pPr>
              <w:r>
                <w:rPr>
                  <w:noProof/>
                </w:rPr>
                <w:t xml:space="preserve">Massone, H., Meschino, G., Lima, M. L., Albornoz, D., Barilari, A., &amp; Damiano, F. (2013). Aplicación de lógica difusa en la evaluación de vulnerabilidad de contaminación del agua subterránea. </w:t>
              </w:r>
              <w:r>
                <w:rPr>
                  <w:i/>
                  <w:iCs/>
                  <w:noProof/>
                </w:rPr>
                <w:t>Temas actuales de la hidrología subterránea</w:t>
              </w:r>
              <w:r>
                <w:rPr>
                  <w:noProof/>
                </w:rPr>
                <w:t>, 287-294.</w:t>
              </w:r>
            </w:p>
            <w:p w14:paraId="08AAA278" w14:textId="77777777" w:rsidR="00C02F6C" w:rsidRDefault="00C02F6C" w:rsidP="00C02F6C">
              <w:pPr>
                <w:pStyle w:val="Bibliography"/>
                <w:ind w:left="720" w:hanging="720"/>
                <w:rPr>
                  <w:noProof/>
                </w:rPr>
              </w:pPr>
              <w:r>
                <w:rPr>
                  <w:noProof/>
                </w:rPr>
                <w:t xml:space="preserve">Nobre, R., Rotunno Filh, O., Mansur, W., Nobre, M., &amp; Cosenza, C. (Diciembre de 2007). </w:t>
              </w:r>
              <w:r w:rsidRPr="00C02F6C">
                <w:rPr>
                  <w:noProof/>
                  <w:lang w:val="en-US"/>
                </w:rPr>
                <w:t xml:space="preserve">Groundwater vulnerability and risk mapping using GIS, modeling and a fuzzy logic tool. </w:t>
              </w:r>
              <w:r>
                <w:rPr>
                  <w:i/>
                  <w:iCs/>
                  <w:noProof/>
                </w:rPr>
                <w:t>Journal of Contaminant Hydrology</w:t>
              </w:r>
              <w:r>
                <w:rPr>
                  <w:noProof/>
                </w:rPr>
                <w:t>, 277-292.</w:t>
              </w:r>
            </w:p>
            <w:p w14:paraId="1527791D" w14:textId="77777777" w:rsidR="00C02F6C" w:rsidRDefault="00C02F6C" w:rsidP="00C02F6C">
              <w:pPr>
                <w:pStyle w:val="Bibliography"/>
                <w:ind w:left="720" w:hanging="720"/>
                <w:rPr>
                  <w:noProof/>
                </w:rPr>
              </w:pPr>
              <w:r>
                <w:rPr>
                  <w:noProof/>
                </w:rPr>
                <w:t>Roche, H., &amp; Viejo, C. (2005). Análisis Multicriterio en la toma de decisiones.</w:t>
              </w:r>
            </w:p>
            <w:p w14:paraId="16ED655B" w14:textId="6E84F463" w:rsidR="00CA6AC6" w:rsidRDefault="00CA6AC6" w:rsidP="00C02F6C">
              <w:r>
                <w:rPr>
                  <w:b/>
                  <w:bCs/>
                  <w:noProof/>
                </w:rPr>
                <w:fldChar w:fldCharType="end"/>
              </w:r>
            </w:p>
          </w:sdtContent>
        </w:sdt>
      </w:sdtContent>
    </w:sdt>
    <w:p w14:paraId="1A18BEF5" w14:textId="77777777" w:rsidR="00CA6AC6" w:rsidRPr="009D5E02" w:rsidRDefault="00CA6AC6" w:rsidP="00FF3346">
      <w:pPr>
        <w:spacing w:after="0" w:line="360" w:lineRule="auto"/>
        <w:jc w:val="both"/>
        <w:rPr>
          <w:rFonts w:ascii="Times New Roman" w:hAnsi="Times New Roman" w:cs="Times New Roman"/>
          <w:sz w:val="24"/>
          <w:szCs w:val="24"/>
        </w:rPr>
      </w:pPr>
    </w:p>
    <w:sectPr w:rsidR="00CA6AC6" w:rsidRPr="009D5E02" w:rsidSect="00C8585B">
      <w:headerReference w:type="default" r:id="rId22"/>
      <w:footerReference w:type="default" r:id="rId23"/>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16A1C" w14:textId="77777777" w:rsidR="009C23E2" w:rsidRDefault="009C23E2" w:rsidP="00C8585B">
      <w:pPr>
        <w:spacing w:after="0" w:line="240" w:lineRule="auto"/>
      </w:pPr>
      <w:r>
        <w:separator/>
      </w:r>
    </w:p>
  </w:endnote>
  <w:endnote w:type="continuationSeparator" w:id="0">
    <w:p w14:paraId="58638F4F" w14:textId="77777777" w:rsidR="009C23E2" w:rsidRDefault="009C23E2"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70190"/>
      <w:docPartObj>
        <w:docPartGallery w:val="Page Numbers (Bottom of Page)"/>
        <w:docPartUnique/>
      </w:docPartObj>
    </w:sdtPr>
    <w:sdtEndPr/>
    <w:sdtContent>
      <w:p w14:paraId="72DA2201" w14:textId="77777777" w:rsidR="009D5E02" w:rsidRDefault="00E40131">
        <w:pPr>
          <w:pStyle w:val="Footer"/>
          <w:jc w:val="right"/>
        </w:pPr>
        <w:r>
          <w:fldChar w:fldCharType="begin"/>
        </w:r>
        <w:r>
          <w:instrText xml:space="preserve"> PAGE   \* MERGEFORMAT </w:instrText>
        </w:r>
        <w:r>
          <w:fldChar w:fldCharType="separate"/>
        </w:r>
        <w:r w:rsidR="000A6EC7">
          <w:rPr>
            <w:noProof/>
          </w:rPr>
          <w:t>1</w:t>
        </w:r>
        <w:r>
          <w:rPr>
            <w:noProof/>
          </w:rPr>
          <w:fldChar w:fldCharType="end"/>
        </w:r>
      </w:p>
    </w:sdtContent>
  </w:sdt>
  <w:p w14:paraId="35576F8F" w14:textId="4DD7FAD1" w:rsidR="009D5E02" w:rsidRPr="00C8585B" w:rsidRDefault="00867011" w:rsidP="00C8585B">
    <w:pPr>
      <w:pStyle w:val="Header"/>
      <w:jc w:val="center"/>
      <w:rPr>
        <w:rFonts w:ascii="Verdana" w:hAnsi="Verdana"/>
        <w:b/>
        <w:sz w:val="16"/>
        <w:szCs w:val="16"/>
        <w:lang w:val="es-ES_tradnl"/>
      </w:rPr>
    </w:pPr>
    <w:r w:rsidRPr="00867011">
      <w:rPr>
        <w:rFonts w:ascii="Verdana" w:hAnsi="Verdana"/>
        <w:b/>
        <w:sz w:val="16"/>
        <w:szCs w:val="16"/>
        <w:lang w:val="es-ES_tradnl"/>
      </w:rPr>
      <w:t>Seguridad hídrica de acuíferos en pozos de abasto de agua potable</w:t>
    </w:r>
    <w:r>
      <w:rPr>
        <w:rFonts w:ascii="Verdana" w:hAnsi="Verdana"/>
        <w:b/>
        <w:sz w:val="16"/>
        <w:szCs w:val="16"/>
        <w:lang w:val="es-ES_tradnl"/>
      </w:rPr>
      <w:t>.</w:t>
    </w:r>
    <w:r w:rsidR="000A6EC7">
      <w:rPr>
        <w:rFonts w:ascii="Verdana" w:hAnsi="Verdana"/>
        <w:b/>
        <w:sz w:val="16"/>
        <w:szCs w:val="16"/>
        <w:lang w:val="es-ES_tradnl"/>
      </w:rPr>
      <w:t xml:space="preserve"> </w:t>
    </w:r>
    <w:r w:rsidR="009D5E02" w:rsidRPr="00C8585B">
      <w:rPr>
        <w:rFonts w:ascii="Verdana" w:hAnsi="Verdana"/>
        <w:b/>
        <w:sz w:val="16"/>
        <w:szCs w:val="16"/>
        <w:lang w:val="es-ES_tradnl"/>
      </w:rPr>
      <w:t>Convención</w:t>
    </w:r>
    <w:r w:rsidR="00BC770B">
      <w:rPr>
        <w:rFonts w:ascii="Verdana" w:hAnsi="Verdana"/>
        <w:b/>
        <w:sz w:val="16"/>
        <w:szCs w:val="16"/>
        <w:lang w:val="es-ES_tradnl"/>
      </w:rPr>
      <w:t xml:space="preserve"> </w:t>
    </w:r>
    <w:r w:rsidR="009D5E02" w:rsidRPr="00C8585B">
      <w:rPr>
        <w:rFonts w:ascii="Verdana" w:hAnsi="Verdana"/>
        <w:b/>
        <w:sz w:val="16"/>
        <w:szCs w:val="16"/>
        <w:lang w:val="es-ES_tradnl"/>
      </w:rPr>
      <w:t>20</w:t>
    </w:r>
    <w:r w:rsidR="00671849">
      <w:rPr>
        <w:rFonts w:ascii="Verdana" w:hAnsi="Verdana"/>
        <w:b/>
        <w:sz w:val="16"/>
        <w:szCs w:val="16"/>
        <w:lang w:val="es-ES_tradnl"/>
      </w:rPr>
      <w:t>21</w:t>
    </w:r>
  </w:p>
  <w:p w14:paraId="765F89B4" w14:textId="77777777" w:rsidR="009D5E02" w:rsidRPr="00C8585B" w:rsidRDefault="009D5E02" w:rsidP="00C8585B">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4A32A68A" w14:textId="61789C95" w:rsidR="009D5E02" w:rsidRDefault="00867011" w:rsidP="00867011">
    <w:pPr>
      <w:pStyle w:val="Footer"/>
      <w:jc w:val="center"/>
    </w:pPr>
    <w:r w:rsidRPr="00867011">
      <w:rPr>
        <w:rFonts w:ascii="Verdana" w:hAnsi="Verdana"/>
        <w:b/>
        <w:sz w:val="16"/>
        <w:szCs w:val="16"/>
        <w:lang w:val="es-ES_tradnl"/>
      </w:rPr>
      <w:t>SEGURIDAD HÍDRICA DE ACUÍFEROS EN POZOS DE ABASTO DE AGUA POTABLE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2F4B3" w14:textId="77777777" w:rsidR="009C23E2" w:rsidRDefault="009C23E2" w:rsidP="00C8585B">
      <w:pPr>
        <w:spacing w:after="0" w:line="240" w:lineRule="auto"/>
      </w:pPr>
      <w:r>
        <w:separator/>
      </w:r>
    </w:p>
  </w:footnote>
  <w:footnote w:type="continuationSeparator" w:id="0">
    <w:p w14:paraId="034B0B6D" w14:textId="77777777" w:rsidR="009C23E2" w:rsidRDefault="009C23E2"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57" w:type="dxa"/>
      <w:jc w:val="center"/>
      <w:tblLayout w:type="fixed"/>
      <w:tblLook w:val="04A0" w:firstRow="1" w:lastRow="0" w:firstColumn="1" w:lastColumn="0" w:noHBand="0" w:noVBand="1"/>
    </w:tblPr>
    <w:tblGrid>
      <w:gridCol w:w="1425"/>
      <w:gridCol w:w="8632"/>
    </w:tblGrid>
    <w:tr w:rsidR="00F31B37" w:rsidRPr="004D77C8" w14:paraId="07FD1ECB" w14:textId="77777777" w:rsidTr="00F31B37">
      <w:trPr>
        <w:trHeight w:val="1114"/>
        <w:jc w:val="center"/>
      </w:trPr>
      <w:tc>
        <w:tcPr>
          <w:tcW w:w="1425" w:type="dxa"/>
        </w:tcPr>
        <w:p w14:paraId="048EE49C" w14:textId="77777777" w:rsidR="00F31B37" w:rsidRPr="004D77C8" w:rsidRDefault="00F31B37" w:rsidP="00C8585B">
          <w:pPr>
            <w:pStyle w:val="Header"/>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65920" behindDoc="1" locked="0" layoutInCell="1" allowOverlap="1" wp14:anchorId="5F35F743" wp14:editId="345BA3D3">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78E4F0B0" w14:textId="77777777" w:rsidR="00F31B37" w:rsidRDefault="00F31B37" w:rsidP="00F31B37">
          <w:pPr>
            <w:pStyle w:val="Header"/>
            <w:jc w:val="center"/>
            <w:rPr>
              <w:rFonts w:ascii="Verdana" w:hAnsi="Verdana"/>
              <w:b/>
              <w:sz w:val="16"/>
              <w:szCs w:val="16"/>
              <w:lang w:val="es-ES_tradnl"/>
            </w:rPr>
          </w:pPr>
        </w:p>
        <w:p w14:paraId="01F27CBD" w14:textId="236DB2ED" w:rsidR="00F31B37" w:rsidRPr="00C8585B" w:rsidRDefault="001E4DC1" w:rsidP="00F31B37">
          <w:pPr>
            <w:pStyle w:val="Header"/>
            <w:jc w:val="center"/>
            <w:rPr>
              <w:rFonts w:ascii="Verdana" w:hAnsi="Verdana"/>
              <w:b/>
              <w:sz w:val="16"/>
              <w:szCs w:val="16"/>
              <w:lang w:val="es-ES_tradnl"/>
            </w:rPr>
          </w:pPr>
          <w:r w:rsidRPr="001E4DC1">
            <w:rPr>
              <w:rFonts w:ascii="Verdana" w:hAnsi="Verdana"/>
              <w:b/>
              <w:sz w:val="16"/>
              <w:szCs w:val="16"/>
              <w:lang w:val="es-ES_tradnl"/>
            </w:rPr>
            <w:t>Seguridad hídrica de acuíferos en pozos de abasto de agua potable</w:t>
          </w:r>
          <w:r>
            <w:rPr>
              <w:rFonts w:ascii="Verdana" w:hAnsi="Verdana"/>
              <w:b/>
              <w:sz w:val="16"/>
              <w:szCs w:val="16"/>
              <w:lang w:val="es-ES_tradnl"/>
            </w:rPr>
            <w:t>.</w:t>
          </w:r>
          <w:r w:rsidR="000A6EC7">
            <w:rPr>
              <w:rFonts w:ascii="Verdana" w:hAnsi="Verdana"/>
              <w:b/>
              <w:sz w:val="16"/>
              <w:szCs w:val="16"/>
              <w:lang w:val="es-ES_tradnl"/>
            </w:rPr>
            <w:t xml:space="preserve"> </w:t>
          </w:r>
          <w:r w:rsidR="00F31B37" w:rsidRPr="00C8585B">
            <w:rPr>
              <w:rFonts w:ascii="Verdana" w:hAnsi="Verdana"/>
              <w:b/>
              <w:sz w:val="16"/>
              <w:szCs w:val="16"/>
              <w:lang w:val="es-ES_tradnl"/>
            </w:rPr>
            <w:t xml:space="preserve">Convención </w:t>
          </w:r>
          <w:r w:rsidR="00F31B37">
            <w:rPr>
              <w:rFonts w:ascii="Verdana" w:hAnsi="Verdana"/>
              <w:b/>
              <w:sz w:val="16"/>
              <w:szCs w:val="16"/>
              <w:lang w:val="es-ES_tradnl"/>
            </w:rPr>
            <w:t>2021</w:t>
          </w:r>
        </w:p>
        <w:p w14:paraId="4EA8083F" w14:textId="77777777" w:rsidR="00F31B37" w:rsidRPr="00C8585B" w:rsidRDefault="00F31B37" w:rsidP="00F31B37">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1F512B76" w14:textId="064BC268" w:rsidR="00F31B37" w:rsidRPr="001E4DC1" w:rsidRDefault="001E4DC1" w:rsidP="00F31B37">
          <w:pPr>
            <w:pStyle w:val="Header"/>
            <w:jc w:val="center"/>
            <w:rPr>
              <w:rFonts w:ascii="Verdana" w:hAnsi="Verdana"/>
              <w:b/>
              <w:sz w:val="18"/>
              <w:szCs w:val="18"/>
            </w:rPr>
          </w:pPr>
          <w:r w:rsidRPr="001E4DC1">
            <w:rPr>
              <w:rFonts w:ascii="Verdana" w:hAnsi="Verdana"/>
              <w:b/>
              <w:sz w:val="16"/>
              <w:szCs w:val="16"/>
              <w:lang w:val="es-ES_tradnl"/>
            </w:rPr>
            <w:t>SEGURIDAD HÍDRICA DE ACUÍFEROS EN POZOS DE ABASTO DE AGUA POTABLE</w:t>
          </w:r>
        </w:p>
      </w:tc>
    </w:tr>
  </w:tbl>
  <w:p w14:paraId="14930BD2" w14:textId="77777777" w:rsidR="009D5E02" w:rsidRDefault="009D5E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08B9"/>
    <w:multiLevelType w:val="hybridMultilevel"/>
    <w:tmpl w:val="B9884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00060C"/>
    <w:multiLevelType w:val="hybridMultilevel"/>
    <w:tmpl w:val="61EC3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3B2539E"/>
    <w:multiLevelType w:val="hybridMultilevel"/>
    <w:tmpl w:val="ADD2F40C"/>
    <w:lvl w:ilvl="0" w:tplc="87728D92">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E101084"/>
    <w:multiLevelType w:val="hybridMultilevel"/>
    <w:tmpl w:val="B1129494"/>
    <w:lvl w:ilvl="0" w:tplc="D9680D4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5B"/>
    <w:rsid w:val="00044CA9"/>
    <w:rsid w:val="00046F14"/>
    <w:rsid w:val="00084C6B"/>
    <w:rsid w:val="00097945"/>
    <w:rsid w:val="000A6EC7"/>
    <w:rsid w:val="000C14DC"/>
    <w:rsid w:val="00110284"/>
    <w:rsid w:val="00124597"/>
    <w:rsid w:val="00152E93"/>
    <w:rsid w:val="0019568F"/>
    <w:rsid w:val="001E4DC1"/>
    <w:rsid w:val="00204CC1"/>
    <w:rsid w:val="002C1CE7"/>
    <w:rsid w:val="002D658A"/>
    <w:rsid w:val="002E0882"/>
    <w:rsid w:val="002E272A"/>
    <w:rsid w:val="002F6787"/>
    <w:rsid w:val="0030345D"/>
    <w:rsid w:val="00342B1D"/>
    <w:rsid w:val="00403285"/>
    <w:rsid w:val="00405A6B"/>
    <w:rsid w:val="00414B3C"/>
    <w:rsid w:val="004523DC"/>
    <w:rsid w:val="00473663"/>
    <w:rsid w:val="004C2DF0"/>
    <w:rsid w:val="00521BDB"/>
    <w:rsid w:val="00557C72"/>
    <w:rsid w:val="005754D8"/>
    <w:rsid w:val="006271E4"/>
    <w:rsid w:val="00667F10"/>
    <w:rsid w:val="00671849"/>
    <w:rsid w:val="006C4AE4"/>
    <w:rsid w:val="007455FF"/>
    <w:rsid w:val="007E31AD"/>
    <w:rsid w:val="00805679"/>
    <w:rsid w:val="00815971"/>
    <w:rsid w:val="008575C2"/>
    <w:rsid w:val="00867011"/>
    <w:rsid w:val="0088159E"/>
    <w:rsid w:val="00890F3A"/>
    <w:rsid w:val="008A1C16"/>
    <w:rsid w:val="008A3753"/>
    <w:rsid w:val="008B7E00"/>
    <w:rsid w:val="008D308B"/>
    <w:rsid w:val="00900DB1"/>
    <w:rsid w:val="009061A5"/>
    <w:rsid w:val="0091621C"/>
    <w:rsid w:val="009221F8"/>
    <w:rsid w:val="009241E7"/>
    <w:rsid w:val="00987278"/>
    <w:rsid w:val="009B1EF2"/>
    <w:rsid w:val="009C23E2"/>
    <w:rsid w:val="009C2F29"/>
    <w:rsid w:val="009D5E02"/>
    <w:rsid w:val="009D67CD"/>
    <w:rsid w:val="00A156A5"/>
    <w:rsid w:val="00A21A1F"/>
    <w:rsid w:val="00A62A14"/>
    <w:rsid w:val="00A8247D"/>
    <w:rsid w:val="00AA0AC8"/>
    <w:rsid w:val="00AE0869"/>
    <w:rsid w:val="00AE534B"/>
    <w:rsid w:val="00AF0F65"/>
    <w:rsid w:val="00AF423C"/>
    <w:rsid w:val="00B17324"/>
    <w:rsid w:val="00B2024E"/>
    <w:rsid w:val="00B80E97"/>
    <w:rsid w:val="00BC770B"/>
    <w:rsid w:val="00C02F6C"/>
    <w:rsid w:val="00C17100"/>
    <w:rsid w:val="00C20290"/>
    <w:rsid w:val="00C8585B"/>
    <w:rsid w:val="00CA6AC6"/>
    <w:rsid w:val="00CD2BC3"/>
    <w:rsid w:val="00CE2BA0"/>
    <w:rsid w:val="00CF3DB2"/>
    <w:rsid w:val="00D36D1C"/>
    <w:rsid w:val="00D73DE9"/>
    <w:rsid w:val="00D97678"/>
    <w:rsid w:val="00DA7A0C"/>
    <w:rsid w:val="00E40131"/>
    <w:rsid w:val="00E86A6A"/>
    <w:rsid w:val="00E912D0"/>
    <w:rsid w:val="00EC78BC"/>
    <w:rsid w:val="00F17EDD"/>
    <w:rsid w:val="00F31B37"/>
    <w:rsid w:val="00F36E31"/>
    <w:rsid w:val="00FA1F13"/>
    <w:rsid w:val="00FB7C1B"/>
    <w:rsid w:val="00FC2721"/>
    <w:rsid w:val="00FD5C76"/>
    <w:rsid w:val="00FE3678"/>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92336"/>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paragraph" w:styleId="Heading1">
    <w:name w:val="heading 1"/>
    <w:basedOn w:val="Normal"/>
    <w:next w:val="Normal"/>
    <w:link w:val="Heading1Char"/>
    <w:uiPriority w:val="9"/>
    <w:qFormat/>
    <w:rsid w:val="00CA6AC6"/>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character" w:styleId="UnresolvedMention">
    <w:name w:val="Unresolved Mention"/>
    <w:basedOn w:val="DefaultParagraphFont"/>
    <w:uiPriority w:val="99"/>
    <w:semiHidden/>
    <w:unhideWhenUsed/>
    <w:rsid w:val="00B17324"/>
    <w:rPr>
      <w:color w:val="605E5C"/>
      <w:shd w:val="clear" w:color="auto" w:fill="E1DFDD"/>
    </w:rPr>
  </w:style>
  <w:style w:type="paragraph" w:styleId="Caption">
    <w:name w:val="caption"/>
    <w:basedOn w:val="Normal"/>
    <w:next w:val="Normal"/>
    <w:uiPriority w:val="35"/>
    <w:unhideWhenUsed/>
    <w:qFormat/>
    <w:rsid w:val="004523DC"/>
    <w:pPr>
      <w:spacing w:line="240" w:lineRule="auto"/>
    </w:pPr>
    <w:rPr>
      <w:rFonts w:ascii="Times New Roman" w:eastAsia="Times New Roman" w:hAnsi="Times New Roman" w:cs="Times New Roman"/>
      <w:i/>
      <w:iCs/>
      <w:color w:val="1F497D" w:themeColor="text2"/>
      <w:sz w:val="18"/>
      <w:szCs w:val="18"/>
      <w:lang w:val="es-ES_tradnl" w:eastAsia="es-ES_tradnl"/>
    </w:rPr>
  </w:style>
  <w:style w:type="paragraph" w:styleId="EndnoteText">
    <w:name w:val="endnote text"/>
    <w:basedOn w:val="Normal"/>
    <w:link w:val="EndnoteTextChar"/>
    <w:uiPriority w:val="99"/>
    <w:semiHidden/>
    <w:unhideWhenUsed/>
    <w:rsid w:val="00C2029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0290"/>
    <w:rPr>
      <w:sz w:val="20"/>
      <w:szCs w:val="20"/>
    </w:rPr>
  </w:style>
  <w:style w:type="character" w:styleId="EndnoteReference">
    <w:name w:val="endnote reference"/>
    <w:basedOn w:val="DefaultParagraphFont"/>
    <w:uiPriority w:val="99"/>
    <w:semiHidden/>
    <w:unhideWhenUsed/>
    <w:rsid w:val="00C20290"/>
    <w:rPr>
      <w:vertAlign w:val="superscript"/>
    </w:rPr>
  </w:style>
  <w:style w:type="character" w:customStyle="1" w:styleId="Heading1Char">
    <w:name w:val="Heading 1 Char"/>
    <w:basedOn w:val="DefaultParagraphFont"/>
    <w:link w:val="Heading1"/>
    <w:uiPriority w:val="9"/>
    <w:rsid w:val="00CA6AC6"/>
    <w:rPr>
      <w:rFonts w:asciiTheme="majorHAnsi" w:eastAsiaTheme="majorEastAsia" w:hAnsiTheme="majorHAnsi" w:cstheme="majorBidi"/>
      <w:color w:val="365F91" w:themeColor="accent1" w:themeShade="BF"/>
      <w:sz w:val="32"/>
      <w:szCs w:val="32"/>
      <w:lang w:val="en-US"/>
    </w:rPr>
  </w:style>
  <w:style w:type="paragraph" w:styleId="Bibliography">
    <w:name w:val="Bibliography"/>
    <w:basedOn w:val="Normal"/>
    <w:next w:val="Normal"/>
    <w:uiPriority w:val="37"/>
    <w:unhideWhenUsed/>
    <w:rsid w:val="00CA6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48008">
      <w:bodyDiv w:val="1"/>
      <w:marLeft w:val="0"/>
      <w:marRight w:val="0"/>
      <w:marTop w:val="0"/>
      <w:marBottom w:val="0"/>
      <w:divBdr>
        <w:top w:val="none" w:sz="0" w:space="0" w:color="auto"/>
        <w:left w:val="none" w:sz="0" w:space="0" w:color="auto"/>
        <w:bottom w:val="none" w:sz="0" w:space="0" w:color="auto"/>
        <w:right w:val="none" w:sz="0" w:space="0" w:color="auto"/>
      </w:divBdr>
    </w:div>
    <w:div w:id="56558004">
      <w:bodyDiv w:val="1"/>
      <w:marLeft w:val="0"/>
      <w:marRight w:val="0"/>
      <w:marTop w:val="0"/>
      <w:marBottom w:val="0"/>
      <w:divBdr>
        <w:top w:val="none" w:sz="0" w:space="0" w:color="auto"/>
        <w:left w:val="none" w:sz="0" w:space="0" w:color="auto"/>
        <w:bottom w:val="none" w:sz="0" w:space="0" w:color="auto"/>
        <w:right w:val="none" w:sz="0" w:space="0" w:color="auto"/>
      </w:divBdr>
    </w:div>
    <w:div w:id="57900441">
      <w:bodyDiv w:val="1"/>
      <w:marLeft w:val="0"/>
      <w:marRight w:val="0"/>
      <w:marTop w:val="0"/>
      <w:marBottom w:val="0"/>
      <w:divBdr>
        <w:top w:val="none" w:sz="0" w:space="0" w:color="auto"/>
        <w:left w:val="none" w:sz="0" w:space="0" w:color="auto"/>
        <w:bottom w:val="none" w:sz="0" w:space="0" w:color="auto"/>
        <w:right w:val="none" w:sz="0" w:space="0" w:color="auto"/>
      </w:divBdr>
    </w:div>
    <w:div w:id="145052756">
      <w:bodyDiv w:val="1"/>
      <w:marLeft w:val="0"/>
      <w:marRight w:val="0"/>
      <w:marTop w:val="0"/>
      <w:marBottom w:val="0"/>
      <w:divBdr>
        <w:top w:val="none" w:sz="0" w:space="0" w:color="auto"/>
        <w:left w:val="none" w:sz="0" w:space="0" w:color="auto"/>
        <w:bottom w:val="none" w:sz="0" w:space="0" w:color="auto"/>
        <w:right w:val="none" w:sz="0" w:space="0" w:color="auto"/>
      </w:divBdr>
    </w:div>
    <w:div w:id="188222559">
      <w:bodyDiv w:val="1"/>
      <w:marLeft w:val="0"/>
      <w:marRight w:val="0"/>
      <w:marTop w:val="0"/>
      <w:marBottom w:val="0"/>
      <w:divBdr>
        <w:top w:val="none" w:sz="0" w:space="0" w:color="auto"/>
        <w:left w:val="none" w:sz="0" w:space="0" w:color="auto"/>
        <w:bottom w:val="none" w:sz="0" w:space="0" w:color="auto"/>
        <w:right w:val="none" w:sz="0" w:space="0" w:color="auto"/>
      </w:divBdr>
    </w:div>
    <w:div w:id="229195573">
      <w:bodyDiv w:val="1"/>
      <w:marLeft w:val="0"/>
      <w:marRight w:val="0"/>
      <w:marTop w:val="0"/>
      <w:marBottom w:val="0"/>
      <w:divBdr>
        <w:top w:val="none" w:sz="0" w:space="0" w:color="auto"/>
        <w:left w:val="none" w:sz="0" w:space="0" w:color="auto"/>
        <w:bottom w:val="none" w:sz="0" w:space="0" w:color="auto"/>
        <w:right w:val="none" w:sz="0" w:space="0" w:color="auto"/>
      </w:divBdr>
    </w:div>
    <w:div w:id="249700088">
      <w:bodyDiv w:val="1"/>
      <w:marLeft w:val="0"/>
      <w:marRight w:val="0"/>
      <w:marTop w:val="0"/>
      <w:marBottom w:val="0"/>
      <w:divBdr>
        <w:top w:val="none" w:sz="0" w:space="0" w:color="auto"/>
        <w:left w:val="none" w:sz="0" w:space="0" w:color="auto"/>
        <w:bottom w:val="none" w:sz="0" w:space="0" w:color="auto"/>
        <w:right w:val="none" w:sz="0" w:space="0" w:color="auto"/>
      </w:divBdr>
    </w:div>
    <w:div w:id="251404144">
      <w:bodyDiv w:val="1"/>
      <w:marLeft w:val="0"/>
      <w:marRight w:val="0"/>
      <w:marTop w:val="0"/>
      <w:marBottom w:val="0"/>
      <w:divBdr>
        <w:top w:val="none" w:sz="0" w:space="0" w:color="auto"/>
        <w:left w:val="none" w:sz="0" w:space="0" w:color="auto"/>
        <w:bottom w:val="none" w:sz="0" w:space="0" w:color="auto"/>
        <w:right w:val="none" w:sz="0" w:space="0" w:color="auto"/>
      </w:divBdr>
    </w:div>
    <w:div w:id="266543253">
      <w:bodyDiv w:val="1"/>
      <w:marLeft w:val="0"/>
      <w:marRight w:val="0"/>
      <w:marTop w:val="0"/>
      <w:marBottom w:val="0"/>
      <w:divBdr>
        <w:top w:val="none" w:sz="0" w:space="0" w:color="auto"/>
        <w:left w:val="none" w:sz="0" w:space="0" w:color="auto"/>
        <w:bottom w:val="none" w:sz="0" w:space="0" w:color="auto"/>
        <w:right w:val="none" w:sz="0" w:space="0" w:color="auto"/>
      </w:divBdr>
    </w:div>
    <w:div w:id="301813022">
      <w:bodyDiv w:val="1"/>
      <w:marLeft w:val="0"/>
      <w:marRight w:val="0"/>
      <w:marTop w:val="0"/>
      <w:marBottom w:val="0"/>
      <w:divBdr>
        <w:top w:val="none" w:sz="0" w:space="0" w:color="auto"/>
        <w:left w:val="none" w:sz="0" w:space="0" w:color="auto"/>
        <w:bottom w:val="none" w:sz="0" w:space="0" w:color="auto"/>
        <w:right w:val="none" w:sz="0" w:space="0" w:color="auto"/>
      </w:divBdr>
    </w:div>
    <w:div w:id="331447921">
      <w:bodyDiv w:val="1"/>
      <w:marLeft w:val="0"/>
      <w:marRight w:val="0"/>
      <w:marTop w:val="0"/>
      <w:marBottom w:val="0"/>
      <w:divBdr>
        <w:top w:val="none" w:sz="0" w:space="0" w:color="auto"/>
        <w:left w:val="none" w:sz="0" w:space="0" w:color="auto"/>
        <w:bottom w:val="none" w:sz="0" w:space="0" w:color="auto"/>
        <w:right w:val="none" w:sz="0" w:space="0" w:color="auto"/>
      </w:divBdr>
    </w:div>
    <w:div w:id="353310029">
      <w:bodyDiv w:val="1"/>
      <w:marLeft w:val="0"/>
      <w:marRight w:val="0"/>
      <w:marTop w:val="0"/>
      <w:marBottom w:val="0"/>
      <w:divBdr>
        <w:top w:val="none" w:sz="0" w:space="0" w:color="auto"/>
        <w:left w:val="none" w:sz="0" w:space="0" w:color="auto"/>
        <w:bottom w:val="none" w:sz="0" w:space="0" w:color="auto"/>
        <w:right w:val="none" w:sz="0" w:space="0" w:color="auto"/>
      </w:divBdr>
    </w:div>
    <w:div w:id="362828832">
      <w:bodyDiv w:val="1"/>
      <w:marLeft w:val="0"/>
      <w:marRight w:val="0"/>
      <w:marTop w:val="0"/>
      <w:marBottom w:val="0"/>
      <w:divBdr>
        <w:top w:val="none" w:sz="0" w:space="0" w:color="auto"/>
        <w:left w:val="none" w:sz="0" w:space="0" w:color="auto"/>
        <w:bottom w:val="none" w:sz="0" w:space="0" w:color="auto"/>
        <w:right w:val="none" w:sz="0" w:space="0" w:color="auto"/>
      </w:divBdr>
    </w:div>
    <w:div w:id="500436274">
      <w:bodyDiv w:val="1"/>
      <w:marLeft w:val="0"/>
      <w:marRight w:val="0"/>
      <w:marTop w:val="0"/>
      <w:marBottom w:val="0"/>
      <w:divBdr>
        <w:top w:val="none" w:sz="0" w:space="0" w:color="auto"/>
        <w:left w:val="none" w:sz="0" w:space="0" w:color="auto"/>
        <w:bottom w:val="none" w:sz="0" w:space="0" w:color="auto"/>
        <w:right w:val="none" w:sz="0" w:space="0" w:color="auto"/>
      </w:divBdr>
    </w:div>
    <w:div w:id="567964261">
      <w:bodyDiv w:val="1"/>
      <w:marLeft w:val="0"/>
      <w:marRight w:val="0"/>
      <w:marTop w:val="0"/>
      <w:marBottom w:val="0"/>
      <w:divBdr>
        <w:top w:val="none" w:sz="0" w:space="0" w:color="auto"/>
        <w:left w:val="none" w:sz="0" w:space="0" w:color="auto"/>
        <w:bottom w:val="none" w:sz="0" w:space="0" w:color="auto"/>
        <w:right w:val="none" w:sz="0" w:space="0" w:color="auto"/>
      </w:divBdr>
    </w:div>
    <w:div w:id="733502035">
      <w:bodyDiv w:val="1"/>
      <w:marLeft w:val="0"/>
      <w:marRight w:val="0"/>
      <w:marTop w:val="0"/>
      <w:marBottom w:val="0"/>
      <w:divBdr>
        <w:top w:val="none" w:sz="0" w:space="0" w:color="auto"/>
        <w:left w:val="none" w:sz="0" w:space="0" w:color="auto"/>
        <w:bottom w:val="none" w:sz="0" w:space="0" w:color="auto"/>
        <w:right w:val="none" w:sz="0" w:space="0" w:color="auto"/>
      </w:divBdr>
    </w:div>
    <w:div w:id="743799760">
      <w:bodyDiv w:val="1"/>
      <w:marLeft w:val="0"/>
      <w:marRight w:val="0"/>
      <w:marTop w:val="0"/>
      <w:marBottom w:val="0"/>
      <w:divBdr>
        <w:top w:val="none" w:sz="0" w:space="0" w:color="auto"/>
        <w:left w:val="none" w:sz="0" w:space="0" w:color="auto"/>
        <w:bottom w:val="none" w:sz="0" w:space="0" w:color="auto"/>
        <w:right w:val="none" w:sz="0" w:space="0" w:color="auto"/>
      </w:divBdr>
    </w:div>
    <w:div w:id="744641873">
      <w:bodyDiv w:val="1"/>
      <w:marLeft w:val="0"/>
      <w:marRight w:val="0"/>
      <w:marTop w:val="0"/>
      <w:marBottom w:val="0"/>
      <w:divBdr>
        <w:top w:val="none" w:sz="0" w:space="0" w:color="auto"/>
        <w:left w:val="none" w:sz="0" w:space="0" w:color="auto"/>
        <w:bottom w:val="none" w:sz="0" w:space="0" w:color="auto"/>
        <w:right w:val="none" w:sz="0" w:space="0" w:color="auto"/>
      </w:divBdr>
    </w:div>
    <w:div w:id="757211477">
      <w:bodyDiv w:val="1"/>
      <w:marLeft w:val="0"/>
      <w:marRight w:val="0"/>
      <w:marTop w:val="0"/>
      <w:marBottom w:val="0"/>
      <w:divBdr>
        <w:top w:val="none" w:sz="0" w:space="0" w:color="auto"/>
        <w:left w:val="none" w:sz="0" w:space="0" w:color="auto"/>
        <w:bottom w:val="none" w:sz="0" w:space="0" w:color="auto"/>
        <w:right w:val="none" w:sz="0" w:space="0" w:color="auto"/>
      </w:divBdr>
    </w:div>
    <w:div w:id="869730757">
      <w:bodyDiv w:val="1"/>
      <w:marLeft w:val="0"/>
      <w:marRight w:val="0"/>
      <w:marTop w:val="0"/>
      <w:marBottom w:val="0"/>
      <w:divBdr>
        <w:top w:val="none" w:sz="0" w:space="0" w:color="auto"/>
        <w:left w:val="none" w:sz="0" w:space="0" w:color="auto"/>
        <w:bottom w:val="none" w:sz="0" w:space="0" w:color="auto"/>
        <w:right w:val="none" w:sz="0" w:space="0" w:color="auto"/>
      </w:divBdr>
    </w:div>
    <w:div w:id="906382970">
      <w:bodyDiv w:val="1"/>
      <w:marLeft w:val="0"/>
      <w:marRight w:val="0"/>
      <w:marTop w:val="0"/>
      <w:marBottom w:val="0"/>
      <w:divBdr>
        <w:top w:val="none" w:sz="0" w:space="0" w:color="auto"/>
        <w:left w:val="none" w:sz="0" w:space="0" w:color="auto"/>
        <w:bottom w:val="none" w:sz="0" w:space="0" w:color="auto"/>
        <w:right w:val="none" w:sz="0" w:space="0" w:color="auto"/>
      </w:divBdr>
    </w:div>
    <w:div w:id="910576199">
      <w:bodyDiv w:val="1"/>
      <w:marLeft w:val="0"/>
      <w:marRight w:val="0"/>
      <w:marTop w:val="0"/>
      <w:marBottom w:val="0"/>
      <w:divBdr>
        <w:top w:val="none" w:sz="0" w:space="0" w:color="auto"/>
        <w:left w:val="none" w:sz="0" w:space="0" w:color="auto"/>
        <w:bottom w:val="none" w:sz="0" w:space="0" w:color="auto"/>
        <w:right w:val="none" w:sz="0" w:space="0" w:color="auto"/>
      </w:divBdr>
    </w:div>
    <w:div w:id="954018395">
      <w:bodyDiv w:val="1"/>
      <w:marLeft w:val="0"/>
      <w:marRight w:val="0"/>
      <w:marTop w:val="0"/>
      <w:marBottom w:val="0"/>
      <w:divBdr>
        <w:top w:val="none" w:sz="0" w:space="0" w:color="auto"/>
        <w:left w:val="none" w:sz="0" w:space="0" w:color="auto"/>
        <w:bottom w:val="none" w:sz="0" w:space="0" w:color="auto"/>
        <w:right w:val="none" w:sz="0" w:space="0" w:color="auto"/>
      </w:divBdr>
    </w:div>
    <w:div w:id="992028476">
      <w:bodyDiv w:val="1"/>
      <w:marLeft w:val="0"/>
      <w:marRight w:val="0"/>
      <w:marTop w:val="0"/>
      <w:marBottom w:val="0"/>
      <w:divBdr>
        <w:top w:val="none" w:sz="0" w:space="0" w:color="auto"/>
        <w:left w:val="none" w:sz="0" w:space="0" w:color="auto"/>
        <w:bottom w:val="none" w:sz="0" w:space="0" w:color="auto"/>
        <w:right w:val="none" w:sz="0" w:space="0" w:color="auto"/>
      </w:divBdr>
    </w:div>
    <w:div w:id="1139030747">
      <w:bodyDiv w:val="1"/>
      <w:marLeft w:val="0"/>
      <w:marRight w:val="0"/>
      <w:marTop w:val="0"/>
      <w:marBottom w:val="0"/>
      <w:divBdr>
        <w:top w:val="none" w:sz="0" w:space="0" w:color="auto"/>
        <w:left w:val="none" w:sz="0" w:space="0" w:color="auto"/>
        <w:bottom w:val="none" w:sz="0" w:space="0" w:color="auto"/>
        <w:right w:val="none" w:sz="0" w:space="0" w:color="auto"/>
      </w:divBdr>
    </w:div>
    <w:div w:id="1213663304">
      <w:bodyDiv w:val="1"/>
      <w:marLeft w:val="0"/>
      <w:marRight w:val="0"/>
      <w:marTop w:val="0"/>
      <w:marBottom w:val="0"/>
      <w:divBdr>
        <w:top w:val="none" w:sz="0" w:space="0" w:color="auto"/>
        <w:left w:val="none" w:sz="0" w:space="0" w:color="auto"/>
        <w:bottom w:val="none" w:sz="0" w:space="0" w:color="auto"/>
        <w:right w:val="none" w:sz="0" w:space="0" w:color="auto"/>
      </w:divBdr>
    </w:div>
    <w:div w:id="1215046494">
      <w:bodyDiv w:val="1"/>
      <w:marLeft w:val="0"/>
      <w:marRight w:val="0"/>
      <w:marTop w:val="0"/>
      <w:marBottom w:val="0"/>
      <w:divBdr>
        <w:top w:val="none" w:sz="0" w:space="0" w:color="auto"/>
        <w:left w:val="none" w:sz="0" w:space="0" w:color="auto"/>
        <w:bottom w:val="none" w:sz="0" w:space="0" w:color="auto"/>
        <w:right w:val="none" w:sz="0" w:space="0" w:color="auto"/>
      </w:divBdr>
    </w:div>
    <w:div w:id="1235621831">
      <w:bodyDiv w:val="1"/>
      <w:marLeft w:val="0"/>
      <w:marRight w:val="0"/>
      <w:marTop w:val="0"/>
      <w:marBottom w:val="0"/>
      <w:divBdr>
        <w:top w:val="none" w:sz="0" w:space="0" w:color="auto"/>
        <w:left w:val="none" w:sz="0" w:space="0" w:color="auto"/>
        <w:bottom w:val="none" w:sz="0" w:space="0" w:color="auto"/>
        <w:right w:val="none" w:sz="0" w:space="0" w:color="auto"/>
      </w:divBdr>
    </w:div>
    <w:div w:id="1269433700">
      <w:bodyDiv w:val="1"/>
      <w:marLeft w:val="0"/>
      <w:marRight w:val="0"/>
      <w:marTop w:val="0"/>
      <w:marBottom w:val="0"/>
      <w:divBdr>
        <w:top w:val="none" w:sz="0" w:space="0" w:color="auto"/>
        <w:left w:val="none" w:sz="0" w:space="0" w:color="auto"/>
        <w:bottom w:val="none" w:sz="0" w:space="0" w:color="auto"/>
        <w:right w:val="none" w:sz="0" w:space="0" w:color="auto"/>
      </w:divBdr>
    </w:div>
    <w:div w:id="1295064907">
      <w:bodyDiv w:val="1"/>
      <w:marLeft w:val="0"/>
      <w:marRight w:val="0"/>
      <w:marTop w:val="0"/>
      <w:marBottom w:val="0"/>
      <w:divBdr>
        <w:top w:val="none" w:sz="0" w:space="0" w:color="auto"/>
        <w:left w:val="none" w:sz="0" w:space="0" w:color="auto"/>
        <w:bottom w:val="none" w:sz="0" w:space="0" w:color="auto"/>
        <w:right w:val="none" w:sz="0" w:space="0" w:color="auto"/>
      </w:divBdr>
    </w:div>
    <w:div w:id="1340235513">
      <w:bodyDiv w:val="1"/>
      <w:marLeft w:val="0"/>
      <w:marRight w:val="0"/>
      <w:marTop w:val="0"/>
      <w:marBottom w:val="0"/>
      <w:divBdr>
        <w:top w:val="none" w:sz="0" w:space="0" w:color="auto"/>
        <w:left w:val="none" w:sz="0" w:space="0" w:color="auto"/>
        <w:bottom w:val="none" w:sz="0" w:space="0" w:color="auto"/>
        <w:right w:val="none" w:sz="0" w:space="0" w:color="auto"/>
      </w:divBdr>
    </w:div>
    <w:div w:id="1386951745">
      <w:bodyDiv w:val="1"/>
      <w:marLeft w:val="0"/>
      <w:marRight w:val="0"/>
      <w:marTop w:val="0"/>
      <w:marBottom w:val="0"/>
      <w:divBdr>
        <w:top w:val="none" w:sz="0" w:space="0" w:color="auto"/>
        <w:left w:val="none" w:sz="0" w:space="0" w:color="auto"/>
        <w:bottom w:val="none" w:sz="0" w:space="0" w:color="auto"/>
        <w:right w:val="none" w:sz="0" w:space="0" w:color="auto"/>
      </w:divBdr>
    </w:div>
    <w:div w:id="1396011193">
      <w:bodyDiv w:val="1"/>
      <w:marLeft w:val="0"/>
      <w:marRight w:val="0"/>
      <w:marTop w:val="0"/>
      <w:marBottom w:val="0"/>
      <w:divBdr>
        <w:top w:val="none" w:sz="0" w:space="0" w:color="auto"/>
        <w:left w:val="none" w:sz="0" w:space="0" w:color="auto"/>
        <w:bottom w:val="none" w:sz="0" w:space="0" w:color="auto"/>
        <w:right w:val="none" w:sz="0" w:space="0" w:color="auto"/>
      </w:divBdr>
    </w:div>
    <w:div w:id="1449660160">
      <w:bodyDiv w:val="1"/>
      <w:marLeft w:val="0"/>
      <w:marRight w:val="0"/>
      <w:marTop w:val="0"/>
      <w:marBottom w:val="0"/>
      <w:divBdr>
        <w:top w:val="none" w:sz="0" w:space="0" w:color="auto"/>
        <w:left w:val="none" w:sz="0" w:space="0" w:color="auto"/>
        <w:bottom w:val="none" w:sz="0" w:space="0" w:color="auto"/>
        <w:right w:val="none" w:sz="0" w:space="0" w:color="auto"/>
      </w:divBdr>
    </w:div>
    <w:div w:id="1554317868">
      <w:bodyDiv w:val="1"/>
      <w:marLeft w:val="0"/>
      <w:marRight w:val="0"/>
      <w:marTop w:val="0"/>
      <w:marBottom w:val="0"/>
      <w:divBdr>
        <w:top w:val="none" w:sz="0" w:space="0" w:color="auto"/>
        <w:left w:val="none" w:sz="0" w:space="0" w:color="auto"/>
        <w:bottom w:val="none" w:sz="0" w:space="0" w:color="auto"/>
        <w:right w:val="none" w:sz="0" w:space="0" w:color="auto"/>
      </w:divBdr>
    </w:div>
    <w:div w:id="1555890921">
      <w:bodyDiv w:val="1"/>
      <w:marLeft w:val="0"/>
      <w:marRight w:val="0"/>
      <w:marTop w:val="0"/>
      <w:marBottom w:val="0"/>
      <w:divBdr>
        <w:top w:val="none" w:sz="0" w:space="0" w:color="auto"/>
        <w:left w:val="none" w:sz="0" w:space="0" w:color="auto"/>
        <w:bottom w:val="none" w:sz="0" w:space="0" w:color="auto"/>
        <w:right w:val="none" w:sz="0" w:space="0" w:color="auto"/>
      </w:divBdr>
    </w:div>
    <w:div w:id="1568151015">
      <w:bodyDiv w:val="1"/>
      <w:marLeft w:val="0"/>
      <w:marRight w:val="0"/>
      <w:marTop w:val="0"/>
      <w:marBottom w:val="0"/>
      <w:divBdr>
        <w:top w:val="none" w:sz="0" w:space="0" w:color="auto"/>
        <w:left w:val="none" w:sz="0" w:space="0" w:color="auto"/>
        <w:bottom w:val="none" w:sz="0" w:space="0" w:color="auto"/>
        <w:right w:val="none" w:sz="0" w:space="0" w:color="auto"/>
      </w:divBdr>
    </w:div>
    <w:div w:id="1572737458">
      <w:bodyDiv w:val="1"/>
      <w:marLeft w:val="0"/>
      <w:marRight w:val="0"/>
      <w:marTop w:val="0"/>
      <w:marBottom w:val="0"/>
      <w:divBdr>
        <w:top w:val="none" w:sz="0" w:space="0" w:color="auto"/>
        <w:left w:val="none" w:sz="0" w:space="0" w:color="auto"/>
        <w:bottom w:val="none" w:sz="0" w:space="0" w:color="auto"/>
        <w:right w:val="none" w:sz="0" w:space="0" w:color="auto"/>
      </w:divBdr>
    </w:div>
    <w:div w:id="1623918581">
      <w:bodyDiv w:val="1"/>
      <w:marLeft w:val="0"/>
      <w:marRight w:val="0"/>
      <w:marTop w:val="0"/>
      <w:marBottom w:val="0"/>
      <w:divBdr>
        <w:top w:val="none" w:sz="0" w:space="0" w:color="auto"/>
        <w:left w:val="none" w:sz="0" w:space="0" w:color="auto"/>
        <w:bottom w:val="none" w:sz="0" w:space="0" w:color="auto"/>
        <w:right w:val="none" w:sz="0" w:space="0" w:color="auto"/>
      </w:divBdr>
    </w:div>
    <w:div w:id="1713991430">
      <w:bodyDiv w:val="1"/>
      <w:marLeft w:val="0"/>
      <w:marRight w:val="0"/>
      <w:marTop w:val="0"/>
      <w:marBottom w:val="0"/>
      <w:divBdr>
        <w:top w:val="none" w:sz="0" w:space="0" w:color="auto"/>
        <w:left w:val="none" w:sz="0" w:space="0" w:color="auto"/>
        <w:bottom w:val="none" w:sz="0" w:space="0" w:color="auto"/>
        <w:right w:val="none" w:sz="0" w:space="0" w:color="auto"/>
      </w:divBdr>
    </w:div>
    <w:div w:id="181144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rgue@uclv.edu.cu" TargetMode="External"/><Relationship Id="rId13" Type="http://schemas.openxmlformats.org/officeDocument/2006/relationships/oleObject" Target="embeddings/oleObject2.bin"/><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w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Nob07</b:Tag>
    <b:SourceType>JournalArticle</b:SourceType>
    <b:Guid>{43A85715-9757-4F8F-9D41-83F2CFA8D1C7}</b:Guid>
    <b:Title>Groundwater vulnerability and risk mapping using GIS, modeling and a fuzzy logic tool.</b:Title>
    <b:JournalName>Journal of Contaminant Hydrology</b:JournalName>
    <b:Year>2007</b:Year>
    <b:Pages>277-292</b:Pages>
    <b:Author>
      <b:Author>
        <b:NameList>
          <b:Person>
            <b:Last>Nobre</b:Last>
            <b:First>R.C.M</b:First>
          </b:Person>
          <b:Person>
            <b:Last>Rotunno Filh</b:Last>
            <b:First>O.C.</b:First>
          </b:Person>
          <b:Person>
            <b:Last>Mansur</b:Last>
            <b:First>W.J.</b:First>
          </b:Person>
          <b:Person>
            <b:Last>Nobre</b:Last>
            <b:First>M.M.M.</b:First>
          </b:Person>
          <b:Person>
            <b:Last>Cosenza</b:Last>
            <b:First>C.A.N.</b:First>
          </b:Person>
        </b:NameList>
      </b:Author>
    </b:Author>
    <b:Month>Diciembre</b:Month>
    <b:RefOrder>3</b:RefOrder>
  </b:Source>
  <b:Source>
    <b:Tag>Mas13</b:Tag>
    <b:SourceType>JournalArticle</b:SourceType>
    <b:Guid>{47D66AD2-E1F7-4002-93D1-5BA10DCE4396}</b:Guid>
    <b:Title>Aplicación de lógica difusa en la evaluación de vulnerabilidad de contaminación del agua subterránea</b:Title>
    <b:Year>2013</b:Year>
    <b:JournalName>Temas actuales de la hidrología subterránea</b:JournalName>
    <b:Pages>287-294</b:Pages>
    <b:Author>
      <b:Author>
        <b:NameList>
          <b:Person>
            <b:Last>Massone</b:Last>
            <b:First>Héctor</b:First>
          </b:Person>
          <b:Person>
            <b:Last>Meschino</b:Last>
            <b:First>Gustavo</b:First>
          </b:Person>
          <b:Person>
            <b:Last>Lima</b:Last>
            <b:Middle>Lourdes</b:Middle>
            <b:First>M.</b:First>
          </b:Person>
          <b:Person>
            <b:Last>Albornoz</b:Last>
            <b:First>Daniel</b:First>
          </b:Person>
          <b:Person>
            <b:Last>Barilari</b:Last>
            <b:First>Agustina</b:First>
          </b:Person>
          <b:Person>
            <b:Last>Damiano</b:Last>
            <b:First>Fernanda</b:First>
          </b:Person>
        </b:NameList>
      </b:Author>
    </b:Author>
    <b:LCID>es-ES</b:LCID>
    <b:RefOrder>8</b:RefOrder>
  </b:Source>
  <b:Source>
    <b:Tag>Mac12</b:Tag>
    <b:SourceType>Report</b:SourceType>
    <b:Guid>{1FBD4420-0480-461F-B2D6-A76D7F58358B}</b:Guid>
    <b:Title>Utilización de la lógica difusa en la gestión de embalses. Aplicación a los ríos Sorbe, Esla y Mijares.</b:Title>
    <b:Year>2012</b:Year>
    <b:City>Valencia</b:City>
    <b:Publisher>Departamento de Ingeniería Hidráulica y Medio Ambiente. Universitat Politècnica de València.</b:Publisher>
    <b:Author>
      <b:Author>
        <b:NameList>
          <b:Person>
            <b:Last>Macián Sorribes</b:Last>
            <b:First>Héctor</b:First>
          </b:Person>
        </b:NameList>
      </b:Author>
    </b:Author>
    <b:RefOrder>7</b:RefOrder>
  </b:Source>
  <b:Source>
    <b:Tag>Gav05</b:Tag>
    <b:SourceType>JournalArticle</b:SourceType>
    <b:Guid>{9295D26C-15E9-4B3D-B3BF-0E38787E8B96}</b:Guid>
    <b:Title>Una caracterización de carga contaminante a los acuíferos libres del Bajo Cauca Antioqueño</b:Title>
    <b:JournalName>Gestión y Ambiente</b:JournalName>
    <b:Year>2005</b:Year>
    <b:Pages>85-102</b:Pages>
    <b:Author>
      <b:Author>
        <b:NameList>
          <b:Person>
            <b:Last>Gaviria S.</b:Last>
            <b:First>Jorge Ignacio</b:First>
          </b:Person>
          <b:Person>
            <b:Last>Betancur V.</b:Last>
            <b:First>Teresita</b:First>
          </b:Person>
        </b:NameList>
      </b:Author>
    </b:Author>
    <b:Volume>8</b:Volume>
    <b:Issue>2</b:Issue>
    <b:RefOrder>10</b:RefOrder>
  </b:Source>
  <b:Source>
    <b:Tag>Fos02</b:Tag>
    <b:SourceType>Book</b:SourceType>
    <b:Guid>{5686648F-DB60-4724-9260-07FFA5693960}</b:Guid>
    <b:Title>Protección de la Calidad del Água Subterránea</b:Title>
    <b:Year>2002</b:Year>
    <b:City>Washington, D.C.,USA.</b:City>
    <b:Publisher>Banco Internacional de Reconstrucción y Fomento / Banco Mundial</b:Publisher>
    <b:Author>
      <b:Author>
        <b:NameList>
          <b:Person>
            <b:Last>Foster</b:Last>
            <b:First>Stephen</b:First>
          </b:Person>
          <b:Person>
            <b:Last>Hirata</b:Last>
            <b:First>Ricardo</b:First>
          </b:Person>
          <b:Person>
            <b:Last>Gomes</b:Last>
            <b:First>Daniel</b:First>
          </b:Person>
          <b:Person>
            <b:Last>D´Elia</b:Last>
            <b:First>Monica</b:First>
          </b:Person>
          <b:Person>
            <b:Last>Paris</b:Last>
            <b:First>Marta</b:First>
          </b:Person>
        </b:NameList>
      </b:Author>
    </b:Author>
    <b:RefOrder>9</b:RefOrder>
  </b:Source>
  <b:Source>
    <b:Tag>Các19</b:Tag>
    <b:SourceType>Report</b:SourceType>
    <b:Guid>{A6A6F74E-28AF-4559-9845-1CED6040D8FA}</b:Guid>
    <b:Title>Análisis y visualización geoespacial de vulnerabilidades por contaminación a partir de la Red Cal para la provincia de Villa Clara, Cuba</b:Title>
    <b:Year>2019</b:Year>
    <b:City>Santa Clara, Cuba</b:City>
    <b:Publisher>Facultad de Construcciones, Universidad Central "Marta Abreu" de Las Villas</b:Publisher>
    <b:Author>
      <b:Author>
        <b:NameList>
          <b:Person>
            <b:Last>Cáceres Barceló</b:Last>
            <b:Middle>Jannier</b:Middle>
            <b:First>José</b:First>
          </b:Person>
        </b:NameList>
      </b:Author>
    </b:Author>
    <b:ThesisType>Tesis de diploma</b:ThesisType>
    <b:RefOrder>1</b:RefOrder>
  </b:Source>
  <b:Source>
    <b:Tag>Aug04</b:Tag>
    <b:SourceType>JournalArticle</b:SourceType>
    <b:Guid>{1A836ABF-F54E-403A-853A-1D4A5BBE9715}</b:Guid>
    <b:LCID>es-ES</b:LCID>
    <b:Title>Vulnerabilidad de acuíferos</b:Title>
    <b:Year>2004</b:Year>
    <b:Author>
      <b:Author>
        <b:NameList>
          <b:Person>
            <b:Last>Auge</b:Last>
            <b:First>Miguel</b:First>
          </b:Person>
        </b:NameList>
      </b:Author>
    </b:Author>
    <b:JournalName>Revista Latino-Americana de Hidrogeología</b:JournalName>
    <b:Pages>85-103</b:Pages>
    <b:RefOrder>6</b:RefOrder>
  </b:Source>
  <b:Source>
    <b:Tag>All87</b:Tag>
    <b:SourceType>Book</b:SourceType>
    <b:Guid>{0EC61161-1AF6-4490-BC31-79B398B39A8B}</b:Guid>
    <b:Title>DRASTIC: A standardized  system for evaluating ground water pollution potential using hydrogeologic settings</b:Title>
    <b:Year>1987</b:Year>
    <b:Author>
      <b:Author>
        <b:NameList>
          <b:Person>
            <b:Last>Aller</b:Last>
            <b:First>Linda</b:First>
          </b:Person>
          <b:Person>
            <b:Last>Bennett</b:Last>
            <b:First>Truman</b:First>
          </b:Person>
          <b:Person>
            <b:Last>Lehr</b:Last>
            <b:Middle>H.</b:Middle>
            <b:First>Jay</b:First>
          </b:Person>
          <b:Person>
            <b:Last>Petty</b:Last>
            <b:First>Rebecca J.</b:First>
          </b:Person>
          <b:Person>
            <b:Last>Hackett</b:Last>
            <b:First>Glen</b:First>
          </b:Person>
        </b:NameList>
      </b:Author>
    </b:Author>
    <b:City>Ada, Oklahoma</b:City>
    <b:Publisher>EPA</b:Publisher>
    <b:Pages>1-455</b:Pages>
    <b:RefOrder>4</b:RefOrder>
  </b:Source>
  <b:Source>
    <b:Tag>GON18</b:Tag>
    <b:SourceType>JournalArticle</b:SourceType>
    <b:Guid>{92EAA793-5F3D-41FB-A2AB-D7167B69ADD9}</b:Guid>
    <b:Title>EL ACUÍFERO YUCATECO. ANÁLISIS DEL RIESGO DE CONTAMINACIÓN CON APOYO DE UN SISTEMA DE INFORMACIÓN GEOGRÁFICA</b:Title>
    <b:Year>2018</b:Year>
    <b:Author>
      <b:Author>
        <b:NameList>
          <b:Person>
            <b:Last>González Herrera</b:Last>
            <b:Middle>Amílcar</b:Middle>
            <b:First>Roger </b:First>
          </b:Person>
          <b:Person>
            <b:Last>Albornoz Euán</b:Last>
            <b:First>Beth Sua Iztaccíhuatl</b:First>
          </b:Person>
          <b:Person>
            <b:Last>Sánchez y Pinto</b:Last>
            <b:First>Ismael Abelardo</b:First>
          </b:Person>
          <b:Person>
            <b:Last>Osorio Rodríguez</b:Last>
            <b:First>José Humberto</b:First>
          </b:Person>
        </b:NameList>
      </b:Author>
    </b:Author>
    <b:JournalName>Revista Internacional de Contaminación Ambiental</b:JournalName>
    <b:Pages>667-683</b:Pages>
    <b:Volume>34</b:Volume>
    <b:Issue>4</b:Issue>
    <b:RefOrder>2</b:RefOrder>
  </b:Source>
  <b:Source>
    <b:Tag>Roc05</b:Tag>
    <b:SourceType>Misc</b:SourceType>
    <b:Guid>{CE9AD808-EB36-463A-A6DB-E3429DA13BD4}</b:Guid>
    <b:Title>Análisis Multicriterio en la toma de decisiones</b:Title>
    <b:Year>2005</b:Year>
    <b:Author>
      <b:Author>
        <b:NameList>
          <b:Person>
            <b:Last>Roche</b:Last>
            <b:First>Hugo</b:First>
          </b:Person>
          <b:Person>
            <b:Last>Viejo</b:Last>
            <b:First>Constantino</b:First>
          </b:Person>
        </b:NameList>
      </b:Author>
    </b:Author>
    <b:RefOrder>11</b:RefOrder>
  </b:Source>
  <b:Source>
    <b:Tag>Fos91</b:Tag>
    <b:SourceType>Book</b:SourceType>
    <b:Guid>{CB9F7858-AE8E-4C2C-A42B-E332BFD3F689}</b:Guid>
    <b:Title>Determinación del riesgo de contaminación de aguas subterráneas. Una metodología basada en datos existentes.</b:Title>
    <b:Year>1991</b:Year>
    <b:Author>
      <b:Author>
        <b:NameList>
          <b:Person>
            <b:Last>Foster</b:Last>
            <b:First>Stephen</b:First>
          </b:Person>
          <b:Person>
            <b:Last>Hirata</b:Last>
            <b:First>Ricardo</b:First>
          </b:Person>
        </b:NameList>
      </b:Author>
    </b:Author>
    <b:City>Lima, Perú</b:City>
    <b:Publisher>CEPIS</b:Publisher>
    <b:RefOrder>5</b:RefOrder>
  </b:Source>
</b:Sources>
</file>

<file path=customXml/itemProps1.xml><?xml version="1.0" encoding="utf-8"?>
<ds:datastoreItem xmlns:ds="http://schemas.openxmlformats.org/officeDocument/2006/customXml" ds:itemID="{58E35F07-E7A5-4BB6-A8E8-BB38C0102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16</Pages>
  <Words>3930</Words>
  <Characters>21620</Characters>
  <Application>Microsoft Office Word</Application>
  <DocSecurity>0</DocSecurity>
  <Lines>180</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UCLV</Company>
  <LinksUpToDate>false</LinksUpToDate>
  <CharactersWithSpaces>25500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Victor</cp:lastModifiedBy>
  <cp:revision>21</cp:revision>
  <dcterms:created xsi:type="dcterms:W3CDTF">2021-10-29T06:09:00Z</dcterms:created>
  <dcterms:modified xsi:type="dcterms:W3CDTF">2021-10-31T01:08:00Z</dcterms:modified>
</cp:coreProperties>
</file>