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2E4FD4">
        <w:rPr>
          <w:rFonts w:ascii="Times New Roman" w:hAnsi="Times New Roman" w:cs="Times New Roman"/>
          <w:b/>
          <w:sz w:val="28"/>
          <w:szCs w:val="28"/>
        </w:rPr>
        <w:t xml:space="preserve">INTERNACIONAL DE CONSTRUCCIONES </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104DC3" w:rsidRDefault="00104DC3" w:rsidP="00667F10">
      <w:pPr>
        <w:spacing w:after="0"/>
        <w:jc w:val="center"/>
        <w:rPr>
          <w:rFonts w:ascii="Times New Roman" w:hAnsi="Times New Roman" w:cs="Times New Roman"/>
          <w:b/>
          <w:sz w:val="28"/>
          <w:szCs w:val="28"/>
        </w:rPr>
      </w:pPr>
      <w:r w:rsidRPr="00104DC3">
        <w:rPr>
          <w:rFonts w:ascii="Times New Roman" w:hAnsi="Times New Roman" w:cs="Times New Roman"/>
          <w:b/>
          <w:sz w:val="28"/>
          <w:szCs w:val="28"/>
        </w:rPr>
        <w:t>Evaluación geotécnica y estructural de la cimentación de aer</w:t>
      </w:r>
      <w:r>
        <w:rPr>
          <w:rFonts w:ascii="Times New Roman" w:hAnsi="Times New Roman" w:cs="Times New Roman"/>
          <w:b/>
          <w:sz w:val="28"/>
          <w:szCs w:val="28"/>
        </w:rPr>
        <w:t>ogeneradores del parque eólico La H</w:t>
      </w:r>
      <w:r w:rsidRPr="00104DC3">
        <w:rPr>
          <w:rFonts w:ascii="Times New Roman" w:hAnsi="Times New Roman" w:cs="Times New Roman"/>
          <w:b/>
          <w:sz w:val="28"/>
          <w:szCs w:val="28"/>
        </w:rPr>
        <w:t xml:space="preserve">erradura 1 </w:t>
      </w:r>
    </w:p>
    <w:p w:rsidR="00E912D0" w:rsidRDefault="00E912D0" w:rsidP="00667F10">
      <w:pPr>
        <w:spacing w:after="0"/>
        <w:jc w:val="center"/>
        <w:rPr>
          <w:rFonts w:ascii="Times New Roman" w:hAnsi="Times New Roman" w:cs="Times New Roman"/>
          <w:b/>
          <w:i/>
          <w:sz w:val="24"/>
          <w:szCs w:val="24"/>
        </w:rPr>
      </w:pPr>
    </w:p>
    <w:p w:rsidR="008A1C16" w:rsidRPr="009D5E02" w:rsidRDefault="00104DC3" w:rsidP="00667F10">
      <w:pPr>
        <w:spacing w:after="0"/>
        <w:jc w:val="center"/>
        <w:rPr>
          <w:rFonts w:ascii="Times New Roman" w:hAnsi="Times New Roman" w:cs="Times New Roman"/>
          <w:b/>
          <w:i/>
          <w:sz w:val="28"/>
          <w:szCs w:val="28"/>
        </w:rPr>
      </w:pPr>
      <w:r w:rsidRPr="00104DC3">
        <w:rPr>
          <w:rFonts w:ascii="Times New Roman" w:hAnsi="Times New Roman" w:cs="Times New Roman"/>
          <w:b/>
          <w:i/>
          <w:sz w:val="28"/>
          <w:szCs w:val="28"/>
        </w:rPr>
        <w:t>Evaluation geotechnical and structural of the wind turbin</w:t>
      </w:r>
      <w:r>
        <w:rPr>
          <w:rFonts w:ascii="Times New Roman" w:hAnsi="Times New Roman" w:cs="Times New Roman"/>
          <w:b/>
          <w:i/>
          <w:sz w:val="28"/>
          <w:szCs w:val="28"/>
        </w:rPr>
        <w:t>e foundations of the wind farm L</w:t>
      </w:r>
      <w:r w:rsidRPr="00104DC3">
        <w:rPr>
          <w:rFonts w:ascii="Times New Roman" w:hAnsi="Times New Roman" w:cs="Times New Roman"/>
          <w:b/>
          <w:i/>
          <w:sz w:val="28"/>
          <w:szCs w:val="28"/>
        </w:rPr>
        <w:t xml:space="preserve">a </w:t>
      </w:r>
      <w:r>
        <w:rPr>
          <w:rFonts w:ascii="Times New Roman" w:hAnsi="Times New Roman" w:cs="Times New Roman"/>
          <w:b/>
          <w:i/>
          <w:sz w:val="28"/>
          <w:szCs w:val="28"/>
        </w:rPr>
        <w:t>H</w:t>
      </w:r>
      <w:r w:rsidRPr="00104DC3">
        <w:rPr>
          <w:rFonts w:ascii="Times New Roman" w:hAnsi="Times New Roman" w:cs="Times New Roman"/>
          <w:b/>
          <w:i/>
          <w:sz w:val="28"/>
          <w:szCs w:val="28"/>
        </w:rPr>
        <w:t>erradura 1</w:t>
      </w:r>
    </w:p>
    <w:p w:rsidR="009D5E02" w:rsidRDefault="009D5E02" w:rsidP="00FF3346">
      <w:pPr>
        <w:spacing w:after="0" w:line="360" w:lineRule="auto"/>
        <w:rPr>
          <w:rFonts w:ascii="Times New Roman" w:hAnsi="Times New Roman" w:cs="Times New Roman"/>
          <w:b/>
          <w:sz w:val="24"/>
          <w:szCs w:val="24"/>
        </w:rPr>
      </w:pP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9C6828"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MSc. Yusleydi</w:t>
      </w:r>
      <w:r w:rsidR="009D5E02">
        <w:rPr>
          <w:rFonts w:ascii="Times New Roman" w:hAnsi="Times New Roman" w:cs="Times New Roman"/>
          <w:b/>
          <w:sz w:val="24"/>
          <w:szCs w:val="24"/>
        </w:rPr>
        <w:t>s</w:t>
      </w:r>
      <w:r>
        <w:rPr>
          <w:rFonts w:ascii="Times New Roman" w:hAnsi="Times New Roman" w:cs="Times New Roman"/>
          <w:b/>
          <w:sz w:val="24"/>
          <w:szCs w:val="24"/>
        </w:rPr>
        <w:t xml:space="preserve"> Cano Ricardo</w:t>
      </w:r>
      <w:r w:rsidR="009D5E02">
        <w:rPr>
          <w:rFonts w:ascii="Times New Roman" w:hAnsi="Times New Roman" w:cs="Times New Roman"/>
          <w:b/>
          <w:sz w:val="24"/>
          <w:szCs w:val="24"/>
          <w:vertAlign w:val="superscript"/>
        </w:rPr>
        <w:t>1</w:t>
      </w:r>
      <w:r w:rsidR="009D5E02">
        <w:rPr>
          <w:rFonts w:ascii="Times New Roman" w:hAnsi="Times New Roman" w:cs="Times New Roman"/>
          <w:b/>
          <w:sz w:val="24"/>
          <w:szCs w:val="24"/>
        </w:rPr>
        <w:t xml:space="preserve">, </w:t>
      </w:r>
      <w:r>
        <w:rPr>
          <w:rFonts w:ascii="Times New Roman" w:hAnsi="Times New Roman" w:cs="Times New Roman"/>
          <w:b/>
          <w:sz w:val="24"/>
          <w:szCs w:val="24"/>
        </w:rPr>
        <w:t>Dr.C. Nereyda Pupo Sintras</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w:t>
      </w:r>
      <w:r>
        <w:rPr>
          <w:rFonts w:ascii="Times New Roman" w:hAnsi="Times New Roman" w:cs="Times New Roman"/>
          <w:b/>
          <w:sz w:val="24"/>
          <w:szCs w:val="24"/>
        </w:rPr>
        <w:t xml:space="preserve"> Dr.C Noel Iraola Valdés</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Ing. </w:t>
      </w:r>
      <w:r w:rsidRPr="009C6828">
        <w:rPr>
          <w:rFonts w:ascii="Times New Roman" w:hAnsi="Times New Roman" w:cs="Times New Roman"/>
          <w:b/>
          <w:sz w:val="24"/>
          <w:szCs w:val="24"/>
        </w:rPr>
        <w:t>Lilibel Caballol Campos</w:t>
      </w:r>
      <w:r>
        <w:rPr>
          <w:rFonts w:ascii="Times New Roman" w:hAnsi="Times New Roman" w:cs="Times New Roman"/>
          <w:b/>
          <w:sz w:val="24"/>
          <w:szCs w:val="24"/>
          <w:vertAlign w:val="superscript"/>
        </w:rPr>
        <w:t>3</w:t>
      </w:r>
    </w:p>
    <w:p w:rsidR="009D5E02" w:rsidRDefault="009D5E02" w:rsidP="00FF3346">
      <w:pPr>
        <w:spacing w:after="0" w:line="360" w:lineRule="auto"/>
        <w:rPr>
          <w:rFonts w:ascii="Times New Roman" w:hAnsi="Times New Roman" w:cs="Times New Roman"/>
          <w:sz w:val="24"/>
          <w:szCs w:val="24"/>
        </w:rPr>
      </w:pPr>
    </w:p>
    <w:p w:rsidR="00E912D0" w:rsidRDefault="00E912D0" w:rsidP="00FF3346">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9C6828">
        <w:rPr>
          <w:rFonts w:ascii="Times New Roman" w:hAnsi="Times New Roman" w:cs="Times New Roman"/>
          <w:sz w:val="24"/>
          <w:szCs w:val="24"/>
        </w:rPr>
        <w:t xml:space="preserve"> </w:t>
      </w:r>
      <w:r w:rsidR="001604F2">
        <w:rPr>
          <w:rFonts w:ascii="Times New Roman" w:hAnsi="Times New Roman" w:cs="Times New Roman"/>
          <w:sz w:val="24"/>
          <w:szCs w:val="24"/>
        </w:rPr>
        <w:t xml:space="preserve">Yusleydis Cano Ricardo. </w:t>
      </w:r>
      <w:r w:rsidR="009C6828">
        <w:rPr>
          <w:rFonts w:ascii="Times New Roman" w:hAnsi="Times New Roman" w:cs="Times New Roman"/>
          <w:sz w:val="24"/>
          <w:szCs w:val="24"/>
        </w:rPr>
        <w:t>Universidad de Camagüey</w:t>
      </w:r>
      <w:r w:rsidRPr="00E912D0">
        <w:rPr>
          <w:rFonts w:ascii="Times New Roman" w:hAnsi="Times New Roman" w:cs="Times New Roman"/>
          <w:sz w:val="24"/>
          <w:szCs w:val="24"/>
        </w:rPr>
        <w:t>,</w:t>
      </w:r>
      <w:r w:rsidR="009C6828">
        <w:rPr>
          <w:rFonts w:ascii="Times New Roman" w:hAnsi="Times New Roman" w:cs="Times New Roman"/>
          <w:sz w:val="24"/>
          <w:szCs w:val="24"/>
        </w:rPr>
        <w:t xml:space="preserve"> Cuba</w:t>
      </w:r>
      <w:r w:rsidRPr="00E912D0">
        <w:rPr>
          <w:rFonts w:ascii="Times New Roman" w:hAnsi="Times New Roman" w:cs="Times New Roman"/>
          <w:sz w:val="24"/>
          <w:szCs w:val="24"/>
        </w:rPr>
        <w:t>. E-mail:</w:t>
      </w:r>
      <w:r w:rsidR="009C6828">
        <w:rPr>
          <w:rFonts w:ascii="Times New Roman" w:hAnsi="Times New Roman" w:cs="Times New Roman"/>
          <w:sz w:val="24"/>
          <w:szCs w:val="24"/>
        </w:rPr>
        <w:t xml:space="preserve"> yusleydis.cano@reduc.edu.cu</w:t>
      </w:r>
    </w:p>
    <w:p w:rsidR="00E912D0" w:rsidRDefault="00E912D0" w:rsidP="009C6828">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r w:rsidR="001604F2">
        <w:rPr>
          <w:rFonts w:ascii="Times New Roman" w:hAnsi="Times New Roman" w:cs="Times New Roman"/>
          <w:sz w:val="24"/>
          <w:szCs w:val="24"/>
        </w:rPr>
        <w:t xml:space="preserve">Nereyda Pupo Sintras. </w:t>
      </w:r>
      <w:r w:rsidR="009C6828">
        <w:rPr>
          <w:rFonts w:ascii="Times New Roman" w:hAnsi="Times New Roman" w:cs="Times New Roman"/>
          <w:sz w:val="24"/>
          <w:szCs w:val="24"/>
        </w:rPr>
        <w:t>Universidad de Camagüey</w:t>
      </w:r>
      <w:r w:rsidR="009C6828" w:rsidRPr="00E912D0">
        <w:rPr>
          <w:rFonts w:ascii="Times New Roman" w:hAnsi="Times New Roman" w:cs="Times New Roman"/>
          <w:sz w:val="24"/>
          <w:szCs w:val="24"/>
        </w:rPr>
        <w:t>,</w:t>
      </w:r>
      <w:r w:rsidR="009C6828">
        <w:rPr>
          <w:rFonts w:ascii="Times New Roman" w:hAnsi="Times New Roman" w:cs="Times New Roman"/>
          <w:sz w:val="24"/>
          <w:szCs w:val="24"/>
        </w:rPr>
        <w:t xml:space="preserve"> Cuba</w:t>
      </w:r>
      <w:r w:rsidR="009C6828" w:rsidRPr="00E912D0">
        <w:rPr>
          <w:rFonts w:ascii="Times New Roman" w:hAnsi="Times New Roman" w:cs="Times New Roman"/>
          <w:sz w:val="24"/>
          <w:szCs w:val="24"/>
        </w:rPr>
        <w:t>. E-mail:</w:t>
      </w:r>
      <w:r w:rsidR="009C6828">
        <w:rPr>
          <w:rFonts w:ascii="Times New Roman" w:hAnsi="Times New Roman" w:cs="Times New Roman"/>
          <w:sz w:val="24"/>
          <w:szCs w:val="24"/>
        </w:rPr>
        <w:t xml:space="preserve"> nereyda.pupo@reduc.edu.cu</w:t>
      </w:r>
    </w:p>
    <w:p w:rsidR="009C6828" w:rsidRDefault="009C6828" w:rsidP="009C6828">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 xml:space="preserve"> </w:t>
      </w:r>
      <w:r w:rsidR="001604F2">
        <w:rPr>
          <w:rFonts w:ascii="Times New Roman" w:hAnsi="Times New Roman" w:cs="Times New Roman"/>
          <w:sz w:val="24"/>
          <w:szCs w:val="24"/>
        </w:rPr>
        <w:t xml:space="preserve">Noel Iraola Valdés. </w:t>
      </w:r>
      <w:r>
        <w:rPr>
          <w:rFonts w:ascii="Times New Roman" w:hAnsi="Times New Roman" w:cs="Times New Roman"/>
          <w:sz w:val="24"/>
          <w:szCs w:val="24"/>
        </w:rPr>
        <w:t>Universidad de Camagüey</w:t>
      </w:r>
      <w:r w:rsidRPr="00E912D0">
        <w:rPr>
          <w:rFonts w:ascii="Times New Roman" w:hAnsi="Times New Roman" w:cs="Times New Roman"/>
          <w:sz w:val="24"/>
          <w:szCs w:val="24"/>
        </w:rPr>
        <w:t>,</w:t>
      </w:r>
      <w:r>
        <w:rPr>
          <w:rFonts w:ascii="Times New Roman" w:hAnsi="Times New Roman" w:cs="Times New Roman"/>
          <w:sz w:val="24"/>
          <w:szCs w:val="24"/>
        </w:rPr>
        <w:t xml:space="preserve"> Cuba</w:t>
      </w:r>
      <w:r w:rsidRPr="00E912D0">
        <w:rPr>
          <w:rFonts w:ascii="Times New Roman" w:hAnsi="Times New Roman" w:cs="Times New Roman"/>
          <w:sz w:val="24"/>
          <w:szCs w:val="24"/>
        </w:rPr>
        <w:t>. E-mail:</w:t>
      </w:r>
      <w:r>
        <w:rPr>
          <w:rFonts w:ascii="Times New Roman" w:hAnsi="Times New Roman" w:cs="Times New Roman"/>
          <w:sz w:val="24"/>
          <w:szCs w:val="24"/>
        </w:rPr>
        <w:t xml:space="preserve"> noel.</w:t>
      </w:r>
      <w:r w:rsidR="001969E2">
        <w:rPr>
          <w:rFonts w:ascii="Times New Roman" w:hAnsi="Times New Roman" w:cs="Times New Roman"/>
          <w:sz w:val="24"/>
          <w:szCs w:val="24"/>
        </w:rPr>
        <w:t>iraola</w:t>
      </w:r>
      <w:r>
        <w:rPr>
          <w:rFonts w:ascii="Times New Roman" w:hAnsi="Times New Roman" w:cs="Times New Roman"/>
          <w:sz w:val="24"/>
          <w:szCs w:val="24"/>
        </w:rPr>
        <w:t>@reduc.edu.cu</w:t>
      </w:r>
    </w:p>
    <w:p w:rsidR="009C6828" w:rsidRDefault="009C6828" w:rsidP="009C6828">
      <w:pPr>
        <w:spacing w:after="0" w:line="360" w:lineRule="auto"/>
        <w:rPr>
          <w:rFonts w:ascii="Times New Roman" w:hAnsi="Times New Roman" w:cs="Times New Roman"/>
          <w:sz w:val="24"/>
          <w:szCs w:val="24"/>
        </w:rPr>
      </w:pPr>
      <w:r>
        <w:rPr>
          <w:rFonts w:ascii="Times New Roman" w:hAnsi="Times New Roman" w:cs="Times New Roman"/>
          <w:sz w:val="24"/>
          <w:szCs w:val="24"/>
        </w:rPr>
        <w:t>4-</w:t>
      </w:r>
      <w:r w:rsidRPr="00E912D0">
        <w:rPr>
          <w:rFonts w:ascii="Times New Roman" w:hAnsi="Times New Roman" w:cs="Times New Roman"/>
          <w:sz w:val="24"/>
          <w:szCs w:val="24"/>
        </w:rPr>
        <w:t xml:space="preserve"> </w:t>
      </w:r>
      <w:r w:rsidR="001604F2">
        <w:rPr>
          <w:rFonts w:ascii="Times New Roman" w:hAnsi="Times New Roman" w:cs="Times New Roman"/>
          <w:sz w:val="24"/>
          <w:szCs w:val="24"/>
        </w:rPr>
        <w:t xml:space="preserve">Lilibel Caballol Campos. </w:t>
      </w:r>
      <w:r>
        <w:rPr>
          <w:rFonts w:ascii="Times New Roman" w:hAnsi="Times New Roman" w:cs="Times New Roman"/>
          <w:sz w:val="24"/>
          <w:szCs w:val="24"/>
        </w:rPr>
        <w:t>Universidad de Camagüey</w:t>
      </w:r>
      <w:r w:rsidRPr="00E912D0">
        <w:rPr>
          <w:rFonts w:ascii="Times New Roman" w:hAnsi="Times New Roman" w:cs="Times New Roman"/>
          <w:sz w:val="24"/>
          <w:szCs w:val="24"/>
        </w:rPr>
        <w:t>,</w:t>
      </w:r>
      <w:r>
        <w:rPr>
          <w:rFonts w:ascii="Times New Roman" w:hAnsi="Times New Roman" w:cs="Times New Roman"/>
          <w:sz w:val="24"/>
          <w:szCs w:val="24"/>
        </w:rPr>
        <w:t xml:space="preserve"> Cuba</w:t>
      </w:r>
      <w:r w:rsidRPr="00E912D0">
        <w:rPr>
          <w:rFonts w:ascii="Times New Roman" w:hAnsi="Times New Roman" w:cs="Times New Roman"/>
          <w:sz w:val="24"/>
          <w:szCs w:val="24"/>
        </w:rPr>
        <w:t>. E-mail:</w:t>
      </w:r>
      <w:r>
        <w:rPr>
          <w:rFonts w:ascii="Times New Roman" w:hAnsi="Times New Roman" w:cs="Times New Roman"/>
          <w:sz w:val="24"/>
          <w:szCs w:val="24"/>
        </w:rPr>
        <w:t xml:space="preserve"> </w:t>
      </w:r>
      <w:r w:rsidR="001969E2">
        <w:rPr>
          <w:rFonts w:ascii="Times New Roman" w:hAnsi="Times New Roman" w:cs="Times New Roman"/>
          <w:sz w:val="24"/>
          <w:szCs w:val="24"/>
        </w:rPr>
        <w:t>lilibel</w:t>
      </w:r>
      <w:r>
        <w:rPr>
          <w:rFonts w:ascii="Times New Roman" w:hAnsi="Times New Roman" w:cs="Times New Roman"/>
          <w:sz w:val="24"/>
          <w:szCs w:val="24"/>
        </w:rPr>
        <w:t>.</w:t>
      </w:r>
      <w:r w:rsidR="001969E2">
        <w:rPr>
          <w:rFonts w:ascii="Times New Roman" w:hAnsi="Times New Roman" w:cs="Times New Roman"/>
          <w:sz w:val="24"/>
          <w:szCs w:val="24"/>
        </w:rPr>
        <w:t>caballol</w:t>
      </w:r>
      <w:r>
        <w:rPr>
          <w:rFonts w:ascii="Times New Roman" w:hAnsi="Times New Roman" w:cs="Times New Roman"/>
          <w:sz w:val="24"/>
          <w:szCs w:val="24"/>
        </w:rPr>
        <w:t>@reduc.edu.cu</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116429" w:rsidRPr="00116429">
        <w:rPr>
          <w:rFonts w:ascii="Times New Roman" w:hAnsi="Times New Roman" w:cs="Times New Roman"/>
          <w:sz w:val="24"/>
          <w:szCs w:val="24"/>
        </w:rPr>
        <w:t>Las tecnologías de los aerogeneradores demandan dife</w:t>
      </w:r>
      <w:r w:rsidR="00D26DBB">
        <w:rPr>
          <w:rFonts w:ascii="Times New Roman" w:hAnsi="Times New Roman" w:cs="Times New Roman"/>
          <w:sz w:val="24"/>
          <w:szCs w:val="24"/>
        </w:rPr>
        <w:t>rentes soluciones de cimentación</w:t>
      </w:r>
      <w:r w:rsidR="00116429" w:rsidRPr="00116429">
        <w:rPr>
          <w:rFonts w:ascii="Times New Roman" w:hAnsi="Times New Roman" w:cs="Times New Roman"/>
          <w:sz w:val="24"/>
          <w:szCs w:val="24"/>
        </w:rPr>
        <w:t xml:space="preserve"> provenientes de proyectos foráneos para su ejecución en Cuba. Esto constituye una limitante por responder a normativas internacionales que crean incertidumbre al diferir de los códigos cubanos y pueden ser la causa de que no se garantice que los diseños sean adecuados para su implementación en zonas costeras. Por lo que se realiza en este trabajo la evaluación geotécnica y estructural de la cimentación de aerogeneradores del parque eólico La Herradura 1 utilizándose los criterios de diferentes normativas del área internacional y las cubanas. Se comprueba que existen limitaciones para su uso en la tipología de cimentación circular apoyada sobre roca. Se emplea el software profesional STAADPro para la obtención de las solicitaciones de cálculo. Se constata que la cimentación cumple con los requerimientos al vuelco, al deslizamiento y a la estabilidad de la base con holgura. Lo mismo sucede con los </w:t>
      </w:r>
      <w:r w:rsidR="00116429" w:rsidRPr="00116429">
        <w:rPr>
          <w:rFonts w:ascii="Times New Roman" w:hAnsi="Times New Roman" w:cs="Times New Roman"/>
          <w:sz w:val="24"/>
          <w:szCs w:val="24"/>
        </w:rPr>
        <w:lastRenderedPageBreak/>
        <w:t xml:space="preserve">momentos resistentes, que exceden a los actuantes con amplio margen. Se realiza un análisis comparativo de las áreas reales de las armaduras radiales y circunferenciales con los valores mínimos por criterios a flexión y retracción, para verificar qué criterio gobierna en el diseño. </w:t>
      </w:r>
    </w:p>
    <w:p w:rsidR="009061A5" w:rsidRPr="00FB7F91" w:rsidRDefault="009061A5" w:rsidP="00FF3346">
      <w:pPr>
        <w:spacing w:after="0" w:line="360" w:lineRule="auto"/>
        <w:jc w:val="both"/>
        <w:rPr>
          <w:rFonts w:ascii="Times New Roman" w:hAnsi="Times New Roman" w:cs="Times New Roman"/>
          <w:i/>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r w:rsidR="00FB7F91" w:rsidRPr="00FB7F91">
        <w:rPr>
          <w:rFonts w:ascii="Times New Roman" w:hAnsi="Times New Roman" w:cs="Times New Roman"/>
          <w:i/>
          <w:sz w:val="24"/>
          <w:szCs w:val="24"/>
        </w:rPr>
        <w:t>Technologies of the wind turbine condition di</w:t>
      </w:r>
      <w:r w:rsidR="00D26DBB">
        <w:rPr>
          <w:rFonts w:ascii="Times New Roman" w:hAnsi="Times New Roman" w:cs="Times New Roman"/>
          <w:i/>
          <w:sz w:val="24"/>
          <w:szCs w:val="24"/>
        </w:rPr>
        <w:t>fferent solutions of foundation</w:t>
      </w:r>
      <w:bookmarkStart w:id="0" w:name="_GoBack"/>
      <w:bookmarkEnd w:id="0"/>
      <w:r w:rsidR="00FB7F91" w:rsidRPr="00FB7F91">
        <w:rPr>
          <w:rFonts w:ascii="Times New Roman" w:hAnsi="Times New Roman" w:cs="Times New Roman"/>
          <w:i/>
          <w:sz w:val="24"/>
          <w:szCs w:val="24"/>
        </w:rPr>
        <w:t xml:space="preserve"> coming from strange projects for their implementation in Cuba. This constitutes a restrictive one to respond to international normative that it generates uncertainty when differing of the cubans codes and they can be the cause that it is not guaranteed that the designs are adapted for their implementation in seashore areas. In this work make the evaluation geotechnical and structural of the wind turbine foundations of the wind farm La Herradura 1 being used the approaches of different international normative and the cubans codes. It is proven that limitations exist for their use in the foundation circular typology supports on rock. It uses the professional software STAADPro for the obtaining of the calculation’s solicitations. It is verified that the foundation fulfills the requirements to the overturn, to the slip and the stability of the base with breadth, it also happens to the resistant moments that exceed to the calculation in wide margin. It is carried out a comparative analysis of the real areas of the radial armors and circumferential with the minimum values for approaches to flexion and retraction, to verify that approach governs in the design.</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EE3CB2">
        <w:rPr>
          <w:rFonts w:ascii="Times New Roman" w:hAnsi="Times New Roman" w:cs="Times New Roman"/>
          <w:sz w:val="24"/>
          <w:szCs w:val="24"/>
        </w:rPr>
        <w:t xml:space="preserve"> Evaluación; Geotécnica; Estructural; Cimentación;</w:t>
      </w:r>
      <w:r w:rsidR="00EE3CB2" w:rsidRPr="00EE3CB2">
        <w:rPr>
          <w:rFonts w:ascii="Times New Roman" w:hAnsi="Times New Roman" w:cs="Times New Roman"/>
          <w:sz w:val="24"/>
          <w:szCs w:val="24"/>
        </w:rPr>
        <w:t xml:space="preserve"> Aerogeneradores.</w:t>
      </w:r>
    </w:p>
    <w:p w:rsidR="00A21A1F" w:rsidRPr="008C6013" w:rsidRDefault="009061A5" w:rsidP="00FF3346">
      <w:pPr>
        <w:spacing w:after="0" w:line="360" w:lineRule="auto"/>
        <w:jc w:val="both"/>
        <w:rPr>
          <w:rFonts w:ascii="Times New Roman" w:hAnsi="Times New Roman" w:cs="Times New Roman"/>
          <w:i/>
          <w:sz w:val="24"/>
          <w:szCs w:val="24"/>
        </w:rPr>
      </w:pPr>
      <w:r w:rsidRPr="00E912D0">
        <w:rPr>
          <w:rFonts w:ascii="Times New Roman" w:hAnsi="Times New Roman" w:cs="Times New Roman"/>
          <w:b/>
          <w:i/>
          <w:sz w:val="24"/>
          <w:szCs w:val="24"/>
        </w:rPr>
        <w:t>Keywords:</w:t>
      </w:r>
      <w:r>
        <w:rPr>
          <w:rFonts w:ascii="Times New Roman" w:hAnsi="Times New Roman" w:cs="Times New Roman"/>
          <w:sz w:val="24"/>
          <w:szCs w:val="24"/>
        </w:rPr>
        <w:t xml:space="preserve"> </w:t>
      </w:r>
      <w:r w:rsidR="00EE3CB2" w:rsidRPr="008C6013">
        <w:rPr>
          <w:rFonts w:ascii="Times New Roman" w:hAnsi="Times New Roman" w:cs="Times New Roman"/>
          <w:i/>
          <w:sz w:val="24"/>
          <w:szCs w:val="24"/>
        </w:rPr>
        <w:t>Evaluation; Geotechnical; Structural; Foundation; Wind Turbine.</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202658" w:rsidRPr="00202658" w:rsidRDefault="00202658" w:rsidP="00202658">
      <w:pPr>
        <w:spacing w:after="0" w:line="360" w:lineRule="auto"/>
        <w:jc w:val="both"/>
        <w:rPr>
          <w:rFonts w:ascii="Times New Roman" w:hAnsi="Times New Roman" w:cs="Times New Roman"/>
          <w:sz w:val="24"/>
          <w:szCs w:val="24"/>
        </w:rPr>
      </w:pPr>
      <w:r w:rsidRPr="00202658">
        <w:rPr>
          <w:rFonts w:ascii="Times New Roman" w:hAnsi="Times New Roman" w:cs="Times New Roman"/>
          <w:sz w:val="24"/>
          <w:szCs w:val="24"/>
        </w:rPr>
        <w:t xml:space="preserve">En el mundo actual la subsistencia del hombre depende en gran medida del uso de la energía. Aunque existen diferentes maneras de obtenerla, se aboga por que </w:t>
      </w:r>
      <w:r>
        <w:rPr>
          <w:rFonts w:ascii="Times New Roman" w:hAnsi="Times New Roman" w:cs="Times New Roman"/>
          <w:sz w:val="24"/>
          <w:szCs w:val="24"/>
        </w:rPr>
        <w:t xml:space="preserve">la </w:t>
      </w:r>
      <w:r w:rsidRPr="00202658">
        <w:rPr>
          <w:rFonts w:ascii="Times New Roman" w:hAnsi="Times New Roman" w:cs="Times New Roman"/>
          <w:sz w:val="24"/>
          <w:szCs w:val="24"/>
        </w:rPr>
        <w:t>emplead</w:t>
      </w:r>
      <w:r>
        <w:rPr>
          <w:rFonts w:ascii="Times New Roman" w:hAnsi="Times New Roman" w:cs="Times New Roman"/>
          <w:sz w:val="24"/>
          <w:szCs w:val="24"/>
        </w:rPr>
        <w:t>a</w:t>
      </w:r>
      <w:r w:rsidRPr="00202658">
        <w:rPr>
          <w:rFonts w:ascii="Times New Roman" w:hAnsi="Times New Roman" w:cs="Times New Roman"/>
          <w:sz w:val="24"/>
          <w:szCs w:val="24"/>
        </w:rPr>
        <w:t xml:space="preserve"> sea, además de eficiente, el que menos afecte al medio ambiente. Un claro ejemplo de esto se encuentra en la industria de las energías renovables dentro de las que está la eólica, que consiste en generar este recurso a través de la fuerza del viento.</w:t>
      </w:r>
    </w:p>
    <w:p w:rsidR="00202658" w:rsidRPr="00202658" w:rsidRDefault="00202658" w:rsidP="00202658">
      <w:pPr>
        <w:spacing w:after="0" w:line="360" w:lineRule="auto"/>
        <w:jc w:val="both"/>
        <w:rPr>
          <w:rFonts w:ascii="Times New Roman" w:hAnsi="Times New Roman" w:cs="Times New Roman"/>
          <w:sz w:val="24"/>
          <w:szCs w:val="24"/>
        </w:rPr>
      </w:pPr>
      <w:r w:rsidRPr="00202658">
        <w:rPr>
          <w:rFonts w:ascii="Times New Roman" w:hAnsi="Times New Roman" w:cs="Times New Roman"/>
          <w:sz w:val="24"/>
          <w:szCs w:val="24"/>
        </w:rPr>
        <w:t xml:space="preserve">El hombre comenzó a emplear el viento hace más de 5000 años para impulsar sus barcos a velas y no detuvo la innovación para aprovechar este recurso. Dicho estudio dio lugar al surgimiento de los aerogeneradores como estructuras capaces de convertir la fuerza del viento en energía eléctrica. En general existen dos grandes grupos de </w:t>
      </w:r>
      <w:r w:rsidRPr="00202658">
        <w:rPr>
          <w:rFonts w:ascii="Times New Roman" w:hAnsi="Times New Roman" w:cs="Times New Roman"/>
          <w:sz w:val="24"/>
          <w:szCs w:val="24"/>
        </w:rPr>
        <w:lastRenderedPageBreak/>
        <w:t xml:space="preserve">aerogeneradores según su lugar de emplazamiento: los </w:t>
      </w:r>
      <w:r w:rsidRPr="008C6013">
        <w:rPr>
          <w:rFonts w:ascii="Times New Roman" w:hAnsi="Times New Roman" w:cs="Times New Roman"/>
          <w:i/>
          <w:sz w:val="24"/>
          <w:szCs w:val="24"/>
        </w:rPr>
        <w:t>onshore</w:t>
      </w:r>
      <w:r w:rsidRPr="00202658">
        <w:rPr>
          <w:rFonts w:ascii="Times New Roman" w:hAnsi="Times New Roman" w:cs="Times New Roman"/>
          <w:sz w:val="24"/>
          <w:szCs w:val="24"/>
        </w:rPr>
        <w:t>, instalados en tierra y los offshore, cuya localización es dentro del mar.</w:t>
      </w:r>
    </w:p>
    <w:p w:rsidR="00202658" w:rsidRPr="00202658" w:rsidRDefault="00202658" w:rsidP="00202658">
      <w:pPr>
        <w:spacing w:after="0" w:line="360" w:lineRule="auto"/>
        <w:jc w:val="both"/>
        <w:rPr>
          <w:rFonts w:ascii="Times New Roman" w:hAnsi="Times New Roman" w:cs="Times New Roman"/>
          <w:sz w:val="24"/>
          <w:szCs w:val="24"/>
        </w:rPr>
      </w:pPr>
      <w:r w:rsidRPr="00202658">
        <w:rPr>
          <w:rFonts w:ascii="Times New Roman" w:hAnsi="Times New Roman" w:cs="Times New Roman"/>
          <w:sz w:val="24"/>
          <w:szCs w:val="24"/>
        </w:rPr>
        <w:t xml:space="preserve">En Cuba, existen en la actualidad 20 aerogeneradores de tecnología </w:t>
      </w:r>
      <w:r w:rsidRPr="008C6013">
        <w:rPr>
          <w:rFonts w:ascii="Times New Roman" w:hAnsi="Times New Roman" w:cs="Times New Roman"/>
          <w:i/>
          <w:sz w:val="24"/>
          <w:szCs w:val="24"/>
        </w:rPr>
        <w:t>onshore,</w:t>
      </w:r>
      <w:r w:rsidRPr="00202658">
        <w:rPr>
          <w:rFonts w:ascii="Times New Roman" w:hAnsi="Times New Roman" w:cs="Times New Roman"/>
          <w:sz w:val="24"/>
          <w:szCs w:val="24"/>
        </w:rPr>
        <w:t xml:space="preserve"> distribuidos en los cuatro parques eólicos existentes: Turiguanó, Los Canarreos, Gibara 1 y Gibara 2. La potencia instalada en conjunto es de 11,7 MW, con lo que la nación se ubica en el puesto 69 a nivel mundial en el empleo de esta fuente de energía limpia (Galbán, 2018). La meta, sin embargo, es superar este escaño. Actualmente, el gobierno tiene en marcha un plan que contempla la construcción de otros 13 parques en la zona nororiental del país, para incrementar la capacidad eólica de la isla a 656 MW (Sáez, 2018). Uno de los proyectos más ambiciosos, dentro de esta estrategia, es la construcción del parque La Herradura 1, enclavado en la provincia de Las Tunas, no solo por su enorme contribución al Sistema Energético Nacional (SEN) sino también por el alto nivel tecnológico que exige su instalación.</w:t>
      </w:r>
    </w:p>
    <w:p w:rsidR="00202658" w:rsidRPr="00202658" w:rsidRDefault="00202658" w:rsidP="00202658">
      <w:pPr>
        <w:spacing w:after="0" w:line="360" w:lineRule="auto"/>
        <w:jc w:val="both"/>
        <w:rPr>
          <w:rFonts w:ascii="Times New Roman" w:hAnsi="Times New Roman" w:cs="Times New Roman"/>
          <w:sz w:val="24"/>
          <w:szCs w:val="24"/>
        </w:rPr>
      </w:pPr>
      <w:r w:rsidRPr="00202658">
        <w:rPr>
          <w:rFonts w:ascii="Times New Roman" w:hAnsi="Times New Roman" w:cs="Times New Roman"/>
          <w:sz w:val="24"/>
          <w:szCs w:val="24"/>
        </w:rPr>
        <w:t>Las turbinas son de 65 m de alto y con un diámetro del rotor de 76,9 m, por lo cual requieren de cimentaciones con amplias dimensiones y una gran cantidad de acero de refuerzo para asegurar su estabilidad durante su vida útil. Estas presentan alrededor de 2,75 m de profundidad con un diámetro de 16 m, necesitándose para cada base 360 m3 de hormigón y 400 kN de acero aproximadamente. (Leiva, 2018)</w:t>
      </w:r>
    </w:p>
    <w:p w:rsidR="00202658" w:rsidRDefault="00202658" w:rsidP="00202658">
      <w:pPr>
        <w:spacing w:after="0" w:line="360" w:lineRule="auto"/>
        <w:jc w:val="both"/>
        <w:rPr>
          <w:rFonts w:ascii="Times New Roman" w:hAnsi="Times New Roman" w:cs="Times New Roman"/>
          <w:sz w:val="24"/>
          <w:szCs w:val="24"/>
        </w:rPr>
      </w:pPr>
      <w:r w:rsidRPr="00202658">
        <w:rPr>
          <w:rFonts w:ascii="Times New Roman" w:hAnsi="Times New Roman" w:cs="Times New Roman"/>
          <w:sz w:val="24"/>
          <w:szCs w:val="24"/>
        </w:rPr>
        <w:t xml:space="preserve">Los diseños actuales de la base de cimentación para los aerogeneradores del parque eólico La Herradura 1, son definidas por el fabricante, estableciéndose geometría, cargas, dimensiones, material y requisitos técnicos constructivos. Sin embargo, se evidencia que generan incertidumbre al ser elaborados con normativas internacionales que difieren de las cubanas vigentes y pueden ser la causa de que no se garantice que estos diseños sean adecuados para ser implementados en zonas costeras. Este problema motivó la presente investigación para comprobar la eficacia del empleo de estas normas en el diseño comparándose con la vigente cubana, según las condiciones ingeniero-geológicas del sitio, las condiciones de seguridad, entre otros y todo ello conducente a establecer criterios de racionalidad. Lo antes expuesto permite plantear como objetivo de la investigación evaluar la solución de cimentación de aerogeneradores del parque eólico La Herradura 1 desde el punto de vista geotécnico y estructural para comprobar si es apropiada para zonas costeras.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6A54BB" w:rsidRPr="006A54BB" w:rsidRDefault="006A54BB" w:rsidP="006A54BB">
      <w:pPr>
        <w:spacing w:after="0" w:line="360" w:lineRule="auto"/>
        <w:jc w:val="both"/>
        <w:rPr>
          <w:rFonts w:ascii="Times New Roman" w:hAnsi="Times New Roman" w:cs="Times New Roman"/>
          <w:sz w:val="24"/>
          <w:szCs w:val="24"/>
        </w:rPr>
      </w:pPr>
      <w:r w:rsidRPr="006A54BB">
        <w:rPr>
          <w:rFonts w:ascii="Times New Roman" w:hAnsi="Times New Roman" w:cs="Times New Roman"/>
          <w:sz w:val="24"/>
          <w:szCs w:val="24"/>
        </w:rPr>
        <w:lastRenderedPageBreak/>
        <w:t xml:space="preserve">En la revisión bibliográfica realizada se valoran criterios de diseño geotécnico y estructural según diferentes normativas internacionales tales como: </w:t>
      </w:r>
      <w:r w:rsidRPr="008C6013">
        <w:rPr>
          <w:rFonts w:ascii="Times New Roman" w:hAnsi="Times New Roman" w:cs="Times New Roman"/>
          <w:i/>
          <w:sz w:val="24"/>
          <w:szCs w:val="24"/>
        </w:rPr>
        <w:t>Eurocode</w:t>
      </w:r>
      <w:r w:rsidRPr="006A54BB">
        <w:rPr>
          <w:rFonts w:ascii="Times New Roman" w:hAnsi="Times New Roman" w:cs="Times New Roman"/>
          <w:sz w:val="24"/>
          <w:szCs w:val="24"/>
        </w:rPr>
        <w:t xml:space="preserve"> 7 (2007), </w:t>
      </w:r>
      <w:r w:rsidRPr="008C6013">
        <w:rPr>
          <w:rFonts w:ascii="Times New Roman" w:hAnsi="Times New Roman" w:cs="Times New Roman"/>
          <w:i/>
          <w:sz w:val="24"/>
          <w:szCs w:val="24"/>
        </w:rPr>
        <w:t>Det Norske Veritas</w:t>
      </w:r>
      <w:r w:rsidRPr="006A54BB">
        <w:rPr>
          <w:rFonts w:ascii="Times New Roman" w:hAnsi="Times New Roman" w:cs="Times New Roman"/>
          <w:sz w:val="24"/>
          <w:szCs w:val="24"/>
        </w:rPr>
        <w:t xml:space="preserve"> (DNV)(2002), NBE-AE-88: </w:t>
      </w:r>
      <w:r w:rsidRPr="008C6013">
        <w:rPr>
          <w:rFonts w:ascii="Times New Roman" w:hAnsi="Times New Roman" w:cs="Times New Roman"/>
          <w:i/>
          <w:sz w:val="24"/>
          <w:szCs w:val="24"/>
        </w:rPr>
        <w:t>Acciones en la edificación</w:t>
      </w:r>
      <w:r w:rsidRPr="006A54BB">
        <w:rPr>
          <w:rFonts w:ascii="Times New Roman" w:hAnsi="Times New Roman" w:cs="Times New Roman"/>
          <w:sz w:val="24"/>
          <w:szCs w:val="24"/>
        </w:rPr>
        <w:t xml:space="preserve"> (1988), EHE-08 </w:t>
      </w:r>
      <w:r w:rsidRPr="008C6013">
        <w:rPr>
          <w:rFonts w:ascii="Times New Roman" w:hAnsi="Times New Roman" w:cs="Times New Roman"/>
          <w:i/>
          <w:sz w:val="24"/>
          <w:szCs w:val="24"/>
        </w:rPr>
        <w:t>Instrucción de hormigón estructural</w:t>
      </w:r>
      <w:r w:rsidRPr="006A54BB">
        <w:rPr>
          <w:rFonts w:ascii="Times New Roman" w:hAnsi="Times New Roman" w:cs="Times New Roman"/>
          <w:sz w:val="24"/>
          <w:szCs w:val="24"/>
        </w:rPr>
        <w:t xml:space="preserve"> (2010), además del análisis crítico de los enfoques que establecen las normas cubanas vigentes NC1321:2019 (2019) y NC 207:2019 (2019), lo que favorece la revisión de soluciones de cimentaciones en tipologías disímiles.</w:t>
      </w:r>
    </w:p>
    <w:p w:rsidR="006A54BB" w:rsidRPr="006A54BB" w:rsidRDefault="006A54BB" w:rsidP="006A54BB">
      <w:pPr>
        <w:spacing w:after="0" w:line="360" w:lineRule="auto"/>
        <w:jc w:val="both"/>
        <w:rPr>
          <w:rFonts w:ascii="Times New Roman" w:hAnsi="Times New Roman" w:cs="Times New Roman"/>
          <w:sz w:val="24"/>
          <w:szCs w:val="24"/>
        </w:rPr>
      </w:pPr>
      <w:r w:rsidRPr="006A54BB">
        <w:rPr>
          <w:rFonts w:ascii="Times New Roman" w:hAnsi="Times New Roman" w:cs="Times New Roman"/>
          <w:sz w:val="24"/>
          <w:szCs w:val="24"/>
        </w:rPr>
        <w:t>Del análisis efectuado a las diferentes normativas se tiene que los criterios de diseño y revisión de cimentaciones superficiales difieren en los niveles de seguridad asumidos, en los aspectos geotécnicos de cimientos apoyados en roca y en que existen restricciones para abordar la solución estructural en bases circulares. No obstante, contienen aspectos comunes que favorecen la interpretación y el manejo de la información.</w:t>
      </w:r>
    </w:p>
    <w:p w:rsidR="006A54BB" w:rsidRPr="006A54BB" w:rsidRDefault="006A54BB" w:rsidP="006A54BB">
      <w:pPr>
        <w:spacing w:after="0" w:line="360" w:lineRule="auto"/>
        <w:jc w:val="both"/>
        <w:rPr>
          <w:rFonts w:ascii="Times New Roman" w:hAnsi="Times New Roman" w:cs="Times New Roman"/>
          <w:sz w:val="24"/>
          <w:szCs w:val="24"/>
        </w:rPr>
      </w:pPr>
      <w:r w:rsidRPr="006A54BB">
        <w:rPr>
          <w:rFonts w:ascii="Times New Roman" w:hAnsi="Times New Roman" w:cs="Times New Roman"/>
          <w:sz w:val="24"/>
          <w:szCs w:val="24"/>
        </w:rPr>
        <w:t xml:space="preserve">Para realizar la revisión desde el punto de vista geotécnico y estructural de la cimentación actual del aerogenerador tipo GW77/1500 del parque eólico La Herradura 1 es necesario conocer las características de la misma. La estructura de cimentación en estudio es aislada de hormigón armado fundida in situ de forma circular con diámetro de 16 m. El plato con peralto variable entre 0,9 m - 2,2 m y el fuste de forma circular con diámetro de 6,8 m. </w:t>
      </w:r>
    </w:p>
    <w:p w:rsidR="006A54BB" w:rsidRDefault="006A54BB" w:rsidP="006A54BB">
      <w:pPr>
        <w:spacing w:after="0" w:line="360" w:lineRule="auto"/>
        <w:jc w:val="both"/>
        <w:rPr>
          <w:rFonts w:ascii="Times New Roman" w:hAnsi="Times New Roman" w:cs="Times New Roman"/>
          <w:sz w:val="24"/>
          <w:szCs w:val="24"/>
        </w:rPr>
      </w:pPr>
      <w:r w:rsidRPr="006A54BB">
        <w:rPr>
          <w:rFonts w:ascii="Times New Roman" w:hAnsi="Times New Roman" w:cs="Times New Roman"/>
          <w:sz w:val="24"/>
          <w:szCs w:val="24"/>
        </w:rPr>
        <w:t xml:space="preserve">Los estudios de suelo realizados por la Empresa Nacional de Investigaciones Aplicadas (ENIA) de Holguín, determinan que el terreno en toda la zona es básicamente rocoso. La investigación fue realizada con las propiedades físico-mecánicas del suelo brindadas por la ENIA en el informe ingeniero geológico. El hormigón empleado en el cimiento tiene una resistencia a la compresión (f´c) de 30 MPa. El refuerzo es con barras de acero de calidad G-60 y el recubrimiento es de 100 mm en el borde inferior del cimiento y de 80 mm en todos los demás casos. En la tabla 1 se muestran las cargas principales del diseño de la cimentación según la documentación del proyecto. </w:t>
      </w:r>
    </w:p>
    <w:p w:rsidR="006A54BB" w:rsidRDefault="006A54BB" w:rsidP="006A54BB">
      <w:pPr>
        <w:spacing w:after="0" w:line="360" w:lineRule="auto"/>
        <w:jc w:val="both"/>
        <w:rPr>
          <w:rFonts w:ascii="Times New Roman" w:hAnsi="Times New Roman" w:cs="Times New Roman"/>
          <w:sz w:val="24"/>
          <w:szCs w:val="24"/>
        </w:rPr>
      </w:pPr>
      <w:r w:rsidRPr="006A54BB">
        <w:rPr>
          <w:rFonts w:ascii="Times New Roman" w:hAnsi="Times New Roman" w:cs="Times New Roman"/>
          <w:sz w:val="24"/>
          <w:szCs w:val="24"/>
        </w:rPr>
        <w:t>Tabla 1</w:t>
      </w:r>
      <w:r>
        <w:rPr>
          <w:rFonts w:ascii="Times New Roman" w:hAnsi="Times New Roman" w:cs="Times New Roman"/>
          <w:sz w:val="24"/>
          <w:szCs w:val="24"/>
        </w:rPr>
        <w:t>.</w:t>
      </w:r>
      <w:r w:rsidRPr="006A54BB">
        <w:rPr>
          <w:rFonts w:ascii="Times New Roman" w:hAnsi="Times New Roman" w:cs="Times New Roman"/>
          <w:sz w:val="24"/>
          <w:szCs w:val="24"/>
        </w:rPr>
        <w:t xml:space="preserve"> Solicitaciones de cálculo por proyecto</w:t>
      </w:r>
      <w:r>
        <w:rPr>
          <w:rFonts w:ascii="Times New Roman" w:hAnsi="Times New Roman" w:cs="Times New Roman"/>
          <w:sz w:val="24"/>
          <w:szCs w:val="24"/>
        </w:rPr>
        <w:t xml:space="preserve"> (Elaboración Propia)</w:t>
      </w:r>
      <w:r w:rsidRPr="006A54BB">
        <w:rPr>
          <w:rFonts w:ascii="Times New Roman" w:hAnsi="Times New Roman" w:cs="Times New Roman"/>
          <w:sz w:val="24"/>
          <w:szCs w:val="24"/>
        </w:rPr>
        <w:t>.</w:t>
      </w:r>
    </w:p>
    <w:tbl>
      <w:tblPr>
        <w:tblStyle w:val="Tablaconcuadrcula"/>
        <w:tblW w:w="8647" w:type="dxa"/>
        <w:jc w:val="center"/>
        <w:tblLayout w:type="fixed"/>
        <w:tblLook w:val="04A0" w:firstRow="1" w:lastRow="0" w:firstColumn="1" w:lastColumn="0" w:noHBand="0" w:noVBand="1"/>
      </w:tblPr>
      <w:tblGrid>
        <w:gridCol w:w="1861"/>
        <w:gridCol w:w="1134"/>
        <w:gridCol w:w="1272"/>
        <w:gridCol w:w="854"/>
        <w:gridCol w:w="1134"/>
        <w:gridCol w:w="2392"/>
      </w:tblGrid>
      <w:tr w:rsidR="006A54BB" w:rsidRPr="006A54BB" w:rsidTr="00E61E63">
        <w:trPr>
          <w:jc w:val="center"/>
        </w:trPr>
        <w:tc>
          <w:tcPr>
            <w:tcW w:w="8647" w:type="dxa"/>
            <w:gridSpan w:val="6"/>
            <w:tcBorders>
              <w:left w:val="nil"/>
              <w:bottom w:val="nil"/>
              <w:right w:val="nil"/>
            </w:tcBorders>
            <w:shd w:val="clear" w:color="auto" w:fill="EEECE1" w:themeFill="background2"/>
            <w:vAlign w:val="center"/>
          </w:tcPr>
          <w:p w:rsidR="006A54BB" w:rsidRPr="006A54BB" w:rsidRDefault="006A54BB" w:rsidP="006A54BB">
            <w:pPr>
              <w:jc w:val="center"/>
              <w:rPr>
                <w:rFonts w:ascii="Times New Roman" w:hAnsi="Times New Roman" w:cs="Times New Roman"/>
                <w:b/>
                <w:bCs/>
                <w:sz w:val="24"/>
                <w:szCs w:val="24"/>
              </w:rPr>
            </w:pPr>
            <w:r w:rsidRPr="006A54BB">
              <w:rPr>
                <w:rFonts w:ascii="Times New Roman" w:hAnsi="Times New Roman" w:cs="Times New Roman"/>
                <w:b/>
                <w:bCs/>
                <w:i/>
                <w:sz w:val="24"/>
                <w:szCs w:val="24"/>
              </w:rPr>
              <w:t>Goldwind</w:t>
            </w:r>
            <w:r w:rsidRPr="006A54BB">
              <w:rPr>
                <w:rFonts w:ascii="Times New Roman" w:hAnsi="Times New Roman" w:cs="Times New Roman"/>
                <w:b/>
                <w:bCs/>
                <w:sz w:val="24"/>
                <w:szCs w:val="24"/>
              </w:rPr>
              <w:t xml:space="preserve"> 77/1500 diseño de carga de la cimentación de turbina de viento</w:t>
            </w:r>
          </w:p>
        </w:tc>
      </w:tr>
      <w:tr w:rsidR="006A54BB" w:rsidRPr="006A54BB" w:rsidTr="00E61E63">
        <w:trPr>
          <w:jc w:val="center"/>
        </w:trPr>
        <w:tc>
          <w:tcPr>
            <w:tcW w:w="1861" w:type="dxa"/>
            <w:tcBorders>
              <w:top w:val="nil"/>
              <w:left w:val="nil"/>
              <w:bottom w:val="single" w:sz="4" w:space="0" w:color="auto"/>
              <w:right w:val="nil"/>
            </w:tcBorders>
            <w:shd w:val="clear" w:color="auto" w:fill="EEECE1" w:themeFill="background2"/>
            <w:vAlign w:val="center"/>
          </w:tcPr>
          <w:p w:rsidR="006A54BB" w:rsidRPr="006A54BB" w:rsidRDefault="006A54BB" w:rsidP="006A54BB">
            <w:pPr>
              <w:jc w:val="center"/>
              <w:rPr>
                <w:rFonts w:ascii="Times New Roman" w:hAnsi="Times New Roman" w:cs="Times New Roman"/>
                <w:b/>
                <w:bCs/>
                <w:sz w:val="24"/>
                <w:szCs w:val="24"/>
              </w:rPr>
            </w:pPr>
            <w:r w:rsidRPr="006A54BB">
              <w:rPr>
                <w:rFonts w:ascii="Times New Roman" w:hAnsi="Times New Roman" w:cs="Times New Roman"/>
                <w:b/>
                <w:bCs/>
                <w:sz w:val="24"/>
                <w:szCs w:val="24"/>
              </w:rPr>
              <w:t>Cargas para el cálculo</w:t>
            </w:r>
          </w:p>
        </w:tc>
        <w:tc>
          <w:tcPr>
            <w:tcW w:w="1134" w:type="dxa"/>
            <w:tcBorders>
              <w:top w:val="nil"/>
              <w:left w:val="nil"/>
              <w:bottom w:val="single" w:sz="4" w:space="0" w:color="auto"/>
              <w:right w:val="nil"/>
            </w:tcBorders>
            <w:shd w:val="clear" w:color="auto" w:fill="EEECE1" w:themeFill="background2"/>
            <w:vAlign w:val="center"/>
          </w:tcPr>
          <w:p w:rsidR="006A54BB" w:rsidRPr="006A54BB" w:rsidRDefault="006A54BB" w:rsidP="006A54BB">
            <w:pPr>
              <w:jc w:val="center"/>
              <w:rPr>
                <w:rFonts w:ascii="Times New Roman" w:eastAsiaTheme="minorEastAsia" w:hAnsi="Times New Roman" w:cs="Times New Roman"/>
                <w:b/>
                <w:bCs/>
                <w:sz w:val="24"/>
                <w:szCs w:val="24"/>
              </w:rPr>
            </w:pPr>
            <m:oMathPara>
              <m:oMath>
                <m:r>
                  <m:rPr>
                    <m:sty m:val="bi"/>
                  </m:rPr>
                  <w:rPr>
                    <w:rFonts w:ascii="Cambria Math" w:hAnsi="Cambria Math" w:cs="Times New Roman"/>
                    <w:sz w:val="24"/>
                    <w:szCs w:val="24"/>
                  </w:rPr>
                  <m:t>Mxy</m:t>
                </m:r>
              </m:oMath>
            </m:oMathPara>
          </w:p>
          <w:p w:rsidR="006A54BB" w:rsidRPr="006A54BB" w:rsidRDefault="006A54BB" w:rsidP="006A54BB">
            <w:pPr>
              <w:jc w:val="center"/>
              <w:rPr>
                <w:rFonts w:ascii="Times New Roman" w:hAnsi="Times New Roman" w:cs="Times New Roman"/>
                <w:b/>
                <w:bCs/>
                <w:sz w:val="24"/>
                <w:szCs w:val="24"/>
              </w:rPr>
            </w:pPr>
            <m:oMathPara>
              <m:oMath>
                <m:r>
                  <m:rPr>
                    <m:sty m:val="bi"/>
                  </m:rPr>
                  <w:rPr>
                    <w:rFonts w:ascii="Cambria Math" w:hAnsi="Cambria Math" w:cs="Times New Roman"/>
                    <w:sz w:val="24"/>
                    <w:szCs w:val="24"/>
                  </w:rPr>
                  <m:t>(kNm)</m:t>
                </m:r>
              </m:oMath>
            </m:oMathPara>
          </w:p>
        </w:tc>
        <w:tc>
          <w:tcPr>
            <w:tcW w:w="1272" w:type="dxa"/>
            <w:tcBorders>
              <w:top w:val="nil"/>
              <w:left w:val="nil"/>
              <w:bottom w:val="single" w:sz="4" w:space="0" w:color="auto"/>
              <w:right w:val="nil"/>
            </w:tcBorders>
            <w:shd w:val="clear" w:color="auto" w:fill="EEECE1" w:themeFill="background2"/>
            <w:vAlign w:val="center"/>
          </w:tcPr>
          <w:p w:rsidR="006A54BB" w:rsidRPr="006A54BB" w:rsidRDefault="006A54BB" w:rsidP="006A54BB">
            <w:pPr>
              <w:jc w:val="center"/>
              <w:rPr>
                <w:rFonts w:ascii="Times New Roman" w:eastAsiaTheme="minorEastAsia" w:hAnsi="Times New Roman" w:cs="Times New Roman"/>
                <w:b/>
                <w:bCs/>
                <w:sz w:val="24"/>
                <w:szCs w:val="24"/>
              </w:rPr>
            </w:pPr>
            <m:oMathPara>
              <m:oMath>
                <m:r>
                  <m:rPr>
                    <m:sty m:val="bi"/>
                  </m:rPr>
                  <w:rPr>
                    <w:rFonts w:ascii="Cambria Math" w:hAnsi="Cambria Math" w:cs="Times New Roman"/>
                    <w:sz w:val="24"/>
                    <w:szCs w:val="24"/>
                  </w:rPr>
                  <m:t>Mz</m:t>
                </m:r>
              </m:oMath>
            </m:oMathPara>
          </w:p>
          <w:p w:rsidR="006A54BB" w:rsidRPr="006A54BB" w:rsidRDefault="006A54BB" w:rsidP="006A54BB">
            <w:pPr>
              <w:jc w:val="center"/>
              <w:rPr>
                <w:rFonts w:ascii="Times New Roman" w:hAnsi="Times New Roman" w:cs="Times New Roman"/>
                <w:b/>
                <w:bCs/>
                <w:sz w:val="24"/>
                <w:szCs w:val="24"/>
              </w:rPr>
            </w:pPr>
            <m:oMathPara>
              <m:oMath>
                <m:r>
                  <m:rPr>
                    <m:sty m:val="bi"/>
                  </m:rPr>
                  <w:rPr>
                    <w:rFonts w:ascii="Cambria Math" w:hAnsi="Cambria Math" w:cs="Times New Roman"/>
                    <w:sz w:val="24"/>
                    <w:szCs w:val="24"/>
                  </w:rPr>
                  <m:t>(kNm)</m:t>
                </m:r>
              </m:oMath>
            </m:oMathPara>
          </w:p>
        </w:tc>
        <w:tc>
          <w:tcPr>
            <w:tcW w:w="854" w:type="dxa"/>
            <w:tcBorders>
              <w:top w:val="nil"/>
              <w:left w:val="nil"/>
              <w:bottom w:val="single" w:sz="4" w:space="0" w:color="auto"/>
              <w:right w:val="nil"/>
            </w:tcBorders>
            <w:shd w:val="clear" w:color="auto" w:fill="EEECE1" w:themeFill="background2"/>
            <w:vAlign w:val="center"/>
          </w:tcPr>
          <w:p w:rsidR="006A54BB" w:rsidRPr="006A54BB" w:rsidRDefault="006A54BB" w:rsidP="006A54BB">
            <w:pPr>
              <w:jc w:val="center"/>
              <w:rPr>
                <w:rFonts w:ascii="Times New Roman" w:eastAsiaTheme="minorEastAsia" w:hAnsi="Times New Roman" w:cs="Times New Roman"/>
                <w:b/>
                <w:bCs/>
                <w:sz w:val="24"/>
                <w:szCs w:val="24"/>
              </w:rPr>
            </w:pPr>
            <m:oMathPara>
              <m:oMath>
                <m:r>
                  <m:rPr>
                    <m:sty m:val="bi"/>
                  </m:rPr>
                  <w:rPr>
                    <w:rFonts w:ascii="Cambria Math" w:hAnsi="Cambria Math" w:cs="Times New Roman"/>
                    <w:sz w:val="24"/>
                    <w:szCs w:val="24"/>
                  </w:rPr>
                  <m:t>Fxy</m:t>
                </m:r>
              </m:oMath>
            </m:oMathPara>
          </w:p>
          <w:p w:rsidR="006A54BB" w:rsidRPr="006A54BB" w:rsidRDefault="006A54BB" w:rsidP="006A54BB">
            <w:pPr>
              <w:jc w:val="center"/>
              <w:rPr>
                <w:rFonts w:ascii="Times New Roman" w:hAnsi="Times New Roman" w:cs="Times New Roman"/>
                <w:b/>
                <w:bCs/>
                <w:sz w:val="24"/>
                <w:szCs w:val="24"/>
              </w:rPr>
            </w:pPr>
            <m:oMathPara>
              <m:oMath>
                <m:r>
                  <m:rPr>
                    <m:sty m:val="bi"/>
                  </m:rPr>
                  <w:rPr>
                    <w:rFonts w:ascii="Cambria Math" w:hAnsi="Cambria Math" w:cs="Times New Roman"/>
                    <w:sz w:val="24"/>
                    <w:szCs w:val="24"/>
                  </w:rPr>
                  <m:t>(kN)</m:t>
                </m:r>
              </m:oMath>
            </m:oMathPara>
          </w:p>
        </w:tc>
        <w:tc>
          <w:tcPr>
            <w:tcW w:w="1134" w:type="dxa"/>
            <w:tcBorders>
              <w:top w:val="nil"/>
              <w:left w:val="nil"/>
              <w:bottom w:val="single" w:sz="4" w:space="0" w:color="auto"/>
              <w:right w:val="nil"/>
            </w:tcBorders>
            <w:shd w:val="clear" w:color="auto" w:fill="EEECE1" w:themeFill="background2"/>
            <w:vAlign w:val="center"/>
          </w:tcPr>
          <w:p w:rsidR="006A54BB" w:rsidRPr="006A54BB" w:rsidRDefault="006A54BB" w:rsidP="006A54BB">
            <w:pPr>
              <w:jc w:val="center"/>
              <w:rPr>
                <w:rFonts w:ascii="Times New Roman" w:eastAsiaTheme="minorEastAsia" w:hAnsi="Times New Roman" w:cs="Times New Roman"/>
                <w:b/>
                <w:bCs/>
                <w:sz w:val="24"/>
                <w:szCs w:val="24"/>
              </w:rPr>
            </w:pPr>
            <m:oMathPara>
              <m:oMath>
                <m:r>
                  <m:rPr>
                    <m:sty m:val="bi"/>
                  </m:rPr>
                  <w:rPr>
                    <w:rFonts w:ascii="Cambria Math" w:hAnsi="Cambria Math" w:cs="Times New Roman"/>
                    <w:sz w:val="24"/>
                    <w:szCs w:val="24"/>
                  </w:rPr>
                  <m:t>Fz</m:t>
                </m:r>
              </m:oMath>
            </m:oMathPara>
          </w:p>
          <w:p w:rsidR="006A54BB" w:rsidRPr="006A54BB" w:rsidRDefault="006A54BB" w:rsidP="006A54BB">
            <w:pPr>
              <w:jc w:val="center"/>
              <w:rPr>
                <w:rFonts w:ascii="Times New Roman" w:hAnsi="Times New Roman" w:cs="Times New Roman"/>
                <w:b/>
                <w:bCs/>
                <w:sz w:val="24"/>
                <w:szCs w:val="24"/>
              </w:rPr>
            </w:pPr>
            <m:oMathPara>
              <m:oMath>
                <m:r>
                  <m:rPr>
                    <m:sty m:val="bi"/>
                  </m:rPr>
                  <w:rPr>
                    <w:rFonts w:ascii="Cambria Math" w:hAnsi="Cambria Math" w:cs="Times New Roman"/>
                    <w:sz w:val="24"/>
                    <w:szCs w:val="24"/>
                  </w:rPr>
                  <m:t>(kN)</m:t>
                </m:r>
              </m:oMath>
            </m:oMathPara>
          </w:p>
        </w:tc>
        <w:tc>
          <w:tcPr>
            <w:tcW w:w="2392" w:type="dxa"/>
            <w:tcBorders>
              <w:top w:val="nil"/>
              <w:left w:val="nil"/>
              <w:bottom w:val="single" w:sz="4" w:space="0" w:color="auto"/>
              <w:right w:val="nil"/>
            </w:tcBorders>
            <w:shd w:val="clear" w:color="auto" w:fill="EEECE1" w:themeFill="background2"/>
            <w:vAlign w:val="center"/>
          </w:tcPr>
          <w:p w:rsidR="006A54BB" w:rsidRPr="006A54BB" w:rsidRDefault="006A54BB" w:rsidP="006A54BB">
            <w:pPr>
              <w:jc w:val="center"/>
              <w:rPr>
                <w:rFonts w:ascii="Times New Roman" w:hAnsi="Times New Roman" w:cs="Times New Roman"/>
                <w:b/>
                <w:bCs/>
                <w:sz w:val="24"/>
                <w:szCs w:val="24"/>
              </w:rPr>
            </w:pPr>
            <w:r w:rsidRPr="006A54BB">
              <w:rPr>
                <w:rFonts w:ascii="Times New Roman" w:hAnsi="Times New Roman" w:cs="Times New Roman"/>
                <w:b/>
                <w:bCs/>
                <w:sz w:val="24"/>
                <w:szCs w:val="24"/>
              </w:rPr>
              <w:t>Factor de seguridad</w:t>
            </w:r>
          </w:p>
        </w:tc>
      </w:tr>
      <w:tr w:rsidR="006A54BB" w:rsidRPr="006A54BB" w:rsidTr="00E61E63">
        <w:trPr>
          <w:jc w:val="center"/>
        </w:trPr>
        <w:tc>
          <w:tcPr>
            <w:tcW w:w="1861" w:type="dxa"/>
            <w:tcBorders>
              <w:left w:val="nil"/>
              <w:bottom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Carga normal</w:t>
            </w:r>
          </w:p>
        </w:tc>
        <w:tc>
          <w:tcPr>
            <w:tcW w:w="1134" w:type="dxa"/>
            <w:tcBorders>
              <w:left w:val="nil"/>
              <w:bottom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20975</w:t>
            </w:r>
          </w:p>
        </w:tc>
        <w:tc>
          <w:tcPr>
            <w:tcW w:w="1272" w:type="dxa"/>
            <w:tcBorders>
              <w:left w:val="nil"/>
              <w:bottom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111,2</w:t>
            </w:r>
          </w:p>
        </w:tc>
        <w:tc>
          <w:tcPr>
            <w:tcW w:w="854" w:type="dxa"/>
            <w:tcBorders>
              <w:left w:val="nil"/>
              <w:bottom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379,9</w:t>
            </w:r>
          </w:p>
        </w:tc>
        <w:tc>
          <w:tcPr>
            <w:tcW w:w="1134" w:type="dxa"/>
            <w:tcBorders>
              <w:left w:val="nil"/>
              <w:bottom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2331,3</w:t>
            </w:r>
          </w:p>
        </w:tc>
        <w:tc>
          <w:tcPr>
            <w:tcW w:w="2392" w:type="dxa"/>
            <w:tcBorders>
              <w:left w:val="nil"/>
              <w:bottom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1,35</w:t>
            </w:r>
          </w:p>
        </w:tc>
      </w:tr>
      <w:tr w:rsidR="006A54BB" w:rsidRPr="006A54BB" w:rsidTr="00E61E63">
        <w:trPr>
          <w:jc w:val="center"/>
        </w:trPr>
        <w:tc>
          <w:tcPr>
            <w:tcW w:w="1861" w:type="dxa"/>
            <w:tcBorders>
              <w:top w:val="nil"/>
              <w:left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 xml:space="preserve">Carga extrema </w:t>
            </w:r>
          </w:p>
        </w:tc>
        <w:tc>
          <w:tcPr>
            <w:tcW w:w="1134" w:type="dxa"/>
            <w:tcBorders>
              <w:top w:val="nil"/>
              <w:left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29331,9</w:t>
            </w:r>
          </w:p>
        </w:tc>
        <w:tc>
          <w:tcPr>
            <w:tcW w:w="1272" w:type="dxa"/>
            <w:tcBorders>
              <w:top w:val="nil"/>
              <w:left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1399,55</w:t>
            </w:r>
          </w:p>
        </w:tc>
        <w:tc>
          <w:tcPr>
            <w:tcW w:w="854" w:type="dxa"/>
            <w:tcBorders>
              <w:top w:val="nil"/>
              <w:left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525,1</w:t>
            </w:r>
          </w:p>
        </w:tc>
        <w:tc>
          <w:tcPr>
            <w:tcW w:w="1134" w:type="dxa"/>
            <w:tcBorders>
              <w:top w:val="nil"/>
              <w:left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1692,28</w:t>
            </w:r>
          </w:p>
        </w:tc>
        <w:tc>
          <w:tcPr>
            <w:tcW w:w="2392" w:type="dxa"/>
            <w:tcBorders>
              <w:top w:val="nil"/>
              <w:left w:val="nil"/>
              <w:right w:val="nil"/>
            </w:tcBorders>
            <w:vAlign w:val="center"/>
          </w:tcPr>
          <w:p w:rsidR="006A54BB" w:rsidRPr="006A54BB" w:rsidRDefault="006A54BB" w:rsidP="006A54BB">
            <w:pPr>
              <w:jc w:val="center"/>
              <w:rPr>
                <w:rFonts w:ascii="Times New Roman" w:hAnsi="Times New Roman" w:cs="Times New Roman"/>
                <w:bCs/>
                <w:sz w:val="24"/>
                <w:szCs w:val="24"/>
              </w:rPr>
            </w:pPr>
            <w:r w:rsidRPr="006A54BB">
              <w:rPr>
                <w:rFonts w:ascii="Times New Roman" w:hAnsi="Times New Roman" w:cs="Times New Roman"/>
                <w:bCs/>
                <w:sz w:val="24"/>
                <w:szCs w:val="24"/>
              </w:rPr>
              <w:t>1,35</w:t>
            </w:r>
          </w:p>
        </w:tc>
      </w:tr>
    </w:tbl>
    <w:p w:rsidR="00A21A1F" w:rsidRDefault="006A54BB" w:rsidP="006A54BB">
      <w:pPr>
        <w:spacing w:before="120" w:after="0" w:line="360" w:lineRule="auto"/>
        <w:jc w:val="both"/>
        <w:rPr>
          <w:rFonts w:ascii="Times New Roman" w:hAnsi="Times New Roman" w:cs="Times New Roman"/>
          <w:sz w:val="24"/>
          <w:szCs w:val="24"/>
        </w:rPr>
      </w:pPr>
      <w:r w:rsidRPr="006A54BB">
        <w:rPr>
          <w:rFonts w:ascii="Times New Roman" w:hAnsi="Times New Roman" w:cs="Times New Roman"/>
          <w:sz w:val="24"/>
          <w:szCs w:val="24"/>
        </w:rPr>
        <w:lastRenderedPageBreak/>
        <w:t>Una vez detallados los datos por proyecto y por el estudio ingeniero geológico se pasa a realizar el proceso de revisión de los aspectos geotécnicos que inciden en el diseño de la base. Como se establece en las metodologías revisadas el análisis de la estabilidad al vuelco se emplean las combinaciones de cargas con valores característicos, mientras el deslizamiento de la base y la capacidad portante se analizan con valores de cálculo. Con estos valores de solicitaciones se realiza el chequeo geotécnico siguiéndose los criterios de las normativas seleccionadas.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A54BB" w:rsidRDefault="006A54BB" w:rsidP="00FF3346">
      <w:pPr>
        <w:spacing w:after="0" w:line="360" w:lineRule="auto"/>
        <w:jc w:val="both"/>
        <w:rPr>
          <w:rFonts w:ascii="Times New Roman" w:hAnsi="Times New Roman" w:cs="Times New Roman"/>
          <w:sz w:val="24"/>
          <w:szCs w:val="24"/>
        </w:rPr>
      </w:pPr>
      <w:r w:rsidRPr="006A54BB">
        <w:rPr>
          <w:rFonts w:ascii="Times New Roman" w:hAnsi="Times New Roman" w:cs="Times New Roman"/>
          <w:sz w:val="24"/>
          <w:szCs w:val="24"/>
        </w:rPr>
        <w:t>Las tablas 2, 3 y 4 resumen los resultados de los diferentes chequeos</w:t>
      </w:r>
      <w:r w:rsidR="008C6013">
        <w:rPr>
          <w:rFonts w:ascii="Times New Roman" w:hAnsi="Times New Roman" w:cs="Times New Roman"/>
          <w:sz w:val="24"/>
          <w:szCs w:val="24"/>
        </w:rPr>
        <w:t xml:space="preserve"> realizados</w:t>
      </w:r>
      <w:r w:rsidRPr="006A54BB">
        <w:rPr>
          <w:rFonts w:ascii="Times New Roman" w:hAnsi="Times New Roman" w:cs="Times New Roman"/>
          <w:sz w:val="24"/>
          <w:szCs w:val="24"/>
        </w:rPr>
        <w:t>.</w:t>
      </w:r>
    </w:p>
    <w:tbl>
      <w:tblPr>
        <w:tblStyle w:val="Tablaconcuadrcula"/>
        <w:tblpPr w:leftFromText="141" w:rightFromText="141" w:vertAnchor="text" w:horzAnchor="margin" w:tblpY="459"/>
        <w:tblW w:w="5000" w:type="pct"/>
        <w:tblBorders>
          <w:left w:val="none" w:sz="0" w:space="0" w:color="auto"/>
          <w:right w:val="none" w:sz="0" w:space="0" w:color="auto"/>
        </w:tblBorders>
        <w:tblLayout w:type="fixed"/>
        <w:tblLook w:val="04A0" w:firstRow="1" w:lastRow="0" w:firstColumn="1" w:lastColumn="0" w:noHBand="0" w:noVBand="1"/>
      </w:tblPr>
      <w:tblGrid>
        <w:gridCol w:w="1668"/>
        <w:gridCol w:w="992"/>
        <w:gridCol w:w="1585"/>
        <w:gridCol w:w="1540"/>
        <w:gridCol w:w="1381"/>
        <w:gridCol w:w="1554"/>
      </w:tblGrid>
      <w:tr w:rsidR="006A54BB" w:rsidRPr="006A54BB" w:rsidTr="006A54BB">
        <w:trPr>
          <w:trHeight w:val="691"/>
        </w:trPr>
        <w:tc>
          <w:tcPr>
            <w:tcW w:w="1525" w:type="pct"/>
            <w:gridSpan w:val="2"/>
            <w:tcBorders>
              <w:bottom w:val="single" w:sz="4" w:space="0" w:color="auto"/>
              <w:right w:val="nil"/>
            </w:tcBorders>
            <w:shd w:val="clear" w:color="auto" w:fill="D9D9D9" w:themeFill="background1" w:themeFillShade="D9"/>
            <w:vAlign w:val="center"/>
          </w:tcPr>
          <w:p w:rsidR="006A54BB" w:rsidRPr="006A54BB" w:rsidRDefault="006A54BB" w:rsidP="006A54BB">
            <w:pPr>
              <w:jc w:val="center"/>
              <w:rPr>
                <w:rFonts w:ascii="Times New Roman" w:hAnsi="Times New Roman" w:cs="Times New Roman"/>
                <w:b/>
                <w:sz w:val="24"/>
                <w:szCs w:val="24"/>
              </w:rPr>
            </w:pPr>
            <w:r w:rsidRPr="006A54BB">
              <w:rPr>
                <w:rFonts w:ascii="Times New Roman" w:hAnsi="Times New Roman" w:cs="Times New Roman"/>
                <w:b/>
                <w:sz w:val="24"/>
                <w:szCs w:val="24"/>
              </w:rPr>
              <w:t>Condición</w:t>
            </w:r>
          </w:p>
        </w:tc>
        <w:tc>
          <w:tcPr>
            <w:tcW w:w="909" w:type="pct"/>
            <w:tcBorders>
              <w:left w:val="nil"/>
              <w:bottom w:val="single" w:sz="4" w:space="0" w:color="auto"/>
              <w:right w:val="nil"/>
            </w:tcBorders>
            <w:shd w:val="clear" w:color="auto" w:fill="D9D9D9" w:themeFill="background1" w:themeFillShade="D9"/>
            <w:vAlign w:val="center"/>
          </w:tcPr>
          <w:p w:rsidR="006A54BB" w:rsidRPr="006A54BB" w:rsidRDefault="006A54BB" w:rsidP="006A54BB">
            <w:pPr>
              <w:jc w:val="center"/>
              <w:rPr>
                <w:rFonts w:ascii="Times New Roman" w:hAnsi="Times New Roman" w:cs="Times New Roman"/>
                <w:b/>
                <w:i/>
                <w:sz w:val="24"/>
                <w:szCs w:val="24"/>
              </w:rPr>
            </w:pPr>
            <w:r w:rsidRPr="006A54BB">
              <w:rPr>
                <w:rFonts w:ascii="Times New Roman" w:hAnsi="Times New Roman" w:cs="Times New Roman"/>
                <w:b/>
                <w:i/>
                <w:sz w:val="24"/>
                <w:szCs w:val="24"/>
              </w:rPr>
              <w:t>Eurocode 7</w:t>
            </w:r>
          </w:p>
          <w:p w:rsidR="006A54BB" w:rsidRPr="006A54BB" w:rsidRDefault="006A54BB" w:rsidP="006A54BB">
            <w:pPr>
              <w:jc w:val="center"/>
              <w:rPr>
                <w:rFonts w:ascii="Times New Roman" w:hAnsi="Times New Roman" w:cs="Times New Roman"/>
                <w:b/>
                <w:sz w:val="24"/>
                <w:szCs w:val="24"/>
              </w:rPr>
            </w:pPr>
            <m:oMathPara>
              <m:oMath>
                <m:r>
                  <m:rPr>
                    <m:sty m:val="bi"/>
                  </m:rPr>
                  <w:rPr>
                    <w:rFonts w:ascii="Cambria Math" w:eastAsiaTheme="minorEastAsia" w:hAnsi="Cambria Math" w:cs="Times New Roman"/>
                    <w:sz w:val="24"/>
                    <w:szCs w:val="24"/>
                    <w:lang w:val="en-US"/>
                  </w:rPr>
                  <m:t>e</m:t>
                </m:r>
                <m:r>
                  <m:rPr>
                    <m:sty m:val="bi"/>
                  </m:rPr>
                  <w:rPr>
                    <w:rFonts w:ascii="Cambria Math" w:eastAsiaTheme="minorEastAsia" w:hAnsi="Cambria Math" w:cs="Times New Roman"/>
                    <w:sz w:val="24"/>
                    <w:szCs w:val="24"/>
                  </w:rPr>
                  <m:t>≤0,6</m:t>
                </m:r>
                <m:sSub>
                  <m:sSubPr>
                    <m:ctrlPr>
                      <w:rPr>
                        <w:rFonts w:ascii="Cambria Math" w:eastAsiaTheme="minorEastAsia" w:hAnsi="Cambria Math" w:cs="Times New Roman"/>
                        <w:b/>
                        <w:i/>
                        <w:sz w:val="24"/>
                        <w:szCs w:val="24"/>
                      </w:rPr>
                    </m:ctrlPr>
                  </m:sSubPr>
                  <m:e>
                    <m:r>
                      <m:rPr>
                        <m:sty m:val="bi"/>
                      </m:rPr>
                      <w:rPr>
                        <w:rFonts w:ascii="Cambria Math" w:eastAsiaTheme="minorEastAsia" w:hAnsi="Cambria Math" w:cs="Times New Roman"/>
                        <w:sz w:val="24"/>
                        <w:szCs w:val="24"/>
                      </w:rPr>
                      <m:t>R</m:t>
                    </m:r>
                  </m:e>
                  <m:sub>
                    <m:r>
                      <m:rPr>
                        <m:sty m:val="bi"/>
                      </m:rPr>
                      <w:rPr>
                        <w:rFonts w:ascii="Cambria Math" w:eastAsiaTheme="minorEastAsia" w:hAnsi="Cambria Math" w:cs="Times New Roman"/>
                        <w:sz w:val="24"/>
                        <w:szCs w:val="24"/>
                      </w:rPr>
                      <m:t>0</m:t>
                    </m:r>
                  </m:sub>
                </m:sSub>
              </m:oMath>
            </m:oMathPara>
          </w:p>
        </w:tc>
        <w:tc>
          <w:tcPr>
            <w:tcW w:w="883" w:type="pct"/>
            <w:tcBorders>
              <w:left w:val="nil"/>
              <w:bottom w:val="single" w:sz="4" w:space="0" w:color="auto"/>
              <w:right w:val="nil"/>
            </w:tcBorders>
            <w:shd w:val="clear" w:color="auto" w:fill="D9D9D9" w:themeFill="background1" w:themeFillShade="D9"/>
            <w:vAlign w:val="center"/>
          </w:tcPr>
          <w:p w:rsidR="006A54BB" w:rsidRPr="006A54BB" w:rsidRDefault="006A54BB" w:rsidP="006A54BB">
            <w:pPr>
              <w:jc w:val="center"/>
              <w:rPr>
                <w:rFonts w:ascii="Times New Roman" w:hAnsi="Times New Roman" w:cs="Times New Roman"/>
                <w:b/>
                <w:sz w:val="24"/>
                <w:szCs w:val="24"/>
              </w:rPr>
            </w:pPr>
            <w:r w:rsidRPr="006A54BB">
              <w:rPr>
                <w:rFonts w:ascii="Times New Roman" w:hAnsi="Times New Roman" w:cs="Times New Roman"/>
                <w:b/>
                <w:sz w:val="24"/>
                <w:szCs w:val="24"/>
              </w:rPr>
              <w:t>NBE:AE-88</w:t>
            </w:r>
          </w:p>
          <w:p w:rsidR="006A54BB" w:rsidRPr="006A54BB" w:rsidRDefault="006A54BB" w:rsidP="006A54BB">
            <w:pPr>
              <w:jc w:val="center"/>
              <w:rPr>
                <w:rFonts w:ascii="Times New Roman" w:hAnsi="Times New Roman" w:cs="Times New Roman"/>
                <w:b/>
                <w:sz w:val="24"/>
                <w:szCs w:val="24"/>
              </w:rPr>
            </w:pPr>
            <m:oMathPara>
              <m:oMath>
                <m:r>
                  <m:rPr>
                    <m:sty m:val="bi"/>
                  </m:rPr>
                  <w:rPr>
                    <w:rFonts w:ascii="Cambria Math" w:hAnsi="Cambria Math" w:cs="Times New Roman"/>
                    <w:sz w:val="24"/>
                    <w:szCs w:val="24"/>
                  </w:rPr>
                  <m:t>FS≥1,25</m:t>
                </m:r>
              </m:oMath>
            </m:oMathPara>
          </w:p>
        </w:tc>
        <w:tc>
          <w:tcPr>
            <w:tcW w:w="792" w:type="pct"/>
            <w:tcBorders>
              <w:left w:val="nil"/>
              <w:bottom w:val="single" w:sz="4" w:space="0" w:color="auto"/>
              <w:right w:val="nil"/>
            </w:tcBorders>
            <w:shd w:val="clear" w:color="auto" w:fill="D9D9D9" w:themeFill="background1" w:themeFillShade="D9"/>
            <w:vAlign w:val="center"/>
          </w:tcPr>
          <w:p w:rsidR="006A54BB" w:rsidRPr="006A54BB" w:rsidRDefault="006A54BB" w:rsidP="006A54BB">
            <w:pPr>
              <w:jc w:val="center"/>
              <w:rPr>
                <w:rFonts w:ascii="Times New Roman" w:hAnsi="Times New Roman" w:cs="Times New Roman"/>
                <w:b/>
                <w:i/>
                <w:sz w:val="24"/>
                <w:szCs w:val="24"/>
              </w:rPr>
            </w:pPr>
            <w:r w:rsidRPr="006A54BB">
              <w:rPr>
                <w:rFonts w:ascii="Times New Roman" w:hAnsi="Times New Roman" w:cs="Times New Roman"/>
                <w:b/>
                <w:i/>
                <w:sz w:val="24"/>
                <w:szCs w:val="24"/>
              </w:rPr>
              <w:t>DNV</w:t>
            </w:r>
          </w:p>
          <w:p w:rsidR="006A54BB" w:rsidRPr="006A54BB" w:rsidRDefault="006A54BB" w:rsidP="006A54BB">
            <w:pPr>
              <w:jc w:val="center"/>
              <w:rPr>
                <w:rFonts w:ascii="Times New Roman" w:hAnsi="Times New Roman" w:cs="Times New Roman"/>
                <w:b/>
                <w:sz w:val="24"/>
                <w:szCs w:val="24"/>
              </w:rPr>
            </w:pPr>
            <m:oMathPara>
              <m:oMath>
                <m:r>
                  <m:rPr>
                    <m:sty m:val="bi"/>
                  </m:rPr>
                  <w:rPr>
                    <w:rFonts w:ascii="Cambria Math" w:eastAsiaTheme="minorEastAsia" w:hAnsi="Cambria Math" w:cs="Times New Roman"/>
                    <w:sz w:val="24"/>
                    <w:szCs w:val="24"/>
                    <w:lang w:val="en-US"/>
                  </w:rPr>
                  <m:t>e</m:t>
                </m:r>
                <m:r>
                  <m:rPr>
                    <m:sty m:val="bi"/>
                  </m:rPr>
                  <w:rPr>
                    <w:rFonts w:ascii="Cambria Math" w:eastAsiaTheme="minorEastAsia" w:hAnsi="Cambria Math" w:cs="Times New Roman"/>
                    <w:sz w:val="24"/>
                    <w:szCs w:val="24"/>
                  </w:rPr>
                  <m:t>≤0,3</m:t>
                </m:r>
                <m:r>
                  <m:rPr>
                    <m:sty m:val="bi"/>
                  </m:rPr>
                  <w:rPr>
                    <w:rFonts w:ascii="Cambria Math" w:eastAsiaTheme="minorEastAsia" w:hAnsi="Cambria Math" w:cs="Times New Roman"/>
                    <w:sz w:val="24"/>
                    <w:szCs w:val="24"/>
                    <w:lang w:val="en-US"/>
                  </w:rPr>
                  <m:t>b</m:t>
                </m:r>
              </m:oMath>
            </m:oMathPara>
          </w:p>
        </w:tc>
        <w:tc>
          <w:tcPr>
            <w:tcW w:w="891" w:type="pct"/>
            <w:tcBorders>
              <w:left w:val="nil"/>
              <w:bottom w:val="single" w:sz="4" w:space="0" w:color="auto"/>
            </w:tcBorders>
            <w:shd w:val="clear" w:color="auto" w:fill="D9D9D9" w:themeFill="background1" w:themeFillShade="D9"/>
            <w:vAlign w:val="center"/>
          </w:tcPr>
          <w:p w:rsidR="006A54BB" w:rsidRPr="006A54BB" w:rsidRDefault="006A54BB" w:rsidP="006A54BB">
            <w:pPr>
              <w:jc w:val="center"/>
              <w:rPr>
                <w:rFonts w:ascii="Times New Roman" w:hAnsi="Times New Roman" w:cs="Times New Roman"/>
                <w:b/>
                <w:bCs/>
                <w:sz w:val="24"/>
                <w:szCs w:val="24"/>
              </w:rPr>
            </w:pPr>
            <w:r w:rsidRPr="006A54BB">
              <w:rPr>
                <w:rFonts w:ascii="Times New Roman" w:hAnsi="Times New Roman" w:cs="Times New Roman"/>
                <w:b/>
                <w:sz w:val="24"/>
                <w:szCs w:val="24"/>
              </w:rPr>
              <w:t xml:space="preserve">NC </w:t>
            </w:r>
            <w:r w:rsidRPr="006A54BB">
              <w:rPr>
                <w:rFonts w:ascii="Times New Roman" w:hAnsi="Times New Roman" w:cs="Times New Roman"/>
                <w:b/>
                <w:bCs/>
                <w:sz w:val="24"/>
                <w:szCs w:val="24"/>
              </w:rPr>
              <w:t>1321:2019</w:t>
            </w:r>
          </w:p>
          <w:p w:rsidR="006A54BB" w:rsidRPr="006A54BB" w:rsidRDefault="006A54BB" w:rsidP="006A54BB">
            <w:pPr>
              <w:jc w:val="center"/>
              <w:rPr>
                <w:rFonts w:ascii="Times New Roman" w:hAnsi="Times New Roman" w:cs="Times New Roman"/>
                <w:b/>
                <w:bCs/>
                <w:sz w:val="24"/>
                <w:szCs w:val="24"/>
              </w:rPr>
            </w:pPr>
            <m:oMathPara>
              <m:oMath>
                <m:r>
                  <m:rPr>
                    <m:sty m:val="bi"/>
                  </m:rPr>
                  <w:rPr>
                    <w:rFonts w:ascii="Cambria Math" w:eastAsiaTheme="minorEastAsia" w:hAnsi="Cambria Math" w:cs="Times New Roman"/>
                    <w:sz w:val="24"/>
                    <w:szCs w:val="24"/>
                  </w:rPr>
                  <m:t>e≤b/3</m:t>
                </m:r>
              </m:oMath>
            </m:oMathPara>
          </w:p>
          <w:p w:rsidR="006A54BB" w:rsidRPr="006A54BB" w:rsidRDefault="006A54BB" w:rsidP="006A54BB">
            <w:pPr>
              <w:jc w:val="center"/>
              <w:rPr>
                <w:rFonts w:ascii="Times New Roman" w:hAnsi="Times New Roman" w:cs="Times New Roman"/>
                <w:b/>
                <w:sz w:val="24"/>
                <w:szCs w:val="24"/>
              </w:rPr>
            </w:pPr>
            <m:oMathPara>
              <m:oMath>
                <m:r>
                  <m:rPr>
                    <m:sty m:val="bi"/>
                  </m:rPr>
                  <w:rPr>
                    <w:rFonts w:ascii="Cambria Math" w:hAnsi="Cambria Math" w:cs="Times New Roman"/>
                    <w:sz w:val="24"/>
                    <w:szCs w:val="24"/>
                  </w:rPr>
                  <m:t>FS≥1,5</m:t>
                </m:r>
              </m:oMath>
            </m:oMathPara>
          </w:p>
        </w:tc>
      </w:tr>
      <w:tr w:rsidR="006A54BB" w:rsidRPr="006A54BB" w:rsidTr="006A54BB">
        <w:trPr>
          <w:trHeight w:val="235"/>
        </w:trPr>
        <w:tc>
          <w:tcPr>
            <w:tcW w:w="956" w:type="pct"/>
            <w:vMerge w:val="restart"/>
            <w:tcBorders>
              <w:top w:val="single" w:sz="4" w:space="0" w:color="auto"/>
              <w:left w:val="nil"/>
              <w:bottom w:val="nil"/>
              <w:right w:val="nil"/>
            </w:tcBorders>
            <w:vAlign w:val="center"/>
          </w:tcPr>
          <w:p w:rsidR="006A54BB" w:rsidRPr="006A54BB" w:rsidRDefault="006A54BB" w:rsidP="006A54BB">
            <w:pPr>
              <w:jc w:val="center"/>
              <w:rPr>
                <w:rFonts w:ascii="Times New Roman" w:hAnsi="Times New Roman" w:cs="Times New Roman"/>
                <w:sz w:val="24"/>
                <w:szCs w:val="24"/>
              </w:rPr>
            </w:pPr>
            <w:r w:rsidRPr="006A54BB">
              <w:rPr>
                <w:rFonts w:ascii="Times New Roman" w:hAnsi="Times New Roman" w:cs="Times New Roman"/>
                <w:sz w:val="24"/>
                <w:szCs w:val="24"/>
              </w:rPr>
              <w:t>Excentricidad</w:t>
            </w:r>
          </w:p>
        </w:tc>
        <w:tc>
          <w:tcPr>
            <w:tcW w:w="569" w:type="pct"/>
            <w:tcBorders>
              <w:top w:val="single" w:sz="4" w:space="0" w:color="auto"/>
              <w:left w:val="nil"/>
              <w:bottom w:val="nil"/>
              <w:right w:val="nil"/>
            </w:tcBorders>
            <w:vAlign w:val="center"/>
          </w:tcPr>
          <w:p w:rsidR="006A54BB" w:rsidRPr="006A54BB" w:rsidRDefault="006A54BB" w:rsidP="006A54BB">
            <w:pPr>
              <w:jc w:val="center"/>
              <w:rPr>
                <w:rFonts w:ascii="Times New Roman" w:hAnsi="Times New Roman" w:cs="Times New Roman"/>
                <w:sz w:val="24"/>
                <w:szCs w:val="24"/>
              </w:rPr>
            </w:pPr>
            <w:r w:rsidRPr="006A54BB">
              <w:rPr>
                <w:rFonts w:ascii="Times New Roman" w:hAnsi="Times New Roman" w:cs="Times New Roman"/>
                <w:sz w:val="24"/>
                <w:szCs w:val="24"/>
              </w:rPr>
              <w:t>normal</w:t>
            </w:r>
          </w:p>
        </w:tc>
        <w:tc>
          <w:tcPr>
            <w:tcW w:w="909" w:type="pct"/>
            <w:tcBorders>
              <w:top w:val="single" w:sz="4" w:space="0" w:color="auto"/>
              <w:left w:val="nil"/>
              <w:bottom w:val="nil"/>
              <w:right w:val="nil"/>
            </w:tcBorders>
            <w:vAlign w:val="center"/>
          </w:tcPr>
          <w:p w:rsidR="006A54BB" w:rsidRPr="006A54BB" w:rsidRDefault="006A54BB" w:rsidP="006A54BB">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1,15 &lt;4,8</m:t>
                </m:r>
              </m:oMath>
            </m:oMathPara>
          </w:p>
        </w:tc>
        <w:tc>
          <w:tcPr>
            <w:tcW w:w="883" w:type="pct"/>
            <w:vMerge w:val="restart"/>
            <w:tcBorders>
              <w:top w:val="single" w:sz="4" w:space="0" w:color="auto"/>
              <w:left w:val="nil"/>
              <w:bottom w:val="nil"/>
              <w:right w:val="nil"/>
            </w:tcBorders>
            <w:vAlign w:val="center"/>
          </w:tcPr>
          <w:p w:rsidR="006A54BB" w:rsidRPr="006A54BB" w:rsidRDefault="006A54BB" w:rsidP="006A54BB">
            <w:pPr>
              <w:jc w:val="center"/>
              <w:rPr>
                <w:rFonts w:ascii="Times New Roman" w:hAnsi="Times New Roman" w:cs="Times New Roman"/>
                <w:sz w:val="24"/>
                <w:szCs w:val="24"/>
              </w:rPr>
            </w:pPr>
            <w:r w:rsidRPr="006A54BB">
              <w:rPr>
                <w:rFonts w:ascii="Times New Roman" w:hAnsi="Times New Roman" w:cs="Times New Roman"/>
                <w:sz w:val="24"/>
                <w:szCs w:val="24"/>
              </w:rPr>
              <w:t>-</w:t>
            </w:r>
          </w:p>
        </w:tc>
        <w:tc>
          <w:tcPr>
            <w:tcW w:w="792" w:type="pct"/>
            <w:tcBorders>
              <w:top w:val="single" w:sz="4" w:space="0" w:color="auto"/>
              <w:left w:val="nil"/>
              <w:bottom w:val="nil"/>
              <w:right w:val="nil"/>
            </w:tcBorders>
            <w:vAlign w:val="center"/>
          </w:tcPr>
          <w:p w:rsidR="006A54BB" w:rsidRPr="006A54BB" w:rsidRDefault="006A54BB" w:rsidP="006A54BB">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1,15 &lt;4,8</m:t>
                </m:r>
              </m:oMath>
            </m:oMathPara>
          </w:p>
        </w:tc>
        <w:tc>
          <w:tcPr>
            <w:tcW w:w="891" w:type="pct"/>
            <w:tcBorders>
              <w:top w:val="single" w:sz="4" w:space="0" w:color="auto"/>
              <w:left w:val="nil"/>
              <w:bottom w:val="nil"/>
            </w:tcBorders>
            <w:vAlign w:val="center"/>
          </w:tcPr>
          <w:p w:rsidR="006A54BB" w:rsidRPr="006A54BB" w:rsidRDefault="006A54BB" w:rsidP="006A54BB">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1,15  &lt;5,33</m:t>
                </m:r>
              </m:oMath>
            </m:oMathPara>
          </w:p>
        </w:tc>
      </w:tr>
      <w:tr w:rsidR="006A54BB" w:rsidRPr="006A54BB" w:rsidTr="006A54BB">
        <w:trPr>
          <w:trHeight w:val="235"/>
        </w:trPr>
        <w:tc>
          <w:tcPr>
            <w:tcW w:w="956" w:type="pct"/>
            <w:vMerge/>
            <w:tcBorders>
              <w:top w:val="nil"/>
              <w:left w:val="nil"/>
              <w:bottom w:val="nil"/>
              <w:right w:val="nil"/>
            </w:tcBorders>
            <w:vAlign w:val="center"/>
          </w:tcPr>
          <w:p w:rsidR="006A54BB" w:rsidRPr="006A54BB" w:rsidRDefault="006A54BB" w:rsidP="006A54BB">
            <w:pPr>
              <w:jc w:val="center"/>
              <w:rPr>
                <w:rFonts w:ascii="Times New Roman" w:hAnsi="Times New Roman" w:cs="Times New Roman"/>
                <w:sz w:val="24"/>
                <w:szCs w:val="24"/>
              </w:rPr>
            </w:pPr>
          </w:p>
        </w:tc>
        <w:tc>
          <w:tcPr>
            <w:tcW w:w="569" w:type="pct"/>
            <w:tcBorders>
              <w:top w:val="nil"/>
              <w:left w:val="nil"/>
              <w:bottom w:val="nil"/>
              <w:right w:val="nil"/>
            </w:tcBorders>
            <w:vAlign w:val="center"/>
          </w:tcPr>
          <w:p w:rsidR="006A54BB" w:rsidRPr="006A54BB" w:rsidRDefault="006A54BB" w:rsidP="006A54BB">
            <w:pPr>
              <w:jc w:val="center"/>
              <w:rPr>
                <w:rFonts w:ascii="Times New Roman" w:hAnsi="Times New Roman" w:cs="Times New Roman"/>
                <w:sz w:val="24"/>
                <w:szCs w:val="24"/>
              </w:rPr>
            </w:pPr>
            <w:r w:rsidRPr="006A54BB">
              <w:rPr>
                <w:rFonts w:ascii="Times New Roman" w:hAnsi="Times New Roman" w:cs="Times New Roman"/>
                <w:sz w:val="24"/>
                <w:szCs w:val="24"/>
              </w:rPr>
              <w:t>extrema</w:t>
            </w:r>
          </w:p>
        </w:tc>
        <w:tc>
          <w:tcPr>
            <w:tcW w:w="909" w:type="pct"/>
            <w:tcBorders>
              <w:top w:val="nil"/>
              <w:left w:val="nil"/>
              <w:bottom w:val="nil"/>
              <w:right w:val="nil"/>
            </w:tcBorders>
            <w:vAlign w:val="center"/>
          </w:tcPr>
          <w:p w:rsidR="006A54BB" w:rsidRPr="006A54BB" w:rsidRDefault="006A54BB" w:rsidP="006A54BB">
            <w:pPr>
              <w:jc w:val="center"/>
              <w:rPr>
                <w:rFonts w:ascii="Times New Roman" w:eastAsia="Calibri" w:hAnsi="Times New Roman" w:cs="Times New Roman"/>
                <w:sz w:val="24"/>
                <w:szCs w:val="24"/>
              </w:rPr>
            </w:pPr>
            <m:oMathPara>
              <m:oMath>
                <m:r>
                  <w:rPr>
                    <w:rFonts w:ascii="Cambria Math" w:eastAsiaTheme="minorEastAsia" w:hAnsi="Cambria Math" w:cs="Times New Roman"/>
                    <w:sz w:val="24"/>
                    <w:szCs w:val="24"/>
                  </w:rPr>
                  <m:t>1,6 &lt;4,8</m:t>
                </m:r>
              </m:oMath>
            </m:oMathPara>
          </w:p>
        </w:tc>
        <w:tc>
          <w:tcPr>
            <w:tcW w:w="883" w:type="pct"/>
            <w:vMerge/>
            <w:tcBorders>
              <w:top w:val="nil"/>
              <w:left w:val="nil"/>
              <w:bottom w:val="nil"/>
              <w:right w:val="nil"/>
            </w:tcBorders>
            <w:vAlign w:val="center"/>
          </w:tcPr>
          <w:p w:rsidR="006A54BB" w:rsidRPr="006A54BB" w:rsidRDefault="006A54BB" w:rsidP="006A54BB">
            <w:pPr>
              <w:jc w:val="center"/>
              <w:rPr>
                <w:rFonts w:ascii="Times New Roman" w:hAnsi="Times New Roman" w:cs="Times New Roman"/>
                <w:sz w:val="24"/>
                <w:szCs w:val="24"/>
              </w:rPr>
            </w:pPr>
          </w:p>
        </w:tc>
        <w:tc>
          <w:tcPr>
            <w:tcW w:w="792" w:type="pct"/>
            <w:tcBorders>
              <w:top w:val="nil"/>
              <w:left w:val="nil"/>
              <w:bottom w:val="nil"/>
              <w:right w:val="nil"/>
            </w:tcBorders>
            <w:vAlign w:val="center"/>
          </w:tcPr>
          <w:p w:rsidR="006A54BB" w:rsidRPr="006A54BB" w:rsidRDefault="006A54BB" w:rsidP="006A54BB">
            <w:pPr>
              <w:jc w:val="center"/>
              <w:rPr>
                <w:rFonts w:ascii="Times New Roman" w:eastAsia="Calibri" w:hAnsi="Times New Roman" w:cs="Times New Roman"/>
                <w:sz w:val="24"/>
                <w:szCs w:val="24"/>
              </w:rPr>
            </w:pPr>
            <m:oMathPara>
              <m:oMath>
                <m:r>
                  <w:rPr>
                    <w:rFonts w:ascii="Cambria Math" w:eastAsiaTheme="minorEastAsia" w:hAnsi="Cambria Math" w:cs="Times New Roman"/>
                    <w:sz w:val="24"/>
                    <w:szCs w:val="24"/>
                  </w:rPr>
                  <m:t>1,6 &lt;4,8</m:t>
                </m:r>
              </m:oMath>
            </m:oMathPara>
          </w:p>
        </w:tc>
        <w:tc>
          <w:tcPr>
            <w:tcW w:w="891" w:type="pct"/>
            <w:tcBorders>
              <w:top w:val="nil"/>
              <w:left w:val="nil"/>
              <w:bottom w:val="nil"/>
            </w:tcBorders>
            <w:vAlign w:val="center"/>
          </w:tcPr>
          <w:p w:rsidR="006A54BB" w:rsidRPr="006A54BB" w:rsidRDefault="006A54BB" w:rsidP="006A54BB">
            <w:pPr>
              <w:jc w:val="center"/>
              <w:rPr>
                <w:rFonts w:ascii="Times New Roman" w:eastAsia="Calibri" w:hAnsi="Times New Roman" w:cs="Times New Roman"/>
                <w:sz w:val="24"/>
                <w:szCs w:val="24"/>
              </w:rPr>
            </w:pPr>
            <m:oMathPara>
              <m:oMath>
                <m:r>
                  <w:rPr>
                    <w:rFonts w:ascii="Cambria Math" w:eastAsiaTheme="minorEastAsia" w:hAnsi="Cambria Math" w:cs="Times New Roman"/>
                    <w:sz w:val="24"/>
                    <w:szCs w:val="24"/>
                  </w:rPr>
                  <m:t>1,6 &lt;5,33</m:t>
                </m:r>
              </m:oMath>
            </m:oMathPara>
          </w:p>
        </w:tc>
      </w:tr>
      <w:tr w:rsidR="006A54BB" w:rsidRPr="006A54BB" w:rsidTr="006A54BB">
        <w:trPr>
          <w:trHeight w:val="235"/>
        </w:trPr>
        <w:tc>
          <w:tcPr>
            <w:tcW w:w="956" w:type="pct"/>
            <w:vMerge w:val="restart"/>
            <w:tcBorders>
              <w:top w:val="nil"/>
              <w:left w:val="nil"/>
              <w:bottom w:val="single" w:sz="4" w:space="0" w:color="auto"/>
              <w:right w:val="nil"/>
            </w:tcBorders>
            <w:vAlign w:val="center"/>
          </w:tcPr>
          <w:p w:rsidR="006A54BB" w:rsidRPr="006A54BB" w:rsidRDefault="006A54BB" w:rsidP="006A54BB">
            <w:pPr>
              <w:jc w:val="center"/>
              <w:rPr>
                <w:rFonts w:ascii="Times New Roman" w:hAnsi="Times New Roman" w:cs="Times New Roman"/>
                <w:sz w:val="24"/>
                <w:szCs w:val="24"/>
              </w:rPr>
            </w:pPr>
            <w:r w:rsidRPr="006A54BB">
              <w:rPr>
                <w:rFonts w:ascii="Times New Roman" w:hAnsi="Times New Roman" w:cs="Times New Roman"/>
                <w:sz w:val="24"/>
                <w:szCs w:val="24"/>
              </w:rPr>
              <w:t>Factor de seguridad</w:t>
            </w:r>
          </w:p>
        </w:tc>
        <w:tc>
          <w:tcPr>
            <w:tcW w:w="569" w:type="pct"/>
            <w:tcBorders>
              <w:top w:val="nil"/>
              <w:left w:val="nil"/>
              <w:bottom w:val="nil"/>
              <w:right w:val="nil"/>
            </w:tcBorders>
            <w:vAlign w:val="center"/>
          </w:tcPr>
          <w:p w:rsidR="006A54BB" w:rsidRPr="006A54BB" w:rsidRDefault="006A54BB" w:rsidP="006A54BB">
            <w:pPr>
              <w:jc w:val="center"/>
              <w:rPr>
                <w:rFonts w:ascii="Times New Roman" w:hAnsi="Times New Roman" w:cs="Times New Roman"/>
                <w:sz w:val="24"/>
                <w:szCs w:val="24"/>
              </w:rPr>
            </w:pPr>
            <w:r w:rsidRPr="006A54BB">
              <w:rPr>
                <w:rFonts w:ascii="Times New Roman" w:hAnsi="Times New Roman" w:cs="Times New Roman"/>
                <w:sz w:val="24"/>
                <w:szCs w:val="24"/>
              </w:rPr>
              <w:t>normal</w:t>
            </w:r>
          </w:p>
        </w:tc>
        <w:tc>
          <w:tcPr>
            <w:tcW w:w="909" w:type="pct"/>
            <w:vMerge w:val="restart"/>
            <w:tcBorders>
              <w:top w:val="nil"/>
              <w:left w:val="nil"/>
              <w:bottom w:val="nil"/>
              <w:right w:val="nil"/>
            </w:tcBorders>
            <w:vAlign w:val="center"/>
          </w:tcPr>
          <w:p w:rsidR="006A54BB" w:rsidRPr="006A54BB" w:rsidRDefault="006A54BB" w:rsidP="006A54BB">
            <w:pPr>
              <w:jc w:val="center"/>
              <w:rPr>
                <w:rFonts w:ascii="Times New Roman" w:hAnsi="Times New Roman" w:cs="Times New Roman"/>
                <w:sz w:val="24"/>
                <w:szCs w:val="24"/>
              </w:rPr>
            </w:pPr>
            <w:r w:rsidRPr="006A54BB">
              <w:rPr>
                <w:rFonts w:ascii="Times New Roman" w:hAnsi="Times New Roman" w:cs="Times New Roman"/>
                <w:sz w:val="24"/>
                <w:szCs w:val="24"/>
              </w:rPr>
              <w:t>-</w:t>
            </w:r>
          </w:p>
        </w:tc>
        <w:tc>
          <w:tcPr>
            <w:tcW w:w="883" w:type="pct"/>
            <w:tcBorders>
              <w:top w:val="nil"/>
              <w:left w:val="nil"/>
              <w:bottom w:val="nil"/>
              <w:right w:val="nil"/>
            </w:tcBorders>
            <w:vAlign w:val="center"/>
          </w:tcPr>
          <w:p w:rsidR="006A54BB" w:rsidRPr="006A54BB" w:rsidRDefault="006A54BB" w:rsidP="006A54BB">
            <w:pPr>
              <w:jc w:val="center"/>
              <w:rPr>
                <w:rFonts w:ascii="Times New Roman" w:eastAsiaTheme="minorEastAsia" w:hAnsi="Times New Roman" w:cs="Times New Roman"/>
                <w:sz w:val="24"/>
                <w:szCs w:val="24"/>
              </w:rPr>
            </w:pPr>
            <m:oMathPara>
              <m:oMath>
                <m:r>
                  <w:rPr>
                    <w:rFonts w:ascii="Cambria Math" w:hAnsi="Cambria Math" w:cs="Times New Roman"/>
                    <w:sz w:val="24"/>
                    <w:szCs w:val="24"/>
                  </w:rPr>
                  <m:t>4,03&gt;1,25</m:t>
                </m:r>
              </m:oMath>
            </m:oMathPara>
          </w:p>
        </w:tc>
        <w:tc>
          <w:tcPr>
            <w:tcW w:w="792" w:type="pct"/>
            <w:vMerge w:val="restart"/>
            <w:tcBorders>
              <w:top w:val="nil"/>
              <w:left w:val="nil"/>
              <w:bottom w:val="single" w:sz="4" w:space="0" w:color="auto"/>
              <w:right w:val="nil"/>
            </w:tcBorders>
            <w:vAlign w:val="center"/>
          </w:tcPr>
          <w:p w:rsidR="006A54BB" w:rsidRPr="006A54BB" w:rsidRDefault="006A54BB" w:rsidP="006A54BB">
            <w:pPr>
              <w:jc w:val="center"/>
              <w:rPr>
                <w:rFonts w:ascii="Times New Roman" w:hAnsi="Times New Roman" w:cs="Times New Roman"/>
                <w:sz w:val="24"/>
                <w:szCs w:val="24"/>
              </w:rPr>
            </w:pPr>
            <w:r w:rsidRPr="006A54BB">
              <w:rPr>
                <w:rFonts w:ascii="Times New Roman" w:hAnsi="Times New Roman" w:cs="Times New Roman"/>
                <w:sz w:val="24"/>
                <w:szCs w:val="24"/>
              </w:rPr>
              <w:t>-</w:t>
            </w:r>
          </w:p>
        </w:tc>
        <w:tc>
          <w:tcPr>
            <w:tcW w:w="891" w:type="pct"/>
            <w:tcBorders>
              <w:top w:val="nil"/>
              <w:left w:val="nil"/>
              <w:bottom w:val="nil"/>
            </w:tcBorders>
            <w:vAlign w:val="center"/>
          </w:tcPr>
          <w:p w:rsidR="006A54BB" w:rsidRPr="006A54BB" w:rsidRDefault="006A54BB" w:rsidP="006A54BB">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6,96&gt;1,5</m:t>
                </m:r>
              </m:oMath>
            </m:oMathPara>
          </w:p>
        </w:tc>
      </w:tr>
      <w:tr w:rsidR="006A54BB" w:rsidRPr="006A54BB" w:rsidTr="006A54BB">
        <w:trPr>
          <w:trHeight w:val="235"/>
        </w:trPr>
        <w:tc>
          <w:tcPr>
            <w:tcW w:w="956" w:type="pct"/>
            <w:vMerge/>
            <w:tcBorders>
              <w:top w:val="nil"/>
              <w:left w:val="nil"/>
              <w:right w:val="nil"/>
            </w:tcBorders>
            <w:vAlign w:val="center"/>
          </w:tcPr>
          <w:p w:rsidR="006A54BB" w:rsidRPr="006A54BB" w:rsidRDefault="006A54BB" w:rsidP="006A54BB">
            <w:pPr>
              <w:jc w:val="center"/>
              <w:rPr>
                <w:rFonts w:ascii="Times New Roman" w:hAnsi="Times New Roman" w:cs="Times New Roman"/>
                <w:sz w:val="24"/>
                <w:szCs w:val="24"/>
              </w:rPr>
            </w:pPr>
          </w:p>
        </w:tc>
        <w:tc>
          <w:tcPr>
            <w:tcW w:w="569" w:type="pct"/>
            <w:tcBorders>
              <w:top w:val="nil"/>
              <w:left w:val="nil"/>
              <w:right w:val="nil"/>
            </w:tcBorders>
            <w:vAlign w:val="center"/>
          </w:tcPr>
          <w:p w:rsidR="006A54BB" w:rsidRPr="006A54BB" w:rsidRDefault="006A54BB" w:rsidP="006A54BB">
            <w:pPr>
              <w:jc w:val="center"/>
              <w:rPr>
                <w:rFonts w:ascii="Times New Roman" w:hAnsi="Times New Roman" w:cs="Times New Roman"/>
                <w:sz w:val="24"/>
                <w:szCs w:val="24"/>
              </w:rPr>
            </w:pPr>
            <w:r w:rsidRPr="006A54BB">
              <w:rPr>
                <w:rFonts w:ascii="Times New Roman" w:hAnsi="Times New Roman" w:cs="Times New Roman"/>
                <w:sz w:val="24"/>
                <w:szCs w:val="24"/>
              </w:rPr>
              <w:t>extrema</w:t>
            </w:r>
          </w:p>
        </w:tc>
        <w:tc>
          <w:tcPr>
            <w:tcW w:w="909" w:type="pct"/>
            <w:vMerge/>
            <w:tcBorders>
              <w:top w:val="nil"/>
              <w:left w:val="nil"/>
              <w:right w:val="nil"/>
            </w:tcBorders>
            <w:vAlign w:val="center"/>
          </w:tcPr>
          <w:p w:rsidR="006A54BB" w:rsidRPr="006A54BB" w:rsidRDefault="006A54BB" w:rsidP="006A54BB">
            <w:pPr>
              <w:jc w:val="center"/>
              <w:rPr>
                <w:rFonts w:ascii="Times New Roman" w:hAnsi="Times New Roman" w:cs="Times New Roman"/>
                <w:sz w:val="24"/>
                <w:szCs w:val="24"/>
              </w:rPr>
            </w:pPr>
          </w:p>
        </w:tc>
        <w:tc>
          <w:tcPr>
            <w:tcW w:w="883" w:type="pct"/>
            <w:tcBorders>
              <w:top w:val="nil"/>
              <w:left w:val="nil"/>
              <w:right w:val="nil"/>
            </w:tcBorders>
            <w:vAlign w:val="center"/>
          </w:tcPr>
          <w:p w:rsidR="006A54BB" w:rsidRPr="006A54BB" w:rsidRDefault="006A54BB" w:rsidP="006A54BB">
            <w:pPr>
              <w:jc w:val="center"/>
              <w:rPr>
                <w:rFonts w:ascii="Times New Roman" w:eastAsia="Calibri" w:hAnsi="Times New Roman" w:cs="Times New Roman"/>
                <w:sz w:val="24"/>
                <w:szCs w:val="24"/>
              </w:rPr>
            </w:pPr>
            <m:oMathPara>
              <m:oMath>
                <m:r>
                  <w:rPr>
                    <w:rFonts w:ascii="Cambria Math" w:hAnsi="Cambria Math" w:cs="Times New Roman"/>
                    <w:sz w:val="24"/>
                    <w:szCs w:val="24"/>
                  </w:rPr>
                  <m:t>2,79&gt;1,25</m:t>
                </m:r>
              </m:oMath>
            </m:oMathPara>
          </w:p>
        </w:tc>
        <w:tc>
          <w:tcPr>
            <w:tcW w:w="792" w:type="pct"/>
            <w:vMerge/>
            <w:tcBorders>
              <w:top w:val="single" w:sz="4" w:space="0" w:color="auto"/>
              <w:left w:val="nil"/>
              <w:right w:val="nil"/>
            </w:tcBorders>
            <w:vAlign w:val="center"/>
          </w:tcPr>
          <w:p w:rsidR="006A54BB" w:rsidRPr="006A54BB" w:rsidRDefault="006A54BB" w:rsidP="006A54BB">
            <w:pPr>
              <w:jc w:val="center"/>
              <w:rPr>
                <w:rFonts w:ascii="Times New Roman" w:hAnsi="Times New Roman" w:cs="Times New Roman"/>
                <w:sz w:val="24"/>
                <w:szCs w:val="24"/>
              </w:rPr>
            </w:pPr>
          </w:p>
        </w:tc>
        <w:tc>
          <w:tcPr>
            <w:tcW w:w="891" w:type="pct"/>
            <w:tcBorders>
              <w:top w:val="nil"/>
              <w:left w:val="nil"/>
            </w:tcBorders>
            <w:vAlign w:val="center"/>
          </w:tcPr>
          <w:p w:rsidR="006A54BB" w:rsidRPr="006A54BB" w:rsidRDefault="006A54BB" w:rsidP="006A54BB">
            <w:pPr>
              <w:jc w:val="center"/>
              <w:rPr>
                <w:rFonts w:ascii="Times New Roman" w:eastAsia="Calibri" w:hAnsi="Times New Roman" w:cs="Times New Roman"/>
                <w:sz w:val="24"/>
                <w:szCs w:val="24"/>
              </w:rPr>
            </w:pPr>
            <m:oMathPara>
              <m:oMath>
                <m:r>
                  <w:rPr>
                    <w:rFonts w:ascii="Cambria Math" w:eastAsiaTheme="minorEastAsia" w:hAnsi="Cambria Math" w:cs="Times New Roman"/>
                    <w:sz w:val="24"/>
                    <w:szCs w:val="24"/>
                  </w:rPr>
                  <m:t>4,82&gt;1,5</m:t>
                </m:r>
              </m:oMath>
            </m:oMathPara>
          </w:p>
        </w:tc>
      </w:tr>
    </w:tbl>
    <w:p w:rsidR="006A54BB" w:rsidRDefault="006A54BB" w:rsidP="00FF3346">
      <w:pPr>
        <w:spacing w:after="0" w:line="360" w:lineRule="auto"/>
        <w:jc w:val="both"/>
        <w:rPr>
          <w:rFonts w:ascii="Times New Roman" w:hAnsi="Times New Roman" w:cs="Times New Roman"/>
          <w:sz w:val="24"/>
          <w:szCs w:val="24"/>
        </w:rPr>
      </w:pPr>
      <w:r w:rsidRPr="006A54BB">
        <w:rPr>
          <w:rFonts w:ascii="Times New Roman" w:hAnsi="Times New Roman" w:cs="Times New Roman"/>
          <w:sz w:val="24"/>
          <w:szCs w:val="24"/>
        </w:rPr>
        <w:t>Tabla 2</w:t>
      </w:r>
      <w:r>
        <w:rPr>
          <w:rFonts w:ascii="Times New Roman" w:hAnsi="Times New Roman" w:cs="Times New Roman"/>
          <w:sz w:val="24"/>
          <w:szCs w:val="24"/>
        </w:rPr>
        <w:t>.</w:t>
      </w:r>
      <w:r w:rsidRPr="006A54BB">
        <w:rPr>
          <w:rFonts w:ascii="Times New Roman" w:hAnsi="Times New Roman" w:cs="Times New Roman"/>
          <w:sz w:val="24"/>
          <w:szCs w:val="24"/>
        </w:rPr>
        <w:t xml:space="preserve"> Resultados de la revisión al vuelco</w:t>
      </w:r>
      <w:r w:rsidR="00BC2061">
        <w:rPr>
          <w:rFonts w:ascii="Times New Roman" w:hAnsi="Times New Roman" w:cs="Times New Roman"/>
          <w:sz w:val="24"/>
          <w:szCs w:val="24"/>
        </w:rPr>
        <w:t xml:space="preserve"> (Elaboración Propia)</w:t>
      </w:r>
      <w:r w:rsidR="00BC2061" w:rsidRPr="006A54BB">
        <w:rPr>
          <w:rFonts w:ascii="Times New Roman" w:hAnsi="Times New Roman" w:cs="Times New Roman"/>
          <w:sz w:val="24"/>
          <w:szCs w:val="24"/>
        </w:rPr>
        <w:t>.</w:t>
      </w:r>
    </w:p>
    <w:p w:rsidR="006A54BB" w:rsidRDefault="006A54BB" w:rsidP="00FF3346">
      <w:pPr>
        <w:spacing w:after="0" w:line="360" w:lineRule="auto"/>
        <w:jc w:val="both"/>
        <w:rPr>
          <w:rFonts w:ascii="Times New Roman" w:hAnsi="Times New Roman" w:cs="Times New Roman"/>
          <w:sz w:val="24"/>
          <w:szCs w:val="24"/>
        </w:rPr>
      </w:pPr>
    </w:p>
    <w:tbl>
      <w:tblPr>
        <w:tblStyle w:val="Tablaconcuadrcula"/>
        <w:tblpPr w:leftFromText="141" w:rightFromText="141" w:vertAnchor="text" w:horzAnchor="margin" w:tblpY="462"/>
        <w:tblW w:w="5000" w:type="pct"/>
        <w:tblBorders>
          <w:left w:val="none" w:sz="0" w:space="0" w:color="auto"/>
          <w:right w:val="none" w:sz="0" w:space="0" w:color="auto"/>
        </w:tblBorders>
        <w:tblLook w:val="04A0" w:firstRow="1" w:lastRow="0" w:firstColumn="1" w:lastColumn="0" w:noHBand="0" w:noVBand="1"/>
      </w:tblPr>
      <w:tblGrid>
        <w:gridCol w:w="1425"/>
        <w:gridCol w:w="2068"/>
        <w:gridCol w:w="1671"/>
        <w:gridCol w:w="1964"/>
        <w:gridCol w:w="1592"/>
      </w:tblGrid>
      <w:tr w:rsidR="00BC2061" w:rsidRPr="00BC2061" w:rsidTr="00BC2061">
        <w:tc>
          <w:tcPr>
            <w:tcW w:w="817" w:type="pct"/>
            <w:tcBorders>
              <w:bottom w:val="single" w:sz="4" w:space="0" w:color="auto"/>
              <w:right w:val="nil"/>
            </w:tcBorders>
            <w:shd w:val="clear" w:color="auto" w:fill="D9D9D9" w:themeFill="background1" w:themeFillShade="D9"/>
          </w:tcPr>
          <w:p w:rsidR="00BC2061" w:rsidRPr="00BC2061" w:rsidRDefault="00BC2061" w:rsidP="00BC2061">
            <w:pPr>
              <w:rPr>
                <w:rFonts w:ascii="Times New Roman" w:hAnsi="Times New Roman" w:cs="Times New Roman"/>
                <w:b/>
                <w:sz w:val="24"/>
                <w:szCs w:val="24"/>
              </w:rPr>
            </w:pPr>
          </w:p>
          <w:p w:rsidR="00BC2061" w:rsidRPr="00BC2061" w:rsidRDefault="00BC2061" w:rsidP="00BC2061">
            <w:pPr>
              <w:jc w:val="center"/>
              <w:rPr>
                <w:rFonts w:ascii="Times New Roman" w:hAnsi="Times New Roman" w:cs="Times New Roman"/>
                <w:b/>
                <w:sz w:val="24"/>
                <w:szCs w:val="24"/>
              </w:rPr>
            </w:pPr>
            <w:r w:rsidRPr="00BC2061">
              <w:rPr>
                <w:rFonts w:ascii="Times New Roman" w:hAnsi="Times New Roman" w:cs="Times New Roman"/>
                <w:b/>
                <w:sz w:val="24"/>
                <w:szCs w:val="24"/>
              </w:rPr>
              <w:t xml:space="preserve">Condición </w:t>
            </w:r>
          </w:p>
        </w:tc>
        <w:tc>
          <w:tcPr>
            <w:tcW w:w="1186" w:type="pct"/>
            <w:tcBorders>
              <w:left w:val="nil"/>
              <w:bottom w:val="single" w:sz="4" w:space="0" w:color="auto"/>
              <w:right w:val="nil"/>
            </w:tcBorders>
            <w:shd w:val="clear" w:color="auto" w:fill="D9D9D9" w:themeFill="background1" w:themeFillShade="D9"/>
          </w:tcPr>
          <w:p w:rsidR="00BC2061" w:rsidRPr="00BC2061" w:rsidRDefault="00BC2061" w:rsidP="00BC2061">
            <w:pPr>
              <w:jc w:val="center"/>
              <w:rPr>
                <w:rFonts w:ascii="Times New Roman" w:hAnsi="Times New Roman" w:cs="Times New Roman"/>
                <w:b/>
                <w:i/>
                <w:sz w:val="24"/>
                <w:szCs w:val="24"/>
              </w:rPr>
            </w:pPr>
            <w:r w:rsidRPr="00BC2061">
              <w:rPr>
                <w:rFonts w:ascii="Times New Roman" w:hAnsi="Times New Roman" w:cs="Times New Roman"/>
                <w:b/>
                <w:i/>
                <w:sz w:val="24"/>
                <w:szCs w:val="24"/>
              </w:rPr>
              <w:t>Eurocode 7</w:t>
            </w:r>
          </w:p>
          <w:p w:rsidR="00BC2061" w:rsidRPr="00BC2061" w:rsidRDefault="00837323" w:rsidP="00BC2061">
            <w:pPr>
              <w:jc w:val="center"/>
              <w:rPr>
                <w:rFonts w:ascii="Times New Roman" w:hAnsi="Times New Roman" w:cs="Times New Roman"/>
                <w:b/>
                <w:sz w:val="24"/>
                <w:szCs w:val="24"/>
              </w:rPr>
            </w:pPr>
            <m:oMathPara>
              <m:oMath>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H</m:t>
                    </m:r>
                  </m:e>
                  <m:sub>
                    <m:r>
                      <m:rPr>
                        <m:sty m:val="bi"/>
                      </m:rPr>
                      <w:rPr>
                        <w:rFonts w:ascii="Cambria Math" w:eastAsiaTheme="minorEastAsia" w:hAnsi="Cambria Math" w:cs="Times New Roman"/>
                        <w:sz w:val="24"/>
                        <w:szCs w:val="24"/>
                      </w:rPr>
                      <m:t>d</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lang w:val="en-US"/>
                      </w:rPr>
                    </m:ctrlPr>
                  </m:sSubPr>
                  <m:e>
                    <m:r>
                      <m:rPr>
                        <m:sty m:val="bi"/>
                      </m:rPr>
                      <w:rPr>
                        <w:rFonts w:ascii="Cambria Math" w:eastAsiaTheme="minorEastAsia" w:hAnsi="Cambria Math" w:cs="Times New Roman"/>
                        <w:sz w:val="24"/>
                        <w:szCs w:val="24"/>
                        <w:lang w:val="en-US"/>
                      </w:rPr>
                      <m:t>S</m:t>
                    </m:r>
                  </m:e>
                  <m:sub>
                    <m:r>
                      <m:rPr>
                        <m:sty m:val="bi"/>
                      </m:rPr>
                      <w:rPr>
                        <w:rFonts w:ascii="Cambria Math" w:eastAsiaTheme="minorEastAsia" w:hAnsi="Cambria Math" w:cs="Times New Roman"/>
                        <w:sz w:val="24"/>
                        <w:szCs w:val="24"/>
                        <w:lang w:val="en-US"/>
                      </w:rPr>
                      <m:t>d</m:t>
                    </m:r>
                  </m:sub>
                </m:sSub>
                <m:r>
                  <m:rPr>
                    <m:sty m:val="bi"/>
                  </m:rPr>
                  <w:rPr>
                    <w:rFonts w:ascii="Cambria Math" w:eastAsiaTheme="minorEastAsia" w:hAnsi="Cambria Math" w:cs="Times New Roman"/>
                    <w:sz w:val="24"/>
                    <w:szCs w:val="24"/>
                  </w:rPr>
                  <m:t>+</m:t>
                </m:r>
                <m:sSub>
                  <m:sSubPr>
                    <m:ctrlPr>
                      <w:rPr>
                        <w:rFonts w:ascii="Cambria Math" w:eastAsiaTheme="minorEastAsia" w:hAnsi="Cambria Math" w:cs="Times New Roman"/>
                        <w:b/>
                        <w:bCs/>
                        <w:i/>
                        <w:sz w:val="24"/>
                        <w:szCs w:val="24"/>
                      </w:rPr>
                    </m:ctrlPr>
                  </m:sSubPr>
                  <m:e>
                    <m:r>
                      <m:rPr>
                        <m:sty m:val="bi"/>
                      </m:rPr>
                      <w:rPr>
                        <w:rFonts w:ascii="Cambria Math" w:eastAsiaTheme="minorEastAsia" w:hAnsi="Cambria Math" w:cs="Times New Roman"/>
                        <w:sz w:val="24"/>
                        <w:szCs w:val="24"/>
                      </w:rPr>
                      <m:t>E</m:t>
                    </m:r>
                  </m:e>
                  <m:sub>
                    <m:r>
                      <m:rPr>
                        <m:sty m:val="bi"/>
                      </m:rPr>
                      <w:rPr>
                        <w:rFonts w:ascii="Cambria Math" w:eastAsiaTheme="minorEastAsia" w:hAnsi="Cambria Math" w:cs="Times New Roman"/>
                        <w:sz w:val="24"/>
                        <w:szCs w:val="24"/>
                      </w:rPr>
                      <m:t>pd</m:t>
                    </m:r>
                  </m:sub>
                </m:sSub>
              </m:oMath>
            </m:oMathPara>
          </w:p>
        </w:tc>
        <w:tc>
          <w:tcPr>
            <w:tcW w:w="958" w:type="pct"/>
            <w:tcBorders>
              <w:left w:val="nil"/>
              <w:bottom w:val="single" w:sz="4" w:space="0" w:color="auto"/>
              <w:right w:val="nil"/>
            </w:tcBorders>
            <w:shd w:val="clear" w:color="auto" w:fill="D9D9D9" w:themeFill="background1" w:themeFillShade="D9"/>
          </w:tcPr>
          <w:p w:rsidR="00BC2061" w:rsidRPr="00BC2061" w:rsidRDefault="00BC2061" w:rsidP="00BC2061">
            <w:pPr>
              <w:jc w:val="center"/>
              <w:rPr>
                <w:rFonts w:ascii="Times New Roman" w:hAnsi="Times New Roman" w:cs="Times New Roman"/>
                <w:b/>
                <w:sz w:val="24"/>
                <w:szCs w:val="24"/>
              </w:rPr>
            </w:pPr>
            <w:r w:rsidRPr="00BC2061">
              <w:rPr>
                <w:rFonts w:ascii="Times New Roman" w:hAnsi="Times New Roman" w:cs="Times New Roman"/>
                <w:b/>
                <w:sz w:val="24"/>
                <w:szCs w:val="24"/>
              </w:rPr>
              <w:t>NBE:AE-88</w:t>
            </w:r>
            <m:oMath>
              <m:r>
                <m:rPr>
                  <m:sty m:val="p"/>
                </m:rPr>
                <w:rPr>
                  <w:rFonts w:ascii="Cambria Math" w:hAnsi="Cambria Math" w:cs="Times New Roman"/>
                  <w:sz w:val="24"/>
                  <w:szCs w:val="24"/>
                </w:rPr>
                <w:br/>
              </m:r>
            </m:oMath>
            <m:oMathPara>
              <m:oMath>
                <m:r>
                  <m:rPr>
                    <m:sty m:val="bi"/>
                  </m:rPr>
                  <w:rPr>
                    <w:rFonts w:ascii="Cambria Math" w:hAnsi="Cambria Math" w:cs="Times New Roman"/>
                    <w:sz w:val="24"/>
                    <w:szCs w:val="24"/>
                  </w:rPr>
                  <m:t>FS≥1,25</m:t>
                </m:r>
              </m:oMath>
            </m:oMathPara>
          </w:p>
        </w:tc>
        <w:tc>
          <w:tcPr>
            <w:tcW w:w="1126" w:type="pct"/>
            <w:tcBorders>
              <w:left w:val="nil"/>
              <w:bottom w:val="single" w:sz="4" w:space="0" w:color="auto"/>
              <w:right w:val="nil"/>
            </w:tcBorders>
            <w:shd w:val="clear" w:color="auto" w:fill="D9D9D9" w:themeFill="background1" w:themeFillShade="D9"/>
          </w:tcPr>
          <w:p w:rsidR="00BC2061" w:rsidRPr="00BC2061" w:rsidRDefault="00BC2061" w:rsidP="00BC2061">
            <w:pPr>
              <w:jc w:val="center"/>
              <w:rPr>
                <w:rFonts w:ascii="Times New Roman" w:hAnsi="Times New Roman" w:cs="Times New Roman"/>
                <w:b/>
                <w:i/>
                <w:sz w:val="24"/>
                <w:szCs w:val="24"/>
              </w:rPr>
            </w:pPr>
            <w:r w:rsidRPr="00BC2061">
              <w:rPr>
                <w:rFonts w:ascii="Times New Roman" w:hAnsi="Times New Roman" w:cs="Times New Roman"/>
                <w:b/>
                <w:i/>
                <w:sz w:val="24"/>
                <w:szCs w:val="24"/>
              </w:rPr>
              <w:t>DNV</w:t>
            </w:r>
          </w:p>
          <w:p w:rsidR="00BC2061" w:rsidRPr="00BC2061" w:rsidRDefault="00BC2061" w:rsidP="00BC2061">
            <w:pPr>
              <w:rPr>
                <w:rFonts w:ascii="Times New Roman" w:eastAsiaTheme="minorEastAsia" w:hAnsi="Times New Roman" w:cs="Times New Roman"/>
                <w:b/>
                <w:bCs/>
                <w:sz w:val="24"/>
                <w:szCs w:val="24"/>
              </w:rPr>
            </w:pPr>
            <m:oMathPara>
              <m:oMath>
                <m:r>
                  <m:rPr>
                    <m:sty m:val="bi"/>
                  </m:rPr>
                  <w:rPr>
                    <w:rFonts w:ascii="Cambria Math" w:eastAsia="Calibri" w:hAnsi="Cambria Math" w:cs="Times New Roman"/>
                    <w:sz w:val="24"/>
                    <w:szCs w:val="24"/>
                    <w:lang w:val="en-US"/>
                  </w:rPr>
                  <m:t>H</m:t>
                </m:r>
                <m:r>
                  <m:rPr>
                    <m:sty m:val="bi"/>
                  </m:rPr>
                  <w:rPr>
                    <w:rFonts w:ascii="Cambria Math" w:eastAsia="Calibri" w:hAnsi="Cambria Math" w:cs="Times New Roman"/>
                    <w:sz w:val="24"/>
                    <w:szCs w:val="24"/>
                  </w:rPr>
                  <m:t>≤</m:t>
                </m:r>
                <m:r>
                  <m:rPr>
                    <m:sty m:val="bi"/>
                  </m:rPr>
                  <w:rPr>
                    <w:rFonts w:ascii="Cambria Math" w:eastAsia="Calibri" w:hAnsi="Cambria Math" w:cs="Times New Roman"/>
                    <w:sz w:val="24"/>
                    <w:szCs w:val="24"/>
                    <w:lang w:val="en-US"/>
                  </w:rPr>
                  <m:t>V</m:t>
                </m:r>
                <m:func>
                  <m:funcPr>
                    <m:ctrlPr>
                      <w:rPr>
                        <w:rFonts w:ascii="Cambria Math" w:eastAsia="Calibri" w:hAnsi="Cambria Math" w:cs="Times New Roman"/>
                        <w:b/>
                        <w:bCs/>
                        <w:i/>
                        <w:sz w:val="24"/>
                        <w:szCs w:val="24"/>
                        <w:lang w:val="en-US"/>
                      </w:rPr>
                    </m:ctrlPr>
                  </m:funcPr>
                  <m:fName>
                    <m:r>
                      <m:rPr>
                        <m:sty m:val="b"/>
                      </m:rPr>
                      <w:rPr>
                        <w:rFonts w:ascii="Cambria Math" w:eastAsia="Calibri" w:hAnsi="Cambria Math" w:cs="Times New Roman"/>
                        <w:sz w:val="24"/>
                        <w:szCs w:val="24"/>
                      </w:rPr>
                      <m:t>tan</m:t>
                    </m:r>
                  </m:fName>
                  <m:e>
                    <m:r>
                      <m:rPr>
                        <m:sty m:val="bi"/>
                      </m:rPr>
                      <w:rPr>
                        <w:rFonts w:ascii="Cambria Math" w:eastAsia="Calibri" w:hAnsi="Cambria Math" w:cs="Times New Roman"/>
                        <w:sz w:val="24"/>
                        <w:szCs w:val="24"/>
                        <w:lang w:val="en-US"/>
                      </w:rPr>
                      <m:t>ϕ</m:t>
                    </m:r>
                  </m:e>
                </m:func>
              </m:oMath>
            </m:oMathPara>
          </w:p>
          <w:p w:rsidR="00BC2061" w:rsidRPr="00BC2061" w:rsidRDefault="00BC2061" w:rsidP="00BC2061">
            <w:pPr>
              <w:rPr>
                <w:rFonts w:ascii="Times New Roman" w:hAnsi="Times New Roman" w:cs="Times New Roman"/>
                <w:b/>
                <w:sz w:val="24"/>
                <w:szCs w:val="24"/>
              </w:rPr>
            </w:pPr>
            <w:r w:rsidRPr="00BC2061">
              <w:rPr>
                <w:rFonts w:ascii="Times New Roman" w:eastAsiaTheme="minorEastAsia" w:hAnsi="Times New Roman" w:cs="Times New Roman"/>
                <w:b/>
                <w:bCs/>
                <w:color w:val="FF0000"/>
                <w:sz w:val="24"/>
                <w:szCs w:val="24"/>
              </w:rPr>
              <w:t xml:space="preserve"> </w:t>
            </w:r>
          </w:p>
        </w:tc>
        <w:tc>
          <w:tcPr>
            <w:tcW w:w="913" w:type="pct"/>
            <w:tcBorders>
              <w:left w:val="nil"/>
              <w:bottom w:val="single" w:sz="4" w:space="0" w:color="auto"/>
            </w:tcBorders>
            <w:shd w:val="clear" w:color="auto" w:fill="D9D9D9" w:themeFill="background1" w:themeFillShade="D9"/>
          </w:tcPr>
          <w:p w:rsidR="00BC2061" w:rsidRPr="00BC2061" w:rsidRDefault="00BC2061" w:rsidP="00BC2061">
            <w:pPr>
              <w:jc w:val="center"/>
              <w:rPr>
                <w:rFonts w:ascii="Times New Roman" w:hAnsi="Times New Roman" w:cs="Times New Roman"/>
                <w:b/>
                <w:bCs/>
                <w:sz w:val="24"/>
                <w:szCs w:val="24"/>
              </w:rPr>
            </w:pPr>
            <w:r w:rsidRPr="00BC2061">
              <w:rPr>
                <w:rFonts w:ascii="Times New Roman" w:hAnsi="Times New Roman" w:cs="Times New Roman"/>
                <w:b/>
                <w:sz w:val="24"/>
                <w:szCs w:val="24"/>
              </w:rPr>
              <w:t xml:space="preserve">NC </w:t>
            </w:r>
            <w:r w:rsidRPr="00BC2061">
              <w:rPr>
                <w:rFonts w:ascii="Times New Roman" w:hAnsi="Times New Roman" w:cs="Times New Roman"/>
                <w:b/>
                <w:bCs/>
                <w:sz w:val="24"/>
                <w:szCs w:val="24"/>
              </w:rPr>
              <w:t>1321:2019</w:t>
            </w:r>
          </w:p>
          <w:p w:rsidR="00BC2061" w:rsidRPr="00BC2061" w:rsidRDefault="00BC2061" w:rsidP="00BC2061">
            <w:pPr>
              <w:rPr>
                <w:rFonts w:ascii="Times New Roman" w:hAnsi="Times New Roman" w:cs="Times New Roman"/>
                <w:b/>
                <w:sz w:val="24"/>
                <w:szCs w:val="24"/>
              </w:rPr>
            </w:pPr>
            <m:oMathPara>
              <m:oMath>
                <m:r>
                  <m:rPr>
                    <m:sty m:val="bi"/>
                  </m:rPr>
                  <w:rPr>
                    <w:rFonts w:ascii="Cambria Math" w:hAnsi="Cambria Math" w:cs="Times New Roman"/>
                    <w:sz w:val="24"/>
                    <w:szCs w:val="24"/>
                  </w:rPr>
                  <m:t>FS≥1,5</m:t>
                </m:r>
              </m:oMath>
            </m:oMathPara>
          </w:p>
        </w:tc>
      </w:tr>
      <w:tr w:rsidR="00BC2061" w:rsidRPr="00BC2061" w:rsidTr="00BC2061">
        <w:trPr>
          <w:trHeight w:val="238"/>
        </w:trPr>
        <w:tc>
          <w:tcPr>
            <w:tcW w:w="817" w:type="pct"/>
            <w:tcBorders>
              <w:bottom w:val="nil"/>
              <w:right w:val="nil"/>
            </w:tcBorders>
          </w:tcPr>
          <w:p w:rsidR="00BC2061" w:rsidRPr="00BC2061" w:rsidRDefault="00BC2061" w:rsidP="00BC2061">
            <w:pPr>
              <w:rPr>
                <w:rFonts w:ascii="Times New Roman" w:hAnsi="Times New Roman" w:cs="Times New Roman"/>
                <w:sz w:val="24"/>
                <w:szCs w:val="24"/>
              </w:rPr>
            </w:pPr>
            <w:r w:rsidRPr="00BC2061">
              <w:rPr>
                <w:rFonts w:ascii="Times New Roman" w:hAnsi="Times New Roman" w:cs="Times New Roman"/>
                <w:sz w:val="24"/>
                <w:szCs w:val="24"/>
              </w:rPr>
              <w:t>normal</w:t>
            </w:r>
          </w:p>
        </w:tc>
        <w:tc>
          <w:tcPr>
            <w:tcW w:w="1186" w:type="pct"/>
            <w:tcBorders>
              <w:left w:val="nil"/>
              <w:bottom w:val="nil"/>
              <w:right w:val="nil"/>
            </w:tcBorders>
          </w:tcPr>
          <w:p w:rsidR="00BC2061" w:rsidRPr="00BC2061" w:rsidRDefault="00BC2061" w:rsidP="00BC2061">
            <w:pPr>
              <w:rPr>
                <w:rFonts w:ascii="Times New Roman" w:hAnsi="Times New Roman" w:cs="Times New Roman"/>
                <w:sz w:val="24"/>
                <w:szCs w:val="24"/>
              </w:rPr>
            </w:pPr>
            <m:oMathPara>
              <m:oMath>
                <m:r>
                  <m:rPr>
                    <m:sty m:val="p"/>
                  </m:rPr>
                  <w:rPr>
                    <w:rFonts w:ascii="Cambria Math" w:hAnsi="Cambria Math" w:cs="Times New Roman"/>
                    <w:sz w:val="24"/>
                    <w:szCs w:val="24"/>
                  </w:rPr>
                  <m:t>379,9</m:t>
                </m:r>
                <m:r>
                  <w:rPr>
                    <w:rFonts w:ascii="Cambria Math" w:eastAsiaTheme="minorEastAsia" w:hAnsi="Cambria Math" w:cs="Times New Roman"/>
                    <w:sz w:val="24"/>
                    <w:szCs w:val="24"/>
                  </w:rPr>
                  <m:t>&lt;11824,7</m:t>
                </m:r>
              </m:oMath>
            </m:oMathPara>
          </w:p>
        </w:tc>
        <w:tc>
          <w:tcPr>
            <w:tcW w:w="958" w:type="pct"/>
            <w:tcBorders>
              <w:left w:val="nil"/>
              <w:bottom w:val="nil"/>
              <w:right w:val="nil"/>
            </w:tcBorders>
          </w:tcPr>
          <w:p w:rsidR="00BC2061" w:rsidRPr="00BC2061" w:rsidRDefault="00BC2061" w:rsidP="00BC2061">
            <w:pPr>
              <w:rPr>
                <w:rFonts w:ascii="Times New Roman" w:hAnsi="Times New Roman" w:cs="Times New Roman"/>
                <w:sz w:val="24"/>
                <w:szCs w:val="24"/>
              </w:rPr>
            </w:pPr>
            <m:oMathPara>
              <m:oMath>
                <m:r>
                  <w:rPr>
                    <w:rFonts w:ascii="Cambria Math" w:hAnsi="Cambria Math" w:cs="Times New Roman"/>
                    <w:sz w:val="24"/>
                    <w:szCs w:val="24"/>
                  </w:rPr>
                  <m:t>25,21&gt;1,25</m:t>
                </m:r>
              </m:oMath>
            </m:oMathPara>
          </w:p>
        </w:tc>
        <w:tc>
          <w:tcPr>
            <w:tcW w:w="1126" w:type="pct"/>
            <w:tcBorders>
              <w:left w:val="nil"/>
              <w:bottom w:val="nil"/>
              <w:right w:val="nil"/>
            </w:tcBorders>
          </w:tcPr>
          <w:p w:rsidR="00BC2061" w:rsidRPr="00BC2061" w:rsidRDefault="00BC2061" w:rsidP="00BC2061">
            <w:pPr>
              <w:rPr>
                <w:rFonts w:ascii="Times New Roman" w:hAnsi="Times New Roman" w:cs="Times New Roman"/>
                <w:sz w:val="24"/>
                <w:szCs w:val="24"/>
              </w:rPr>
            </w:pPr>
            <m:oMathPara>
              <m:oMath>
                <m:r>
                  <m:rPr>
                    <m:sty m:val="p"/>
                  </m:rPr>
                  <w:rPr>
                    <w:rFonts w:ascii="Cambria Math" w:hAnsi="Cambria Math" w:cs="Times New Roman"/>
                    <w:sz w:val="24"/>
                    <w:szCs w:val="24"/>
                  </w:rPr>
                  <m:t>379,9</m:t>
                </m:r>
                <m:r>
                  <w:rPr>
                    <w:rFonts w:ascii="Cambria Math" w:eastAsiaTheme="minorEastAsia" w:hAnsi="Cambria Math" w:cs="Times New Roman"/>
                    <w:sz w:val="24"/>
                    <w:szCs w:val="24"/>
                  </w:rPr>
                  <m:t xml:space="preserve">&lt;18508 </m:t>
                </m:r>
              </m:oMath>
            </m:oMathPara>
          </w:p>
        </w:tc>
        <w:tc>
          <w:tcPr>
            <w:tcW w:w="913" w:type="pct"/>
            <w:tcBorders>
              <w:left w:val="nil"/>
              <w:bottom w:val="nil"/>
            </w:tcBorders>
          </w:tcPr>
          <w:p w:rsidR="00BC2061" w:rsidRPr="00BC2061" w:rsidRDefault="00BC2061" w:rsidP="00BC2061">
            <w:pPr>
              <w:rPr>
                <w:rFonts w:ascii="Times New Roman" w:eastAsiaTheme="minorEastAsia" w:hAnsi="Times New Roman" w:cs="Times New Roman"/>
                <w:sz w:val="24"/>
                <w:szCs w:val="24"/>
              </w:rPr>
            </w:pPr>
            <m:oMathPara>
              <m:oMath>
                <m:r>
                  <w:rPr>
                    <w:rFonts w:ascii="Cambria Math" w:hAnsi="Cambria Math" w:cs="Times New Roman"/>
                    <w:sz w:val="24"/>
                    <w:szCs w:val="24"/>
                  </w:rPr>
                  <m:t>30,74&gt;1,5</m:t>
                </m:r>
              </m:oMath>
            </m:oMathPara>
          </w:p>
        </w:tc>
      </w:tr>
      <w:tr w:rsidR="00BC2061" w:rsidRPr="00BC2061" w:rsidTr="00BC2061">
        <w:trPr>
          <w:trHeight w:val="238"/>
        </w:trPr>
        <w:tc>
          <w:tcPr>
            <w:tcW w:w="817" w:type="pct"/>
            <w:tcBorders>
              <w:top w:val="nil"/>
              <w:right w:val="nil"/>
            </w:tcBorders>
          </w:tcPr>
          <w:p w:rsidR="00BC2061" w:rsidRPr="00BC2061" w:rsidRDefault="00BC2061" w:rsidP="00BC2061">
            <w:pPr>
              <w:rPr>
                <w:rFonts w:ascii="Times New Roman" w:hAnsi="Times New Roman" w:cs="Times New Roman"/>
                <w:sz w:val="24"/>
                <w:szCs w:val="24"/>
              </w:rPr>
            </w:pPr>
            <w:r w:rsidRPr="00BC2061">
              <w:rPr>
                <w:rFonts w:ascii="Times New Roman" w:hAnsi="Times New Roman" w:cs="Times New Roman"/>
                <w:sz w:val="24"/>
                <w:szCs w:val="24"/>
              </w:rPr>
              <w:t>extrema</w:t>
            </w:r>
          </w:p>
        </w:tc>
        <w:tc>
          <w:tcPr>
            <w:tcW w:w="1186" w:type="pct"/>
            <w:tcBorders>
              <w:top w:val="nil"/>
              <w:left w:val="nil"/>
              <w:right w:val="nil"/>
            </w:tcBorders>
          </w:tcPr>
          <w:p w:rsidR="00BC2061" w:rsidRPr="00BC2061" w:rsidRDefault="00BC2061" w:rsidP="00BC2061">
            <w:pPr>
              <w:rPr>
                <w:rFonts w:ascii="Times New Roman" w:hAnsi="Times New Roman" w:cs="Times New Roman"/>
                <w:sz w:val="24"/>
                <w:szCs w:val="24"/>
              </w:rPr>
            </w:pPr>
            <m:oMathPara>
              <m:oMath>
                <m:r>
                  <m:rPr>
                    <m:sty m:val="p"/>
                  </m:rPr>
                  <w:rPr>
                    <w:rFonts w:ascii="Cambria Math" w:hAnsi="Cambria Math" w:cs="Times New Roman"/>
                    <w:sz w:val="24"/>
                    <w:szCs w:val="24"/>
                  </w:rPr>
                  <m:t>525,1</m:t>
                </m:r>
                <m:r>
                  <w:rPr>
                    <w:rFonts w:ascii="Cambria Math" w:eastAsiaTheme="minorEastAsia" w:hAnsi="Cambria Math" w:cs="Times New Roman"/>
                    <w:sz w:val="24"/>
                    <w:szCs w:val="24"/>
                  </w:rPr>
                  <m:t>&lt;</m:t>
                </m:r>
                <m:r>
                  <w:rPr>
                    <w:rFonts w:ascii="Cambria Math" w:eastAsia="Arial" w:hAnsi="Cambria Math" w:cs="Times New Roman"/>
                    <w:color w:val="000000"/>
                    <w:sz w:val="24"/>
                    <w:szCs w:val="24"/>
                    <w:lang w:eastAsia="es-ES"/>
                  </w:rPr>
                  <m:t>11430,5</m:t>
                </m:r>
              </m:oMath>
            </m:oMathPara>
          </w:p>
        </w:tc>
        <w:tc>
          <w:tcPr>
            <w:tcW w:w="958" w:type="pct"/>
            <w:tcBorders>
              <w:top w:val="nil"/>
              <w:left w:val="nil"/>
              <w:right w:val="nil"/>
            </w:tcBorders>
          </w:tcPr>
          <w:p w:rsidR="00BC2061" w:rsidRPr="00BC2061" w:rsidRDefault="00BC2061" w:rsidP="00BC2061">
            <w:pPr>
              <w:rPr>
                <w:rFonts w:ascii="Times New Roman" w:hAnsi="Times New Roman" w:cs="Times New Roman"/>
                <w:sz w:val="24"/>
                <w:szCs w:val="24"/>
              </w:rPr>
            </w:pPr>
            <m:oMathPara>
              <m:oMath>
                <m:r>
                  <w:rPr>
                    <w:rFonts w:ascii="Cambria Math" w:hAnsi="Cambria Math" w:cs="Times New Roman"/>
                    <w:sz w:val="24"/>
                    <w:szCs w:val="24"/>
                  </w:rPr>
                  <m:t>17,63&gt;1,25</m:t>
                </m:r>
              </m:oMath>
            </m:oMathPara>
          </w:p>
        </w:tc>
        <w:tc>
          <w:tcPr>
            <w:tcW w:w="1126" w:type="pct"/>
            <w:tcBorders>
              <w:top w:val="nil"/>
              <w:left w:val="nil"/>
              <w:right w:val="nil"/>
            </w:tcBorders>
          </w:tcPr>
          <w:p w:rsidR="00BC2061" w:rsidRPr="00BC2061" w:rsidRDefault="00BC2061" w:rsidP="00BC2061">
            <w:pPr>
              <w:rPr>
                <w:rFonts w:ascii="Times New Roman" w:hAnsi="Times New Roman" w:cs="Times New Roman"/>
                <w:sz w:val="24"/>
                <w:szCs w:val="24"/>
              </w:rPr>
            </w:pPr>
            <m:oMathPara>
              <m:oMath>
                <m:r>
                  <m:rPr>
                    <m:sty m:val="p"/>
                  </m:rPr>
                  <w:rPr>
                    <w:rFonts w:ascii="Cambria Math" w:hAnsi="Cambria Math" w:cs="Times New Roman"/>
                    <w:sz w:val="24"/>
                    <w:szCs w:val="24"/>
                  </w:rPr>
                  <m:t>525,1</m:t>
                </m:r>
                <m:r>
                  <w:rPr>
                    <w:rFonts w:ascii="Cambria Math" w:eastAsiaTheme="minorEastAsia" w:hAnsi="Cambria Math" w:cs="Times New Roman"/>
                    <w:sz w:val="24"/>
                    <w:szCs w:val="24"/>
                  </w:rPr>
                  <m:t>&lt;17891</m:t>
                </m:r>
              </m:oMath>
            </m:oMathPara>
          </w:p>
        </w:tc>
        <w:tc>
          <w:tcPr>
            <w:tcW w:w="913" w:type="pct"/>
            <w:tcBorders>
              <w:top w:val="nil"/>
              <w:left w:val="nil"/>
            </w:tcBorders>
          </w:tcPr>
          <w:p w:rsidR="00BC2061" w:rsidRPr="00BC2061" w:rsidRDefault="00BC2061" w:rsidP="00BC2061">
            <w:pPr>
              <w:rPr>
                <w:rFonts w:ascii="Times New Roman" w:eastAsia="Calibri" w:hAnsi="Times New Roman" w:cs="Times New Roman"/>
                <w:sz w:val="24"/>
                <w:szCs w:val="24"/>
              </w:rPr>
            </w:pPr>
            <m:oMathPara>
              <m:oMath>
                <m:r>
                  <w:rPr>
                    <w:rFonts w:ascii="Cambria Math" w:hAnsi="Cambria Math" w:cs="Times New Roman"/>
                    <w:sz w:val="24"/>
                    <w:szCs w:val="24"/>
                  </w:rPr>
                  <m:t>21,37&gt;1,5</m:t>
                </m:r>
              </m:oMath>
            </m:oMathPara>
          </w:p>
        </w:tc>
      </w:tr>
    </w:tbl>
    <w:p w:rsidR="006A54BB" w:rsidRDefault="006A54BB" w:rsidP="00BC2061">
      <w:pPr>
        <w:spacing w:after="0" w:line="360" w:lineRule="auto"/>
        <w:jc w:val="both"/>
        <w:rPr>
          <w:rFonts w:ascii="Times New Roman" w:hAnsi="Times New Roman" w:cs="Times New Roman"/>
          <w:sz w:val="24"/>
          <w:szCs w:val="24"/>
        </w:rPr>
      </w:pPr>
      <w:r w:rsidRPr="006A54BB">
        <w:rPr>
          <w:rFonts w:ascii="Times New Roman" w:hAnsi="Times New Roman" w:cs="Times New Roman"/>
          <w:sz w:val="24"/>
          <w:szCs w:val="24"/>
        </w:rPr>
        <w:t>Tabla 3</w:t>
      </w:r>
      <w:r>
        <w:rPr>
          <w:rFonts w:ascii="Times New Roman" w:hAnsi="Times New Roman" w:cs="Times New Roman"/>
          <w:sz w:val="24"/>
          <w:szCs w:val="24"/>
        </w:rPr>
        <w:t>.</w:t>
      </w:r>
      <w:r w:rsidRPr="006A54BB">
        <w:rPr>
          <w:rFonts w:ascii="Times New Roman" w:hAnsi="Times New Roman" w:cs="Times New Roman"/>
          <w:sz w:val="24"/>
          <w:szCs w:val="24"/>
        </w:rPr>
        <w:t xml:space="preserve"> Resultados de la revisión al deslizamiento</w:t>
      </w:r>
      <w:r>
        <w:rPr>
          <w:rFonts w:ascii="Times New Roman" w:hAnsi="Times New Roman" w:cs="Times New Roman"/>
          <w:sz w:val="24"/>
          <w:szCs w:val="24"/>
        </w:rPr>
        <w:t xml:space="preserve"> (Elaboración Propia)</w:t>
      </w:r>
      <w:r w:rsidRPr="006A54BB">
        <w:rPr>
          <w:rFonts w:ascii="Times New Roman" w:hAnsi="Times New Roman" w:cs="Times New Roman"/>
          <w:sz w:val="24"/>
          <w:szCs w:val="24"/>
        </w:rPr>
        <w:t>.</w:t>
      </w:r>
    </w:p>
    <w:p w:rsidR="002E4FD4" w:rsidRDefault="002E4FD4" w:rsidP="002E4FD4">
      <w:pPr>
        <w:tabs>
          <w:tab w:val="left" w:pos="1866"/>
        </w:tabs>
        <w:spacing w:before="120" w:after="0" w:line="360" w:lineRule="auto"/>
        <w:jc w:val="both"/>
        <w:rPr>
          <w:rFonts w:ascii="Times New Roman" w:hAnsi="Times New Roman" w:cs="Times New Roman"/>
          <w:sz w:val="24"/>
          <w:szCs w:val="24"/>
        </w:rPr>
      </w:pPr>
      <w:r w:rsidRPr="00BC2061">
        <w:rPr>
          <w:rFonts w:ascii="Times New Roman" w:hAnsi="Times New Roman" w:cs="Times New Roman"/>
          <w:sz w:val="24"/>
          <w:szCs w:val="24"/>
        </w:rPr>
        <w:t>Tabla 4</w:t>
      </w:r>
      <w:r>
        <w:rPr>
          <w:rFonts w:ascii="Times New Roman" w:hAnsi="Times New Roman" w:cs="Times New Roman"/>
          <w:sz w:val="24"/>
          <w:szCs w:val="24"/>
        </w:rPr>
        <w:t>.</w:t>
      </w:r>
      <w:r w:rsidRPr="00BC2061">
        <w:rPr>
          <w:rFonts w:ascii="Times New Roman" w:hAnsi="Times New Roman" w:cs="Times New Roman"/>
          <w:sz w:val="24"/>
          <w:szCs w:val="24"/>
        </w:rPr>
        <w:t xml:space="preserve"> Resultados de la revisión a la capacidad de carga</w:t>
      </w:r>
      <w:r>
        <w:rPr>
          <w:rFonts w:ascii="Times New Roman" w:hAnsi="Times New Roman" w:cs="Times New Roman"/>
          <w:sz w:val="24"/>
          <w:szCs w:val="24"/>
        </w:rPr>
        <w:t xml:space="preserve"> (Elaboración Propia)</w:t>
      </w:r>
      <w:r w:rsidRPr="006A54BB">
        <w:rPr>
          <w:rFonts w:ascii="Times New Roman" w:hAnsi="Times New Roman" w:cs="Times New Roman"/>
          <w:sz w:val="24"/>
          <w:szCs w:val="24"/>
        </w:rPr>
        <w:t>.</w:t>
      </w:r>
    </w:p>
    <w:tbl>
      <w:tblPr>
        <w:tblStyle w:val="Tablaconcuadrcula"/>
        <w:tblpPr w:leftFromText="141" w:rightFromText="141" w:vertAnchor="text" w:horzAnchor="margin" w:tblpY="74"/>
        <w:tblW w:w="5000" w:type="pct"/>
        <w:tblBorders>
          <w:left w:val="none" w:sz="0" w:space="0" w:color="auto"/>
          <w:right w:val="none" w:sz="0" w:space="0" w:color="auto"/>
        </w:tblBorders>
        <w:tblLook w:val="04A0" w:firstRow="1" w:lastRow="0" w:firstColumn="1" w:lastColumn="0" w:noHBand="0" w:noVBand="1"/>
      </w:tblPr>
      <w:tblGrid>
        <w:gridCol w:w="2236"/>
        <w:gridCol w:w="1821"/>
        <w:gridCol w:w="1400"/>
        <w:gridCol w:w="1807"/>
        <w:gridCol w:w="1456"/>
      </w:tblGrid>
      <w:tr w:rsidR="002E4FD4" w:rsidRPr="00BC2061" w:rsidTr="002E4FD4">
        <w:tc>
          <w:tcPr>
            <w:tcW w:w="1282" w:type="pct"/>
            <w:shd w:val="clear" w:color="auto" w:fill="D9D9D9" w:themeFill="background1" w:themeFillShade="D9"/>
            <w:vAlign w:val="center"/>
          </w:tcPr>
          <w:p w:rsidR="002E4FD4" w:rsidRPr="00BC2061" w:rsidRDefault="002E4FD4" w:rsidP="002E4FD4">
            <w:pPr>
              <w:jc w:val="center"/>
              <w:rPr>
                <w:rFonts w:ascii="Times New Roman" w:hAnsi="Times New Roman" w:cs="Times New Roman"/>
                <w:b/>
                <w:sz w:val="24"/>
                <w:szCs w:val="24"/>
              </w:rPr>
            </w:pPr>
            <w:r w:rsidRPr="00BC2061">
              <w:rPr>
                <w:rFonts w:ascii="Times New Roman" w:hAnsi="Times New Roman" w:cs="Times New Roman"/>
                <w:b/>
                <w:sz w:val="24"/>
                <w:szCs w:val="24"/>
              </w:rPr>
              <w:t>Normativa</w:t>
            </w:r>
          </w:p>
        </w:tc>
        <w:tc>
          <w:tcPr>
            <w:tcW w:w="1044" w:type="pct"/>
            <w:shd w:val="clear" w:color="auto" w:fill="D9D9D9" w:themeFill="background1" w:themeFillShade="D9"/>
            <w:vAlign w:val="center"/>
          </w:tcPr>
          <w:p w:rsidR="002E4FD4" w:rsidRPr="00BC2061" w:rsidRDefault="002E4FD4" w:rsidP="002E4FD4">
            <w:pPr>
              <w:jc w:val="center"/>
              <w:rPr>
                <w:rFonts w:ascii="Times New Roman" w:hAnsi="Times New Roman" w:cs="Times New Roman"/>
                <w:b/>
                <w:sz w:val="24"/>
                <w:szCs w:val="24"/>
              </w:rPr>
            </w:pPr>
            <w:r w:rsidRPr="00BC2061">
              <w:rPr>
                <w:rFonts w:ascii="Times New Roman" w:hAnsi="Times New Roman" w:cs="Times New Roman"/>
                <w:b/>
                <w:i/>
                <w:sz w:val="24"/>
                <w:szCs w:val="24"/>
              </w:rPr>
              <w:t>Eurocode 7</w:t>
            </w:r>
          </w:p>
        </w:tc>
        <w:tc>
          <w:tcPr>
            <w:tcW w:w="803" w:type="pct"/>
            <w:shd w:val="clear" w:color="auto" w:fill="D9D9D9" w:themeFill="background1" w:themeFillShade="D9"/>
            <w:vAlign w:val="center"/>
          </w:tcPr>
          <w:p w:rsidR="002E4FD4" w:rsidRPr="00BC2061" w:rsidRDefault="002E4FD4" w:rsidP="002E4FD4">
            <w:pPr>
              <w:jc w:val="center"/>
              <w:rPr>
                <w:rFonts w:ascii="Times New Roman" w:hAnsi="Times New Roman" w:cs="Times New Roman"/>
                <w:b/>
                <w:sz w:val="24"/>
                <w:szCs w:val="24"/>
              </w:rPr>
            </w:pPr>
            <w:r w:rsidRPr="00BC2061">
              <w:rPr>
                <w:rFonts w:ascii="Times New Roman" w:hAnsi="Times New Roman" w:cs="Times New Roman"/>
                <w:b/>
                <w:sz w:val="24"/>
                <w:szCs w:val="24"/>
              </w:rPr>
              <w:t>NBE:AE-88</w:t>
            </w:r>
          </w:p>
        </w:tc>
        <w:tc>
          <w:tcPr>
            <w:tcW w:w="1036" w:type="pct"/>
            <w:shd w:val="clear" w:color="auto" w:fill="D9D9D9" w:themeFill="background1" w:themeFillShade="D9"/>
            <w:vAlign w:val="center"/>
          </w:tcPr>
          <w:p w:rsidR="002E4FD4" w:rsidRPr="00BC2061" w:rsidRDefault="002E4FD4" w:rsidP="002E4FD4">
            <w:pPr>
              <w:jc w:val="center"/>
              <w:rPr>
                <w:rFonts w:ascii="Times New Roman" w:hAnsi="Times New Roman" w:cs="Times New Roman"/>
                <w:b/>
                <w:i/>
                <w:sz w:val="24"/>
                <w:szCs w:val="24"/>
              </w:rPr>
            </w:pPr>
            <w:r w:rsidRPr="00BC2061">
              <w:rPr>
                <w:rFonts w:ascii="Times New Roman" w:hAnsi="Times New Roman" w:cs="Times New Roman"/>
                <w:b/>
                <w:i/>
                <w:sz w:val="24"/>
                <w:szCs w:val="24"/>
              </w:rPr>
              <w:t>Canadiense Manual</w:t>
            </w:r>
          </w:p>
        </w:tc>
        <w:tc>
          <w:tcPr>
            <w:tcW w:w="835" w:type="pct"/>
            <w:shd w:val="clear" w:color="auto" w:fill="D9D9D9" w:themeFill="background1" w:themeFillShade="D9"/>
            <w:vAlign w:val="center"/>
          </w:tcPr>
          <w:p w:rsidR="002E4FD4" w:rsidRPr="00BC2061" w:rsidRDefault="002E4FD4" w:rsidP="002E4FD4">
            <w:pPr>
              <w:jc w:val="center"/>
              <w:rPr>
                <w:rFonts w:ascii="Times New Roman" w:hAnsi="Times New Roman" w:cs="Times New Roman"/>
                <w:b/>
                <w:bCs/>
                <w:sz w:val="24"/>
                <w:szCs w:val="24"/>
              </w:rPr>
            </w:pPr>
            <w:r w:rsidRPr="00BC2061">
              <w:rPr>
                <w:rFonts w:ascii="Times New Roman" w:hAnsi="Times New Roman" w:cs="Times New Roman"/>
                <w:b/>
                <w:sz w:val="24"/>
                <w:szCs w:val="24"/>
              </w:rPr>
              <w:t xml:space="preserve">NC </w:t>
            </w:r>
            <w:r w:rsidRPr="00BC2061">
              <w:rPr>
                <w:rFonts w:ascii="Times New Roman" w:hAnsi="Times New Roman" w:cs="Times New Roman"/>
                <w:b/>
                <w:bCs/>
                <w:sz w:val="24"/>
                <w:szCs w:val="24"/>
              </w:rPr>
              <w:t>1321:2019</w:t>
            </w:r>
          </w:p>
        </w:tc>
      </w:tr>
      <w:tr w:rsidR="002E4FD4" w:rsidRPr="00BC2061" w:rsidTr="002E4FD4">
        <w:trPr>
          <w:trHeight w:val="238"/>
        </w:trPr>
        <w:tc>
          <w:tcPr>
            <w:tcW w:w="1282" w:type="pct"/>
            <w:vAlign w:val="center"/>
          </w:tcPr>
          <w:p w:rsidR="002E4FD4" w:rsidRPr="00BC2061" w:rsidRDefault="002E4FD4" w:rsidP="002E4FD4">
            <w:pPr>
              <w:jc w:val="center"/>
              <w:rPr>
                <w:rFonts w:ascii="Times New Roman" w:hAnsi="Times New Roman" w:cs="Times New Roman"/>
                <w:sz w:val="24"/>
                <w:szCs w:val="24"/>
              </w:rPr>
            </w:pPr>
            <w:r w:rsidRPr="00BC2061">
              <w:rPr>
                <w:rFonts w:ascii="Times New Roman" w:hAnsi="Times New Roman" w:cs="Times New Roman"/>
                <w:sz w:val="24"/>
                <w:szCs w:val="24"/>
              </w:rPr>
              <w:t>Capacidad de carga</w:t>
            </w:r>
          </w:p>
        </w:tc>
        <w:tc>
          <w:tcPr>
            <w:tcW w:w="1044" w:type="pct"/>
            <w:vAlign w:val="center"/>
          </w:tcPr>
          <w:p w:rsidR="002E4FD4" w:rsidRPr="00BC2061" w:rsidRDefault="002E4FD4" w:rsidP="002E4FD4">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500-10000 kPa</m:t>
                </m:r>
              </m:oMath>
            </m:oMathPara>
          </w:p>
        </w:tc>
        <w:tc>
          <w:tcPr>
            <w:tcW w:w="803" w:type="pct"/>
            <w:vAlign w:val="center"/>
          </w:tcPr>
          <w:p w:rsidR="002E4FD4" w:rsidRPr="00BC2061" w:rsidRDefault="002E4FD4" w:rsidP="002E4FD4">
            <w:pPr>
              <w:jc w:val="center"/>
              <w:rPr>
                <w:rFonts w:ascii="Times New Roman" w:hAnsi="Times New Roman" w:cs="Times New Roman"/>
                <w:sz w:val="24"/>
                <w:szCs w:val="24"/>
              </w:rPr>
            </w:pPr>
            <m:oMathPara>
              <m:oMath>
                <m:r>
                  <w:rPr>
                    <w:rFonts w:ascii="Cambria Math" w:hAnsi="Cambria Math" w:cs="Times New Roman"/>
                    <w:sz w:val="24"/>
                    <w:szCs w:val="24"/>
                  </w:rPr>
                  <m:t>2000 kPa</m:t>
                </m:r>
              </m:oMath>
            </m:oMathPara>
          </w:p>
        </w:tc>
        <w:tc>
          <w:tcPr>
            <w:tcW w:w="1036" w:type="pct"/>
            <w:vAlign w:val="center"/>
          </w:tcPr>
          <w:p w:rsidR="002E4FD4" w:rsidRPr="00BC2061" w:rsidRDefault="002E4FD4" w:rsidP="002E4FD4">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1271,5 kPa</m:t>
                </m:r>
              </m:oMath>
            </m:oMathPara>
          </w:p>
        </w:tc>
        <w:tc>
          <w:tcPr>
            <w:tcW w:w="835" w:type="pct"/>
            <w:vAlign w:val="center"/>
          </w:tcPr>
          <w:p w:rsidR="002E4FD4" w:rsidRPr="00BC2061" w:rsidRDefault="002E4FD4" w:rsidP="002E4FD4">
            <w:pPr>
              <w:jc w:val="cente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847,66 kPa</m:t>
                </m:r>
              </m:oMath>
            </m:oMathPara>
          </w:p>
        </w:tc>
      </w:tr>
    </w:tbl>
    <w:p w:rsidR="00BC2061" w:rsidRPr="00BC2061" w:rsidRDefault="00BC2061" w:rsidP="00BC2061">
      <w:pPr>
        <w:tabs>
          <w:tab w:val="left" w:pos="1866"/>
        </w:tabs>
        <w:spacing w:before="120" w:after="0" w:line="360" w:lineRule="auto"/>
        <w:jc w:val="both"/>
        <w:rPr>
          <w:rFonts w:ascii="Times New Roman" w:hAnsi="Times New Roman" w:cs="Times New Roman"/>
          <w:sz w:val="24"/>
          <w:szCs w:val="24"/>
        </w:rPr>
      </w:pPr>
      <w:r w:rsidRPr="00BC2061">
        <w:rPr>
          <w:rFonts w:ascii="Times New Roman" w:hAnsi="Times New Roman" w:cs="Times New Roman"/>
          <w:sz w:val="24"/>
          <w:szCs w:val="24"/>
        </w:rPr>
        <w:t xml:space="preserve">Se observa en el chequeo al vuelco que el método propuesto por el </w:t>
      </w:r>
      <w:r w:rsidRPr="008C6013">
        <w:rPr>
          <w:rFonts w:ascii="Times New Roman" w:hAnsi="Times New Roman" w:cs="Times New Roman"/>
          <w:i/>
          <w:sz w:val="24"/>
          <w:szCs w:val="24"/>
        </w:rPr>
        <w:t>Eurocode</w:t>
      </w:r>
      <w:r w:rsidRPr="00BC2061">
        <w:rPr>
          <w:rFonts w:ascii="Times New Roman" w:hAnsi="Times New Roman" w:cs="Times New Roman"/>
          <w:sz w:val="24"/>
          <w:szCs w:val="24"/>
        </w:rPr>
        <w:t xml:space="preserve"> 7 es el más conservador de todos con una diferencia de 83 %. La que presenta un menor valor admisible de excentricidad es la danesa, en correspondencia a la necesidad de restringir este parámetro por el tipo de estructura (aerogeneradores).</w:t>
      </w:r>
    </w:p>
    <w:p w:rsidR="00BC2061" w:rsidRPr="00BC2061" w:rsidRDefault="00BC2061" w:rsidP="00BC2061">
      <w:pPr>
        <w:tabs>
          <w:tab w:val="left" w:pos="1866"/>
        </w:tabs>
        <w:spacing w:after="0" w:line="360" w:lineRule="auto"/>
        <w:jc w:val="both"/>
        <w:rPr>
          <w:rFonts w:ascii="Times New Roman" w:hAnsi="Times New Roman" w:cs="Times New Roman"/>
          <w:sz w:val="24"/>
          <w:szCs w:val="24"/>
        </w:rPr>
      </w:pPr>
      <w:r w:rsidRPr="00BC2061">
        <w:rPr>
          <w:rFonts w:ascii="Times New Roman" w:hAnsi="Times New Roman" w:cs="Times New Roman"/>
          <w:sz w:val="24"/>
          <w:szCs w:val="24"/>
        </w:rPr>
        <w:lastRenderedPageBreak/>
        <w:t>En el caso del chequeo al deslizamiento las diferencias en por ciento varían muy poco, se justifica por el hecho de haber asumido en todos los casos el mismo criterio con respecto al coeficiente de rozamiento en la base del cimiento sobre roca.</w:t>
      </w:r>
    </w:p>
    <w:p w:rsidR="00BC2061" w:rsidRPr="00BC2061" w:rsidRDefault="00BC2061" w:rsidP="00BC2061">
      <w:pPr>
        <w:tabs>
          <w:tab w:val="left" w:pos="1866"/>
        </w:tabs>
        <w:spacing w:after="0" w:line="360" w:lineRule="auto"/>
        <w:jc w:val="both"/>
        <w:rPr>
          <w:rFonts w:ascii="Times New Roman" w:hAnsi="Times New Roman" w:cs="Times New Roman"/>
          <w:sz w:val="24"/>
          <w:szCs w:val="24"/>
        </w:rPr>
      </w:pPr>
      <w:r w:rsidRPr="00BC2061">
        <w:rPr>
          <w:rFonts w:ascii="Times New Roman" w:hAnsi="Times New Roman" w:cs="Times New Roman"/>
          <w:sz w:val="24"/>
          <w:szCs w:val="24"/>
        </w:rPr>
        <w:t xml:space="preserve">En cuanto a la capacidad de carga de la roca la normativa más conservadora es el </w:t>
      </w:r>
      <w:r w:rsidRPr="008C6013">
        <w:rPr>
          <w:rFonts w:ascii="Times New Roman" w:hAnsi="Times New Roman" w:cs="Times New Roman"/>
          <w:i/>
          <w:sz w:val="24"/>
          <w:szCs w:val="24"/>
        </w:rPr>
        <w:t>Eurocode</w:t>
      </w:r>
      <w:r w:rsidRPr="00BC2061">
        <w:rPr>
          <w:rFonts w:ascii="Times New Roman" w:hAnsi="Times New Roman" w:cs="Times New Roman"/>
          <w:sz w:val="24"/>
          <w:szCs w:val="24"/>
        </w:rPr>
        <w:t xml:space="preserve"> 7 debido al método prescriptivo que emplea para su determinación. Seguida por la norma española que igual, no presenta una manera precisa de determinar esta capacidad. La norma cubana presenta el valor menos conservador de capacidad de carga al calcularse a través de un método explícito en cuanto a los criterios que deben tenerse en cuenta para considerar la solución de cimentación sobre roca, lo que marca la diferencia.</w:t>
      </w:r>
    </w:p>
    <w:p w:rsidR="00BC2061" w:rsidRPr="00BC2061" w:rsidRDefault="00BC2061" w:rsidP="00BC2061">
      <w:pPr>
        <w:tabs>
          <w:tab w:val="left" w:pos="1866"/>
        </w:tabs>
        <w:spacing w:after="0" w:line="360" w:lineRule="auto"/>
        <w:jc w:val="both"/>
        <w:rPr>
          <w:rFonts w:ascii="Times New Roman" w:hAnsi="Times New Roman" w:cs="Times New Roman"/>
          <w:sz w:val="24"/>
          <w:szCs w:val="24"/>
        </w:rPr>
      </w:pPr>
      <w:r w:rsidRPr="00BC2061">
        <w:rPr>
          <w:rFonts w:ascii="Times New Roman" w:hAnsi="Times New Roman" w:cs="Times New Roman"/>
          <w:sz w:val="24"/>
          <w:szCs w:val="24"/>
        </w:rPr>
        <w:t>Se evidencia que la solución de cimentación propuesta para los aerogeneradores de La Herradura 1 en correspondencia con los resultados geotécnicos que se obtienen cumple con un margen amplio en todos los casos.</w:t>
      </w:r>
    </w:p>
    <w:p w:rsidR="00BC2061" w:rsidRDefault="00BC2061" w:rsidP="00BC2061">
      <w:pPr>
        <w:tabs>
          <w:tab w:val="left" w:pos="1866"/>
        </w:tabs>
        <w:spacing w:after="0" w:line="360" w:lineRule="auto"/>
        <w:jc w:val="both"/>
        <w:rPr>
          <w:rFonts w:ascii="Times New Roman" w:hAnsi="Times New Roman" w:cs="Times New Roman"/>
          <w:sz w:val="24"/>
          <w:szCs w:val="24"/>
        </w:rPr>
      </w:pPr>
      <w:r w:rsidRPr="00BC2061">
        <w:rPr>
          <w:rFonts w:ascii="Times New Roman" w:hAnsi="Times New Roman" w:cs="Times New Roman"/>
          <w:sz w:val="24"/>
          <w:szCs w:val="24"/>
        </w:rPr>
        <w:t>Para el chequeo estructural a través de las normativas seleccionadas, que en este caso son la norma española EHE-08 y la cubana NC 207-:2019, se hace necesario conocer la distribución de acero.</w:t>
      </w:r>
    </w:p>
    <w:p w:rsidR="00BC2061" w:rsidRDefault="00BC2061" w:rsidP="00BC2061">
      <w:pPr>
        <w:tabs>
          <w:tab w:val="left" w:pos="1866"/>
        </w:tabs>
        <w:spacing w:after="0" w:line="360" w:lineRule="auto"/>
        <w:jc w:val="both"/>
        <w:rPr>
          <w:rFonts w:ascii="Times New Roman" w:hAnsi="Times New Roman" w:cs="Times New Roman"/>
          <w:sz w:val="24"/>
          <w:szCs w:val="24"/>
        </w:rPr>
      </w:pPr>
      <w:r w:rsidRPr="00BC2061">
        <w:rPr>
          <w:rFonts w:ascii="Times New Roman" w:hAnsi="Times New Roman" w:cs="Times New Roman"/>
          <w:sz w:val="24"/>
          <w:szCs w:val="24"/>
        </w:rPr>
        <w:t>La cantidad de acero que se proyectó para la cimentación es de 374,42 kN, de los cuales 177,2 kN son de refuerzo y el resto se coloca por construcción, confinamiento y retracción (</w:t>
      </w:r>
      <w:r w:rsidRPr="008C6013">
        <w:rPr>
          <w:rFonts w:ascii="Times New Roman" w:hAnsi="Times New Roman" w:cs="Times New Roman"/>
          <w:i/>
          <w:sz w:val="24"/>
          <w:szCs w:val="24"/>
        </w:rPr>
        <w:t>Power China Beijing Engineering Corporation Limited</w:t>
      </w:r>
      <w:r w:rsidRPr="00BC2061">
        <w:rPr>
          <w:rFonts w:ascii="Times New Roman" w:hAnsi="Times New Roman" w:cs="Times New Roman"/>
          <w:sz w:val="24"/>
          <w:szCs w:val="24"/>
        </w:rPr>
        <w:t>).</w:t>
      </w:r>
      <w:r w:rsidRPr="00BC2061">
        <w:rPr>
          <w:rFonts w:ascii="Arial" w:hAnsi="Arial" w:cs="Arial"/>
          <w:bCs/>
          <w:noProof/>
          <w:sz w:val="20"/>
          <w:szCs w:val="24"/>
          <w:lang w:val="es-MX" w:eastAsia="es-MX"/>
        </w:rPr>
        <w:t xml:space="preserve"> </w:t>
      </w:r>
      <w:r w:rsidRPr="00BC2061">
        <w:rPr>
          <w:rFonts w:ascii="Times New Roman" w:hAnsi="Times New Roman" w:cs="Times New Roman"/>
          <w:sz w:val="24"/>
          <w:szCs w:val="24"/>
        </w:rPr>
        <w:t>En la figura 1 se puede apreciar esta distribución del refuerzo superior e inferior y se observa la colocación de una malla ortogonal en la parte inferior como refuerzo del acero radial y circunferencial.</w:t>
      </w:r>
      <w:r w:rsidRPr="00BC2061">
        <w:rPr>
          <w:rFonts w:ascii="Arial" w:hAnsi="Arial" w:cs="Arial"/>
          <w:bCs/>
          <w:noProof/>
          <w:sz w:val="20"/>
          <w:szCs w:val="24"/>
          <w:lang w:val="es-MX" w:eastAsia="es-MX"/>
        </w:rPr>
        <w:t xml:space="preserve"> </w:t>
      </w:r>
    </w:p>
    <w:p w:rsidR="00BC2061" w:rsidRDefault="00BC2061" w:rsidP="002E4FD4">
      <w:pPr>
        <w:tabs>
          <w:tab w:val="left" w:pos="1866"/>
        </w:tabs>
        <w:spacing w:after="0" w:line="360" w:lineRule="auto"/>
        <w:jc w:val="center"/>
        <w:rPr>
          <w:rFonts w:ascii="Times New Roman" w:hAnsi="Times New Roman" w:cs="Times New Roman"/>
          <w:sz w:val="24"/>
          <w:szCs w:val="24"/>
        </w:rPr>
      </w:pPr>
      <w:r w:rsidRPr="00512D1A">
        <w:rPr>
          <w:rFonts w:ascii="Arial" w:hAnsi="Arial" w:cs="Arial"/>
          <w:bCs/>
          <w:noProof/>
          <w:sz w:val="20"/>
          <w:szCs w:val="24"/>
          <w:lang w:val="es-MX" w:eastAsia="es-MX"/>
        </w:rPr>
        <w:drawing>
          <wp:inline distT="0" distB="0" distL="0" distR="0" wp14:anchorId="2BB856B1" wp14:editId="59E285C9">
            <wp:extent cx="3697163" cy="1756746"/>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2975" cy="1764259"/>
                    </a:xfrm>
                    <a:prstGeom prst="rect">
                      <a:avLst/>
                    </a:prstGeom>
                    <a:noFill/>
                  </pic:spPr>
                </pic:pic>
              </a:graphicData>
            </a:graphic>
          </wp:inline>
        </w:drawing>
      </w:r>
    </w:p>
    <w:p w:rsidR="00BC2061" w:rsidRPr="002E4FD4" w:rsidRDefault="002E4FD4" w:rsidP="002E4FD4">
      <w:pPr>
        <w:tabs>
          <w:tab w:val="left" w:pos="1866"/>
        </w:tabs>
        <w:spacing w:after="0" w:line="360" w:lineRule="auto"/>
        <w:jc w:val="center"/>
        <w:rPr>
          <w:rFonts w:ascii="Times New Roman" w:hAnsi="Times New Roman" w:cs="Times New Roman"/>
          <w:sz w:val="20"/>
          <w:szCs w:val="20"/>
        </w:rPr>
      </w:pPr>
      <w:r>
        <w:rPr>
          <w:rFonts w:ascii="Times New Roman" w:hAnsi="Times New Roman" w:cs="Times New Roman"/>
          <w:sz w:val="20"/>
          <w:szCs w:val="20"/>
        </w:rPr>
        <w:t>Figura 1.</w:t>
      </w:r>
      <w:r w:rsidR="00BC2061" w:rsidRPr="002E4FD4">
        <w:rPr>
          <w:rFonts w:ascii="Times New Roman" w:hAnsi="Times New Roman" w:cs="Times New Roman"/>
          <w:sz w:val="20"/>
          <w:szCs w:val="20"/>
        </w:rPr>
        <w:t xml:space="preserve"> </w:t>
      </w:r>
      <w:r w:rsidR="008C6013" w:rsidRPr="008C6013">
        <w:rPr>
          <w:rFonts w:ascii="Times New Roman" w:hAnsi="Times New Roman" w:cs="Times New Roman"/>
          <w:sz w:val="20"/>
          <w:szCs w:val="20"/>
        </w:rPr>
        <w:t>Planta del refuerzo de la cimentación. a) refuerzo superior b) refuerzo inferior (</w:t>
      </w:r>
      <w:r w:rsidR="008C6013" w:rsidRPr="008C6013">
        <w:rPr>
          <w:rFonts w:ascii="Times New Roman" w:hAnsi="Times New Roman" w:cs="Times New Roman"/>
          <w:i/>
          <w:sz w:val="20"/>
          <w:szCs w:val="20"/>
        </w:rPr>
        <w:t>Power China Beijing Engineering Corporation Limited</w:t>
      </w:r>
      <w:r w:rsidR="008C6013" w:rsidRPr="008C6013">
        <w:rPr>
          <w:rFonts w:ascii="Times New Roman" w:hAnsi="Times New Roman" w:cs="Times New Roman"/>
          <w:sz w:val="20"/>
          <w:szCs w:val="20"/>
        </w:rPr>
        <w:t>).</w:t>
      </w:r>
    </w:p>
    <w:p w:rsidR="00BC2061" w:rsidRPr="00BC2061" w:rsidRDefault="00BC2061" w:rsidP="00BC2061">
      <w:pPr>
        <w:tabs>
          <w:tab w:val="left" w:pos="1866"/>
        </w:tabs>
        <w:spacing w:after="0" w:line="360" w:lineRule="auto"/>
        <w:jc w:val="both"/>
        <w:rPr>
          <w:rFonts w:ascii="Times New Roman" w:hAnsi="Times New Roman" w:cs="Times New Roman"/>
          <w:sz w:val="24"/>
          <w:szCs w:val="24"/>
        </w:rPr>
      </w:pPr>
      <w:r w:rsidRPr="00BC2061">
        <w:rPr>
          <w:rFonts w:ascii="Times New Roman" w:hAnsi="Times New Roman" w:cs="Times New Roman"/>
          <w:sz w:val="24"/>
          <w:szCs w:val="24"/>
        </w:rPr>
        <w:lastRenderedPageBreak/>
        <w:t>Las metodologías plantean que para el análisis estructural de la cimentación es necesario realizar los chequeos a flexión, cortante y punzonamiento. Debido a la distribución de acero, para el chequeo de la armadura circunferencial a flexión, los momentos actuantes tangenciales se determinan según J. Calavera (Calavera Ruiz, 2000). Al ser un proceso complejo de realizar manualmente se modeló la base de cimentación usándose el software STAADPro y así poder obtener estos valores.</w:t>
      </w:r>
    </w:p>
    <w:p w:rsidR="00BC2061" w:rsidRDefault="00BC2061" w:rsidP="00BC2061">
      <w:pPr>
        <w:tabs>
          <w:tab w:val="left" w:pos="1866"/>
        </w:tabs>
        <w:spacing w:after="0" w:line="360" w:lineRule="auto"/>
        <w:jc w:val="both"/>
        <w:rPr>
          <w:rFonts w:ascii="Times New Roman" w:hAnsi="Times New Roman" w:cs="Times New Roman"/>
          <w:sz w:val="24"/>
          <w:szCs w:val="24"/>
        </w:rPr>
      </w:pPr>
      <w:r w:rsidRPr="00BC2061">
        <w:rPr>
          <w:rFonts w:ascii="Times New Roman" w:hAnsi="Times New Roman" w:cs="Times New Roman"/>
          <w:sz w:val="24"/>
          <w:szCs w:val="24"/>
        </w:rPr>
        <w:t>A modo de resumen se exponen los resultados referidos a parámetros principales que definen la revisión de la armadura a flexión. En correspondencia con el cimiento circular se detallan las magnitudes en el sentido radial y circunferencial como se indican en la tabla 5. Referir que se calculó con y sin malla de refuerzo para analizar su aporte estructural.</w:t>
      </w:r>
    </w:p>
    <w:p w:rsidR="006A54BB" w:rsidRDefault="003A621E" w:rsidP="00FF3346">
      <w:pPr>
        <w:spacing w:after="0" w:line="360" w:lineRule="auto"/>
        <w:jc w:val="both"/>
        <w:rPr>
          <w:rFonts w:ascii="Times New Roman" w:hAnsi="Times New Roman" w:cs="Times New Roman"/>
          <w:sz w:val="24"/>
          <w:szCs w:val="24"/>
        </w:rPr>
      </w:pPr>
      <w:r w:rsidRPr="003A621E">
        <w:rPr>
          <w:rFonts w:ascii="Times New Roman" w:hAnsi="Times New Roman" w:cs="Times New Roman"/>
          <w:sz w:val="24"/>
          <w:szCs w:val="24"/>
        </w:rPr>
        <w:t>Tabla 5</w:t>
      </w:r>
      <w:r w:rsidR="002E4FD4">
        <w:rPr>
          <w:rFonts w:ascii="Times New Roman" w:hAnsi="Times New Roman" w:cs="Times New Roman"/>
          <w:sz w:val="24"/>
          <w:szCs w:val="24"/>
        </w:rPr>
        <w:t>.</w:t>
      </w:r>
      <w:r w:rsidRPr="003A621E">
        <w:rPr>
          <w:rFonts w:ascii="Times New Roman" w:hAnsi="Times New Roman" w:cs="Times New Roman"/>
          <w:sz w:val="24"/>
          <w:szCs w:val="24"/>
        </w:rPr>
        <w:t xml:space="preserve"> Momentos resistentes y actuantes en el sentido radial y circunferencial</w:t>
      </w:r>
      <w:r w:rsidR="00EE30AD">
        <w:rPr>
          <w:rFonts w:ascii="Times New Roman" w:hAnsi="Times New Roman" w:cs="Times New Roman"/>
          <w:sz w:val="24"/>
          <w:szCs w:val="24"/>
        </w:rPr>
        <w:t xml:space="preserve"> (Elaboración Propia)</w:t>
      </w:r>
      <w:r w:rsidRPr="003A621E">
        <w:rPr>
          <w:rFonts w:ascii="Times New Roman" w:hAnsi="Times New Roman" w:cs="Times New Roman"/>
          <w:sz w:val="24"/>
          <w:szCs w:val="24"/>
        </w:rPr>
        <w:t>.</w:t>
      </w:r>
    </w:p>
    <w:tbl>
      <w:tblPr>
        <w:tblStyle w:val="Tablaconcuadrcula"/>
        <w:tblW w:w="0" w:type="auto"/>
        <w:tblLook w:val="04A0" w:firstRow="1" w:lastRow="0" w:firstColumn="1" w:lastColumn="0" w:noHBand="0" w:noVBand="1"/>
      </w:tblPr>
      <w:tblGrid>
        <w:gridCol w:w="1709"/>
        <w:gridCol w:w="986"/>
        <w:gridCol w:w="1423"/>
        <w:gridCol w:w="1424"/>
        <w:gridCol w:w="1612"/>
        <w:gridCol w:w="1566"/>
      </w:tblGrid>
      <w:tr w:rsidR="003A621E" w:rsidRPr="003A621E" w:rsidTr="003A621E">
        <w:tc>
          <w:tcPr>
            <w:tcW w:w="8720" w:type="dxa"/>
            <w:gridSpan w:val="6"/>
            <w:tcBorders>
              <w:left w:val="nil"/>
              <w:bottom w:val="single" w:sz="4" w:space="0" w:color="auto"/>
              <w:right w:val="nil"/>
            </w:tcBorders>
            <w:shd w:val="clear" w:color="auto" w:fill="D9D9D9" w:themeFill="background1" w:themeFillShade="D9"/>
            <w:vAlign w:val="center"/>
          </w:tcPr>
          <w:p w:rsidR="003A621E" w:rsidRPr="003A621E" w:rsidRDefault="003A621E" w:rsidP="00E61E63">
            <w:pPr>
              <w:jc w:val="center"/>
              <w:rPr>
                <w:rFonts w:ascii="Times New Roman" w:hAnsi="Times New Roman" w:cs="Times New Roman"/>
                <w:b/>
                <w:sz w:val="24"/>
                <w:szCs w:val="24"/>
              </w:rPr>
            </w:pPr>
            <w:r w:rsidRPr="003A621E">
              <w:rPr>
                <w:rFonts w:ascii="Times New Roman" w:hAnsi="Times New Roman" w:cs="Times New Roman"/>
                <w:b/>
                <w:sz w:val="24"/>
                <w:szCs w:val="24"/>
              </w:rPr>
              <w:t>Armadura a flexión inferior</w:t>
            </w:r>
          </w:p>
        </w:tc>
      </w:tr>
      <w:tr w:rsidR="003A621E" w:rsidRPr="003A621E" w:rsidTr="003A621E">
        <w:tc>
          <w:tcPr>
            <w:tcW w:w="2695" w:type="dxa"/>
            <w:gridSpan w:val="2"/>
            <w:vMerge w:val="restart"/>
            <w:tcBorders>
              <w:left w:val="nil"/>
            </w:tcBorders>
            <w:shd w:val="clear" w:color="auto" w:fill="D9D9D9" w:themeFill="background1" w:themeFillShade="D9"/>
            <w:vAlign w:val="center"/>
          </w:tcPr>
          <w:p w:rsidR="003A621E" w:rsidRPr="003A621E" w:rsidRDefault="003A621E" w:rsidP="00E61E63">
            <w:pPr>
              <w:jc w:val="center"/>
              <w:rPr>
                <w:rFonts w:ascii="Times New Roman" w:hAnsi="Times New Roman" w:cs="Times New Roman"/>
                <w:b/>
                <w:sz w:val="24"/>
                <w:szCs w:val="24"/>
              </w:rPr>
            </w:pPr>
            <w:r w:rsidRPr="003A621E">
              <w:rPr>
                <w:rFonts w:ascii="Times New Roman" w:hAnsi="Times New Roman" w:cs="Times New Roman"/>
                <w:b/>
                <w:sz w:val="24"/>
                <w:szCs w:val="24"/>
              </w:rPr>
              <w:t>Dirección</w:t>
            </w:r>
          </w:p>
        </w:tc>
        <w:tc>
          <w:tcPr>
            <w:tcW w:w="2847" w:type="dxa"/>
            <w:gridSpan w:val="2"/>
            <w:shd w:val="clear" w:color="auto" w:fill="D9D9D9" w:themeFill="background1" w:themeFillShade="D9"/>
            <w:vAlign w:val="center"/>
          </w:tcPr>
          <w:p w:rsidR="003A621E" w:rsidRPr="003A621E" w:rsidRDefault="003A621E" w:rsidP="00E61E63">
            <w:pPr>
              <w:jc w:val="center"/>
              <w:rPr>
                <w:rFonts w:ascii="Times New Roman" w:hAnsi="Times New Roman" w:cs="Times New Roman"/>
                <w:b/>
                <w:sz w:val="24"/>
                <w:szCs w:val="24"/>
              </w:rPr>
            </w:pPr>
            <w:r w:rsidRPr="003A621E">
              <w:rPr>
                <w:rFonts w:ascii="Times New Roman" w:hAnsi="Times New Roman" w:cs="Times New Roman"/>
                <w:b/>
                <w:sz w:val="24"/>
                <w:szCs w:val="24"/>
              </w:rPr>
              <w:t>EHE:08</w:t>
            </w:r>
          </w:p>
        </w:tc>
        <w:tc>
          <w:tcPr>
            <w:tcW w:w="3178" w:type="dxa"/>
            <w:gridSpan w:val="2"/>
            <w:tcBorders>
              <w:right w:val="nil"/>
            </w:tcBorders>
            <w:shd w:val="clear" w:color="auto" w:fill="D9D9D9" w:themeFill="background1" w:themeFillShade="D9"/>
            <w:vAlign w:val="center"/>
          </w:tcPr>
          <w:p w:rsidR="003A621E" w:rsidRPr="003A621E" w:rsidRDefault="003A621E" w:rsidP="00E61E63">
            <w:pPr>
              <w:jc w:val="center"/>
              <w:rPr>
                <w:rFonts w:ascii="Times New Roman" w:hAnsi="Times New Roman" w:cs="Times New Roman"/>
                <w:b/>
                <w:sz w:val="24"/>
                <w:szCs w:val="24"/>
              </w:rPr>
            </w:pPr>
            <w:r w:rsidRPr="003A621E">
              <w:rPr>
                <w:rFonts w:ascii="Times New Roman" w:hAnsi="Times New Roman" w:cs="Times New Roman"/>
                <w:b/>
                <w:sz w:val="24"/>
                <w:szCs w:val="24"/>
              </w:rPr>
              <w:t>NC 207:2019</w:t>
            </w:r>
          </w:p>
        </w:tc>
      </w:tr>
      <w:tr w:rsidR="003A621E" w:rsidRPr="003A621E" w:rsidTr="003A621E">
        <w:tc>
          <w:tcPr>
            <w:tcW w:w="2695" w:type="dxa"/>
            <w:gridSpan w:val="2"/>
            <w:vMerge/>
            <w:tcBorders>
              <w:left w:val="nil"/>
              <w:bottom w:val="single" w:sz="4" w:space="0" w:color="auto"/>
            </w:tcBorders>
            <w:vAlign w:val="center"/>
          </w:tcPr>
          <w:p w:rsidR="003A621E" w:rsidRPr="003A621E" w:rsidRDefault="003A621E" w:rsidP="00E61E63">
            <w:pPr>
              <w:jc w:val="center"/>
              <w:rPr>
                <w:rFonts w:ascii="Times New Roman" w:hAnsi="Times New Roman" w:cs="Times New Roman"/>
                <w:sz w:val="24"/>
                <w:szCs w:val="24"/>
              </w:rPr>
            </w:pPr>
          </w:p>
        </w:tc>
        <w:tc>
          <w:tcPr>
            <w:tcW w:w="1423" w:type="dxa"/>
            <w:tcBorders>
              <w:bottom w:val="single" w:sz="4" w:space="0" w:color="auto"/>
            </w:tcBorders>
            <w:shd w:val="clear" w:color="auto" w:fill="D9D9D9" w:themeFill="background1" w:themeFillShade="D9"/>
            <w:vAlign w:val="center"/>
          </w:tcPr>
          <w:p w:rsidR="003A621E" w:rsidRPr="003A621E" w:rsidRDefault="00837323" w:rsidP="00E61E63">
            <w:pPr>
              <w:jc w:val="center"/>
              <w:rPr>
                <w:rFonts w:ascii="Times New Roman" w:hAnsi="Times New Roman" w:cs="Times New Roman"/>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u</m:t>
                  </m:r>
                </m:sub>
              </m:sSub>
            </m:oMath>
            <w:r w:rsidR="003A621E" w:rsidRPr="003A621E">
              <w:rPr>
                <w:rFonts w:ascii="Times New Roman" w:eastAsiaTheme="minorEastAsia" w:hAnsi="Times New Roman" w:cs="Times New Roman"/>
                <w:bCs/>
                <w:sz w:val="24"/>
                <w:szCs w:val="24"/>
              </w:rPr>
              <w:t>(kNm/m)</w:t>
            </w:r>
          </w:p>
        </w:tc>
        <w:tc>
          <w:tcPr>
            <w:tcW w:w="1424" w:type="dxa"/>
            <w:tcBorders>
              <w:bottom w:val="single" w:sz="4" w:space="0" w:color="auto"/>
            </w:tcBorders>
            <w:shd w:val="clear" w:color="auto" w:fill="D9D9D9" w:themeFill="background1" w:themeFillShade="D9"/>
            <w:vAlign w:val="center"/>
          </w:tcPr>
          <w:p w:rsidR="003A621E" w:rsidRPr="003A621E" w:rsidRDefault="00837323" w:rsidP="00E61E63">
            <w:pPr>
              <w:jc w:val="center"/>
              <w:rPr>
                <w:rFonts w:ascii="Times New Roman" w:hAnsi="Times New Roman" w:cs="Times New Roman"/>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d</m:t>
                  </m:r>
                </m:sub>
              </m:sSub>
            </m:oMath>
            <w:r w:rsidR="003A621E" w:rsidRPr="003A621E">
              <w:rPr>
                <w:rFonts w:ascii="Times New Roman" w:eastAsiaTheme="minorEastAsia" w:hAnsi="Times New Roman" w:cs="Times New Roman"/>
                <w:bCs/>
                <w:sz w:val="24"/>
                <w:szCs w:val="24"/>
              </w:rPr>
              <w:t>(kNm/m)</w:t>
            </w:r>
          </w:p>
        </w:tc>
        <w:tc>
          <w:tcPr>
            <w:tcW w:w="1612" w:type="dxa"/>
            <w:tcBorders>
              <w:bottom w:val="single" w:sz="4" w:space="0" w:color="auto"/>
            </w:tcBorders>
            <w:shd w:val="clear" w:color="auto" w:fill="D9D9D9" w:themeFill="background1" w:themeFillShade="D9"/>
            <w:vAlign w:val="center"/>
          </w:tcPr>
          <w:p w:rsidR="003A621E" w:rsidRPr="003A621E" w:rsidRDefault="00837323" w:rsidP="00E61E63">
            <w:pPr>
              <w:jc w:val="center"/>
              <w:rPr>
                <w:rFonts w:ascii="Times New Roman" w:hAnsi="Times New Roman" w:cs="Times New Roman"/>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n</m:t>
                  </m:r>
                </m:sub>
              </m:sSub>
            </m:oMath>
            <w:r w:rsidR="003A621E" w:rsidRPr="003A621E">
              <w:rPr>
                <w:rFonts w:ascii="Times New Roman" w:eastAsiaTheme="minorEastAsia" w:hAnsi="Times New Roman" w:cs="Times New Roman"/>
                <w:bCs/>
                <w:sz w:val="24"/>
                <w:szCs w:val="24"/>
              </w:rPr>
              <w:t>(kNm/m)</w:t>
            </w:r>
          </w:p>
        </w:tc>
        <w:tc>
          <w:tcPr>
            <w:tcW w:w="1566" w:type="dxa"/>
            <w:tcBorders>
              <w:bottom w:val="single" w:sz="4" w:space="0" w:color="auto"/>
              <w:right w:val="nil"/>
            </w:tcBorders>
            <w:shd w:val="clear" w:color="auto" w:fill="D9D9D9" w:themeFill="background1" w:themeFillShade="D9"/>
            <w:vAlign w:val="center"/>
          </w:tcPr>
          <w:p w:rsidR="003A621E" w:rsidRPr="003A621E" w:rsidRDefault="00837323" w:rsidP="00E61E63">
            <w:pPr>
              <w:jc w:val="center"/>
              <w:rPr>
                <w:rFonts w:ascii="Times New Roman" w:hAnsi="Times New Roman" w:cs="Times New Roman"/>
                <w:sz w:val="24"/>
                <w:szCs w:val="24"/>
              </w:rPr>
            </w:pPr>
            <m:oMath>
              <m:sSub>
                <m:sSubPr>
                  <m:ctrlPr>
                    <w:rPr>
                      <w:rFonts w:ascii="Cambria Math" w:eastAsiaTheme="minorEastAsia" w:hAnsi="Cambria Math" w:cs="Times New Roman"/>
                      <w:bCs/>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u</m:t>
                  </m:r>
                </m:sub>
              </m:sSub>
            </m:oMath>
            <w:r w:rsidR="003A621E" w:rsidRPr="003A621E">
              <w:rPr>
                <w:rFonts w:ascii="Times New Roman" w:eastAsiaTheme="minorEastAsia" w:hAnsi="Times New Roman" w:cs="Times New Roman"/>
                <w:bCs/>
                <w:sz w:val="24"/>
                <w:szCs w:val="24"/>
              </w:rPr>
              <w:t>(kNm/m)</w:t>
            </w:r>
          </w:p>
        </w:tc>
      </w:tr>
      <w:tr w:rsidR="003A621E" w:rsidRPr="003A621E" w:rsidTr="003A621E">
        <w:tc>
          <w:tcPr>
            <w:tcW w:w="1709" w:type="dxa"/>
            <w:vMerge w:val="restart"/>
            <w:tcBorders>
              <w:top w:val="single" w:sz="4" w:space="0" w:color="auto"/>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w:r w:rsidRPr="003A621E">
              <w:rPr>
                <w:rFonts w:ascii="Times New Roman" w:hAnsi="Times New Roman" w:cs="Times New Roman"/>
                <w:sz w:val="24"/>
                <w:szCs w:val="24"/>
              </w:rPr>
              <w:t>Radial</w:t>
            </w:r>
          </w:p>
        </w:tc>
        <w:tc>
          <w:tcPr>
            <w:tcW w:w="986" w:type="dxa"/>
            <w:tcBorders>
              <w:top w:val="single" w:sz="4" w:space="0" w:color="auto"/>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w:r w:rsidRPr="003A621E">
              <w:rPr>
                <w:rFonts w:ascii="Times New Roman" w:hAnsi="Times New Roman" w:cs="Times New Roman"/>
                <w:sz w:val="24"/>
                <w:szCs w:val="24"/>
              </w:rPr>
              <w:t>Con malla</w:t>
            </w:r>
          </w:p>
        </w:tc>
        <w:tc>
          <w:tcPr>
            <w:tcW w:w="1423" w:type="dxa"/>
            <w:tcBorders>
              <w:top w:val="single" w:sz="4" w:space="0" w:color="auto"/>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7810,33</m:t>
                </m:r>
              </m:oMath>
            </m:oMathPara>
          </w:p>
        </w:tc>
        <w:tc>
          <w:tcPr>
            <w:tcW w:w="1424" w:type="dxa"/>
            <w:vMerge w:val="restart"/>
            <w:tcBorders>
              <w:top w:val="single" w:sz="4" w:space="0" w:color="auto"/>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2277,09</m:t>
                </m:r>
              </m:oMath>
            </m:oMathPara>
          </w:p>
        </w:tc>
        <w:tc>
          <w:tcPr>
            <w:tcW w:w="1612" w:type="dxa"/>
            <w:tcBorders>
              <w:top w:val="single" w:sz="4" w:space="0" w:color="auto"/>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7130,28</m:t>
                </m:r>
              </m:oMath>
            </m:oMathPara>
          </w:p>
        </w:tc>
        <w:tc>
          <w:tcPr>
            <w:tcW w:w="1566" w:type="dxa"/>
            <w:vMerge w:val="restart"/>
            <w:tcBorders>
              <w:top w:val="single" w:sz="4" w:space="0" w:color="auto"/>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1280,02</m:t>
                </m:r>
              </m:oMath>
            </m:oMathPara>
          </w:p>
        </w:tc>
      </w:tr>
      <w:tr w:rsidR="003A621E" w:rsidRPr="003A621E" w:rsidTr="003A621E">
        <w:tc>
          <w:tcPr>
            <w:tcW w:w="1709" w:type="dxa"/>
            <w:vMerge/>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w:p>
        </w:tc>
        <w:tc>
          <w:tcPr>
            <w:tcW w:w="986" w:type="dxa"/>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w:r w:rsidRPr="003A621E">
              <w:rPr>
                <w:rFonts w:ascii="Times New Roman" w:hAnsi="Times New Roman" w:cs="Times New Roman"/>
                <w:sz w:val="24"/>
                <w:szCs w:val="24"/>
              </w:rPr>
              <w:t>Sin malla</w:t>
            </w:r>
          </w:p>
        </w:tc>
        <w:tc>
          <w:tcPr>
            <w:tcW w:w="1423" w:type="dxa"/>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6025,81</m:t>
                </m:r>
              </m:oMath>
            </m:oMathPara>
          </w:p>
        </w:tc>
        <w:tc>
          <w:tcPr>
            <w:tcW w:w="1424" w:type="dxa"/>
            <w:vMerge/>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w:p>
        </w:tc>
        <w:tc>
          <w:tcPr>
            <w:tcW w:w="1612" w:type="dxa"/>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4908,76</m:t>
                </m:r>
              </m:oMath>
            </m:oMathPara>
          </w:p>
        </w:tc>
        <w:tc>
          <w:tcPr>
            <w:tcW w:w="1566" w:type="dxa"/>
            <w:vMerge/>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w:p>
        </w:tc>
      </w:tr>
      <w:tr w:rsidR="003A621E" w:rsidRPr="003A621E" w:rsidTr="003A621E">
        <w:tc>
          <w:tcPr>
            <w:tcW w:w="1709" w:type="dxa"/>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w:r w:rsidRPr="003A621E">
              <w:rPr>
                <w:rFonts w:ascii="Times New Roman" w:hAnsi="Times New Roman" w:cs="Times New Roman"/>
                <w:sz w:val="24"/>
                <w:szCs w:val="24"/>
              </w:rPr>
              <w:t>Circunferencial</w:t>
            </w:r>
          </w:p>
        </w:tc>
        <w:tc>
          <w:tcPr>
            <w:tcW w:w="986" w:type="dxa"/>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w:r w:rsidRPr="003A621E">
              <w:rPr>
                <w:rFonts w:ascii="Times New Roman" w:hAnsi="Times New Roman" w:cs="Times New Roman"/>
                <w:sz w:val="24"/>
                <w:szCs w:val="24"/>
              </w:rPr>
              <w:t>Con malla</w:t>
            </w:r>
          </w:p>
        </w:tc>
        <w:tc>
          <w:tcPr>
            <w:tcW w:w="1423" w:type="dxa"/>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4421,54</m:t>
                </m:r>
              </m:oMath>
            </m:oMathPara>
          </w:p>
        </w:tc>
        <w:tc>
          <w:tcPr>
            <w:tcW w:w="1424" w:type="dxa"/>
            <w:vMerge w:val="restart"/>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586,37</m:t>
                </m:r>
              </m:oMath>
            </m:oMathPara>
          </w:p>
        </w:tc>
        <w:tc>
          <w:tcPr>
            <w:tcW w:w="1612" w:type="dxa"/>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5142,67</m:t>
                </m:r>
              </m:oMath>
            </m:oMathPara>
          </w:p>
        </w:tc>
        <w:tc>
          <w:tcPr>
            <w:tcW w:w="1566" w:type="dxa"/>
            <w:vMerge w:val="restart"/>
            <w:tcBorders>
              <w:top w:val="nil"/>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567,572</m:t>
                </m:r>
              </m:oMath>
            </m:oMathPara>
          </w:p>
        </w:tc>
      </w:tr>
      <w:tr w:rsidR="003A621E" w:rsidRPr="003A621E" w:rsidTr="003A621E">
        <w:tc>
          <w:tcPr>
            <w:tcW w:w="1709" w:type="dxa"/>
            <w:tcBorders>
              <w:top w:val="nil"/>
              <w:left w:val="nil"/>
              <w:bottom w:val="single" w:sz="4" w:space="0" w:color="auto"/>
              <w:right w:val="nil"/>
            </w:tcBorders>
            <w:vAlign w:val="center"/>
          </w:tcPr>
          <w:p w:rsidR="003A621E" w:rsidRPr="003A621E" w:rsidRDefault="003A621E" w:rsidP="00E61E63">
            <w:pPr>
              <w:jc w:val="center"/>
              <w:rPr>
                <w:rFonts w:ascii="Times New Roman" w:hAnsi="Times New Roman" w:cs="Times New Roman"/>
                <w:sz w:val="24"/>
                <w:szCs w:val="24"/>
              </w:rPr>
            </w:pPr>
          </w:p>
        </w:tc>
        <w:tc>
          <w:tcPr>
            <w:tcW w:w="986" w:type="dxa"/>
            <w:tcBorders>
              <w:top w:val="nil"/>
              <w:left w:val="nil"/>
              <w:bottom w:val="single" w:sz="4" w:space="0" w:color="auto"/>
              <w:right w:val="nil"/>
            </w:tcBorders>
            <w:vAlign w:val="center"/>
          </w:tcPr>
          <w:p w:rsidR="003A621E" w:rsidRPr="003A621E" w:rsidRDefault="003A621E" w:rsidP="00E61E63">
            <w:pPr>
              <w:jc w:val="center"/>
              <w:rPr>
                <w:rFonts w:ascii="Times New Roman" w:hAnsi="Times New Roman" w:cs="Times New Roman"/>
                <w:sz w:val="24"/>
                <w:szCs w:val="24"/>
              </w:rPr>
            </w:pPr>
            <w:r w:rsidRPr="003A621E">
              <w:rPr>
                <w:rFonts w:ascii="Times New Roman" w:hAnsi="Times New Roman" w:cs="Times New Roman"/>
                <w:sz w:val="24"/>
                <w:szCs w:val="24"/>
              </w:rPr>
              <w:t>Sin malla</w:t>
            </w:r>
          </w:p>
        </w:tc>
        <w:tc>
          <w:tcPr>
            <w:tcW w:w="1423" w:type="dxa"/>
            <w:tcBorders>
              <w:top w:val="nil"/>
              <w:left w:val="nil"/>
              <w:bottom w:val="single" w:sz="4" w:space="0" w:color="auto"/>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2554,23</m:t>
                </m:r>
              </m:oMath>
            </m:oMathPara>
          </w:p>
        </w:tc>
        <w:tc>
          <w:tcPr>
            <w:tcW w:w="1424" w:type="dxa"/>
            <w:vMerge/>
            <w:tcBorders>
              <w:top w:val="nil"/>
              <w:left w:val="nil"/>
              <w:bottom w:val="single" w:sz="4" w:space="0" w:color="auto"/>
              <w:right w:val="nil"/>
            </w:tcBorders>
            <w:vAlign w:val="center"/>
          </w:tcPr>
          <w:p w:rsidR="003A621E" w:rsidRPr="003A621E" w:rsidRDefault="003A621E" w:rsidP="00E61E63">
            <w:pPr>
              <w:jc w:val="center"/>
              <w:rPr>
                <w:rFonts w:ascii="Times New Roman" w:hAnsi="Times New Roman" w:cs="Times New Roman"/>
                <w:sz w:val="24"/>
                <w:szCs w:val="24"/>
              </w:rPr>
            </w:pPr>
          </w:p>
        </w:tc>
        <w:tc>
          <w:tcPr>
            <w:tcW w:w="1612" w:type="dxa"/>
            <w:tcBorders>
              <w:top w:val="nil"/>
              <w:left w:val="nil"/>
              <w:bottom w:val="single" w:sz="4" w:space="0" w:color="auto"/>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2954,39</m:t>
                </m:r>
              </m:oMath>
            </m:oMathPara>
          </w:p>
        </w:tc>
        <w:tc>
          <w:tcPr>
            <w:tcW w:w="1566" w:type="dxa"/>
            <w:vMerge/>
            <w:tcBorders>
              <w:top w:val="nil"/>
              <w:left w:val="nil"/>
              <w:bottom w:val="single" w:sz="4" w:space="0" w:color="auto"/>
              <w:right w:val="nil"/>
            </w:tcBorders>
            <w:vAlign w:val="center"/>
          </w:tcPr>
          <w:p w:rsidR="003A621E" w:rsidRPr="003A621E" w:rsidRDefault="003A621E" w:rsidP="00E61E63">
            <w:pPr>
              <w:jc w:val="center"/>
              <w:rPr>
                <w:rFonts w:ascii="Times New Roman" w:hAnsi="Times New Roman" w:cs="Times New Roman"/>
                <w:sz w:val="24"/>
                <w:szCs w:val="24"/>
              </w:rPr>
            </w:pPr>
          </w:p>
        </w:tc>
      </w:tr>
      <w:tr w:rsidR="003A621E" w:rsidRPr="003A621E" w:rsidTr="003A621E">
        <w:tc>
          <w:tcPr>
            <w:tcW w:w="8720" w:type="dxa"/>
            <w:gridSpan w:val="6"/>
            <w:tcBorders>
              <w:top w:val="single" w:sz="4" w:space="0" w:color="auto"/>
              <w:left w:val="nil"/>
              <w:bottom w:val="single" w:sz="4" w:space="0" w:color="auto"/>
              <w:right w:val="nil"/>
            </w:tcBorders>
            <w:shd w:val="clear" w:color="auto" w:fill="D9D9D9" w:themeFill="background1" w:themeFillShade="D9"/>
            <w:vAlign w:val="center"/>
          </w:tcPr>
          <w:p w:rsidR="003A621E" w:rsidRPr="003A621E" w:rsidRDefault="003A621E" w:rsidP="00E61E63">
            <w:pPr>
              <w:jc w:val="center"/>
              <w:rPr>
                <w:rFonts w:ascii="Times New Roman" w:hAnsi="Times New Roman" w:cs="Times New Roman"/>
                <w:b/>
                <w:sz w:val="24"/>
                <w:szCs w:val="24"/>
              </w:rPr>
            </w:pPr>
            <w:r w:rsidRPr="003A621E">
              <w:rPr>
                <w:rFonts w:ascii="Times New Roman" w:hAnsi="Times New Roman" w:cs="Times New Roman"/>
                <w:b/>
                <w:sz w:val="24"/>
                <w:szCs w:val="24"/>
              </w:rPr>
              <w:t>Armadura a flexión superior</w:t>
            </w:r>
          </w:p>
        </w:tc>
      </w:tr>
      <w:tr w:rsidR="003A621E" w:rsidRPr="003A621E" w:rsidTr="003A621E">
        <w:tc>
          <w:tcPr>
            <w:tcW w:w="2695" w:type="dxa"/>
            <w:gridSpan w:val="2"/>
            <w:tcBorders>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w:r w:rsidRPr="003A621E">
              <w:rPr>
                <w:rFonts w:ascii="Times New Roman" w:hAnsi="Times New Roman" w:cs="Times New Roman"/>
                <w:sz w:val="24"/>
                <w:szCs w:val="24"/>
              </w:rPr>
              <w:t>Radial</w:t>
            </w:r>
          </w:p>
        </w:tc>
        <w:tc>
          <w:tcPr>
            <w:tcW w:w="1423" w:type="dxa"/>
            <w:tcBorders>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6025,81</m:t>
                </m:r>
              </m:oMath>
            </m:oMathPara>
          </w:p>
        </w:tc>
        <w:tc>
          <w:tcPr>
            <w:tcW w:w="1424" w:type="dxa"/>
            <w:tcBorders>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hAnsi="Cambria Math" w:cs="Times New Roman"/>
                    <w:sz w:val="24"/>
                    <w:szCs w:val="24"/>
                  </w:rPr>
                  <m:t>1014,59</m:t>
                </m:r>
              </m:oMath>
            </m:oMathPara>
          </w:p>
        </w:tc>
        <w:tc>
          <w:tcPr>
            <w:tcW w:w="1612" w:type="dxa"/>
            <w:tcBorders>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4908,76</m:t>
                </m:r>
              </m:oMath>
            </m:oMathPara>
          </w:p>
        </w:tc>
        <w:tc>
          <w:tcPr>
            <w:tcW w:w="1566" w:type="dxa"/>
            <w:tcBorders>
              <w:left w:val="nil"/>
              <w:bottom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551,02</m:t>
                </m:r>
              </m:oMath>
            </m:oMathPara>
          </w:p>
        </w:tc>
      </w:tr>
      <w:tr w:rsidR="003A621E" w:rsidRPr="003A621E" w:rsidTr="003A621E">
        <w:tc>
          <w:tcPr>
            <w:tcW w:w="2695" w:type="dxa"/>
            <w:gridSpan w:val="2"/>
            <w:tcBorders>
              <w:top w:val="nil"/>
              <w:left w:val="nil"/>
              <w:right w:val="nil"/>
            </w:tcBorders>
            <w:vAlign w:val="center"/>
          </w:tcPr>
          <w:p w:rsidR="003A621E" w:rsidRPr="003A621E" w:rsidRDefault="003A621E" w:rsidP="00E61E63">
            <w:pPr>
              <w:jc w:val="center"/>
              <w:rPr>
                <w:rFonts w:ascii="Times New Roman" w:hAnsi="Times New Roman" w:cs="Times New Roman"/>
                <w:sz w:val="24"/>
                <w:szCs w:val="24"/>
              </w:rPr>
            </w:pPr>
            <w:r w:rsidRPr="003A621E">
              <w:rPr>
                <w:rFonts w:ascii="Times New Roman" w:hAnsi="Times New Roman" w:cs="Times New Roman"/>
                <w:sz w:val="24"/>
                <w:szCs w:val="24"/>
              </w:rPr>
              <w:t>Circunferencial</w:t>
            </w:r>
          </w:p>
        </w:tc>
        <w:tc>
          <w:tcPr>
            <w:tcW w:w="1423" w:type="dxa"/>
            <w:tcBorders>
              <w:top w:val="nil"/>
              <w:left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2554,23</m:t>
                </m:r>
              </m:oMath>
            </m:oMathPara>
          </w:p>
        </w:tc>
        <w:tc>
          <w:tcPr>
            <w:tcW w:w="1424" w:type="dxa"/>
            <w:tcBorders>
              <w:top w:val="nil"/>
              <w:left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hAnsi="Cambria Math" w:cs="Times New Roman"/>
                    <w:sz w:val="24"/>
                    <w:szCs w:val="24"/>
                  </w:rPr>
                  <m:t>185,26</m:t>
                </m:r>
              </m:oMath>
            </m:oMathPara>
          </w:p>
        </w:tc>
        <w:tc>
          <w:tcPr>
            <w:tcW w:w="1612" w:type="dxa"/>
            <w:tcBorders>
              <w:top w:val="nil"/>
              <w:left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2954,39</m:t>
                </m:r>
              </m:oMath>
            </m:oMathPara>
          </w:p>
        </w:tc>
        <w:tc>
          <w:tcPr>
            <w:tcW w:w="1566" w:type="dxa"/>
            <w:tcBorders>
              <w:top w:val="nil"/>
              <w:left w:val="nil"/>
              <w:right w:val="nil"/>
            </w:tcBorders>
            <w:vAlign w:val="center"/>
          </w:tcPr>
          <w:p w:rsidR="003A621E" w:rsidRPr="003A621E" w:rsidRDefault="003A621E" w:rsidP="00E61E63">
            <w:pPr>
              <w:jc w:val="center"/>
              <w:rPr>
                <w:rFonts w:ascii="Times New Roman" w:hAnsi="Times New Roman" w:cs="Times New Roman"/>
                <w:sz w:val="24"/>
                <w:szCs w:val="24"/>
              </w:rPr>
            </w:pPr>
            <m:oMathPara>
              <m:oMath>
                <m:r>
                  <w:rPr>
                    <w:rFonts w:ascii="Cambria Math" w:eastAsiaTheme="minorEastAsia" w:hAnsi="Cambria Math" w:cs="Times New Roman"/>
                    <w:sz w:val="24"/>
                    <w:szCs w:val="24"/>
                  </w:rPr>
                  <m:t>154,098</m:t>
                </m:r>
              </m:oMath>
            </m:oMathPara>
          </w:p>
        </w:tc>
      </w:tr>
    </w:tbl>
    <w:p w:rsidR="003A621E" w:rsidRDefault="003A621E" w:rsidP="00EE30AD">
      <w:pPr>
        <w:spacing w:before="120" w:after="0" w:line="360" w:lineRule="auto"/>
        <w:jc w:val="both"/>
        <w:rPr>
          <w:rFonts w:ascii="Times New Roman" w:hAnsi="Times New Roman" w:cs="Times New Roman"/>
          <w:sz w:val="24"/>
          <w:szCs w:val="24"/>
        </w:rPr>
      </w:pPr>
      <w:r w:rsidRPr="003A621E">
        <w:rPr>
          <w:rFonts w:ascii="Times New Roman" w:hAnsi="Times New Roman" w:cs="Times New Roman"/>
          <w:sz w:val="24"/>
          <w:szCs w:val="24"/>
        </w:rPr>
        <w:t xml:space="preserve">Se comprueban diferencias entre las magnitudes de los momentos resistentes en relación a los momentos actuantes, tanto en el sentido radial como en el circunferencial, siguiéndose el criterio de ambas normativas. Se fundamenta en el hecho de que la capacidad mecánica tanto del acero como del hormigón es notable para la solución </w:t>
      </w:r>
      <w:r>
        <w:rPr>
          <w:rFonts w:ascii="Times New Roman" w:hAnsi="Times New Roman" w:cs="Times New Roman"/>
          <w:sz w:val="24"/>
          <w:szCs w:val="24"/>
        </w:rPr>
        <w:t xml:space="preserve">en </w:t>
      </w:r>
      <w:r w:rsidRPr="003A621E">
        <w:rPr>
          <w:rFonts w:ascii="Times New Roman" w:hAnsi="Times New Roman" w:cs="Times New Roman"/>
          <w:sz w:val="24"/>
          <w:szCs w:val="24"/>
        </w:rPr>
        <w:t>estudio. Los cálculos demuestran que estos valores de momentos resistentes oscilan entre un 8 y un 10 % tanto para un armado como para otro y en dependencia de la normativa empleada, indica que el uso de la malla ortogonal no es necesario estructuralmente pues el armado radial y circunferencial es suficiente para garantizar la resistencia de esta cimentación.</w:t>
      </w:r>
    </w:p>
    <w:p w:rsidR="003A621E" w:rsidRPr="003A621E" w:rsidRDefault="003A621E" w:rsidP="003A621E">
      <w:pPr>
        <w:spacing w:after="0" w:line="360" w:lineRule="auto"/>
        <w:jc w:val="both"/>
        <w:rPr>
          <w:rFonts w:ascii="Times New Roman" w:hAnsi="Times New Roman" w:cs="Times New Roman"/>
          <w:sz w:val="24"/>
          <w:szCs w:val="24"/>
        </w:rPr>
      </w:pPr>
      <w:r w:rsidRPr="003A621E">
        <w:rPr>
          <w:rFonts w:ascii="Times New Roman" w:hAnsi="Times New Roman" w:cs="Times New Roman"/>
          <w:sz w:val="24"/>
          <w:szCs w:val="24"/>
        </w:rPr>
        <w:lastRenderedPageBreak/>
        <w:t>Debido a las holguras existentes entre los momentos resistentes y los actuantes, se decide determinar las áreas mínimas mecánicas para comprobar cuál es el criterio que gobierna en el diseño. Para este chequeo se deben verificar las áreas de acero tanto inferior como superior según lo establecido en las normativas analizadas, aclarándose que se hace una verificación con la norma cubana NC 207:2003 que estaba vigente cuando estuvo en vías de aprobación el proyecto de los aerogeneradores que se analiza.</w:t>
      </w:r>
    </w:p>
    <w:p w:rsidR="003A621E" w:rsidRDefault="003A621E" w:rsidP="003A621E">
      <w:pPr>
        <w:spacing w:after="0" w:line="360" w:lineRule="auto"/>
        <w:jc w:val="both"/>
        <w:rPr>
          <w:rFonts w:ascii="Times New Roman" w:hAnsi="Times New Roman" w:cs="Times New Roman"/>
          <w:sz w:val="24"/>
          <w:szCs w:val="24"/>
        </w:rPr>
      </w:pPr>
      <w:r w:rsidRPr="003A621E">
        <w:rPr>
          <w:rFonts w:ascii="Times New Roman" w:hAnsi="Times New Roman" w:cs="Times New Roman"/>
          <w:sz w:val="24"/>
          <w:szCs w:val="24"/>
        </w:rPr>
        <w:t>Al comparar los resultados de la norma española EHE:08 y la cubana NC: 207:2003 con el área real perteneciente a la armadura inferior, se verifica que se cumple con las áreas mínimas establecidas por estas normas por lo que se puede plantear que el cálculo de la armadura se define por el criterio a flexión. No ocurre así cuando se compara estas mismas áreas con las mínimas calculadas por la norma vigente NC: 207: 2019.</w:t>
      </w:r>
    </w:p>
    <w:p w:rsidR="003A621E" w:rsidRDefault="003A621E" w:rsidP="003A621E">
      <w:pPr>
        <w:spacing w:after="0" w:line="360" w:lineRule="auto"/>
        <w:jc w:val="both"/>
        <w:rPr>
          <w:rFonts w:ascii="Times New Roman" w:hAnsi="Times New Roman" w:cs="Times New Roman"/>
          <w:sz w:val="24"/>
          <w:szCs w:val="24"/>
        </w:rPr>
      </w:pPr>
      <w:r w:rsidRPr="003A621E">
        <w:rPr>
          <w:rFonts w:ascii="Times New Roman" w:hAnsi="Times New Roman" w:cs="Times New Roman"/>
          <w:sz w:val="24"/>
          <w:szCs w:val="24"/>
        </w:rPr>
        <w:t>De lo anterior, al no justificarse estas armaduras por cálculo se evidencia que otros son los factores que no se han tenido en cuenta en la realización de este trabajo. Tal es el caso del efecto dinámico que acercaría los resultados a lo que ocurre en la estructura de cimentación del aerogenerador durante su funcionamiento a partir de la acción de los vientos extremos con componente dinámica notable debido a la variación de velocidades y la aparición de turbulencias y aceleraciones que generan fueras de inercia.</w:t>
      </w:r>
    </w:p>
    <w:p w:rsidR="003A621E" w:rsidRDefault="003A621E" w:rsidP="003A621E">
      <w:pPr>
        <w:spacing w:after="0" w:line="360" w:lineRule="auto"/>
        <w:jc w:val="both"/>
        <w:rPr>
          <w:rFonts w:ascii="Times New Roman" w:hAnsi="Times New Roman" w:cs="Times New Roman"/>
          <w:sz w:val="24"/>
          <w:szCs w:val="24"/>
        </w:rPr>
      </w:pPr>
      <w:r w:rsidRPr="003A621E">
        <w:rPr>
          <w:rFonts w:ascii="Times New Roman" w:hAnsi="Times New Roman" w:cs="Times New Roman"/>
          <w:sz w:val="24"/>
          <w:szCs w:val="24"/>
        </w:rPr>
        <w:t>Los resultados del chequeo al cortante y al punzonamiento difieren de una norma. Uno de los factores que incide es la posición de la sección crítica, mientras más cerca se encuentra del fuste (la cubana) hay un incremento de las tensiones resistentes e incide el incremento del peralto hacia esa posición.</w:t>
      </w:r>
    </w:p>
    <w:p w:rsidR="0014771E" w:rsidRDefault="0014771E" w:rsidP="003A621E">
      <w:pPr>
        <w:spacing w:after="0" w:line="360" w:lineRule="auto"/>
        <w:jc w:val="both"/>
        <w:rPr>
          <w:rFonts w:ascii="Times New Roman" w:hAnsi="Times New Roman" w:cs="Times New Roman"/>
          <w:sz w:val="24"/>
          <w:szCs w:val="24"/>
        </w:rPr>
      </w:pPr>
      <w:r w:rsidRPr="0014771E">
        <w:rPr>
          <w:rFonts w:ascii="Times New Roman" w:hAnsi="Times New Roman" w:cs="Times New Roman"/>
          <w:sz w:val="24"/>
          <w:szCs w:val="24"/>
        </w:rPr>
        <w:t>Desde la revisión estructural se puede predecir si la solución de cimentación se adecua a las condiciones de emplazamiento con racionalidad. Para ello se constata que, de las comprobaciones realizadas a las armaduras por proyecto según las normativas analizadas, se cumplen con los criterios a flexión, cortante y punzonamiento.</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3F607F" w:rsidRDefault="004A6A72" w:rsidP="004A6A72">
      <w:pPr>
        <w:spacing w:after="0" w:line="360" w:lineRule="auto"/>
        <w:jc w:val="both"/>
        <w:rPr>
          <w:rFonts w:ascii="Times New Roman" w:hAnsi="Times New Roman" w:cs="Times New Roman"/>
          <w:sz w:val="24"/>
          <w:szCs w:val="24"/>
        </w:rPr>
      </w:pPr>
      <w:r w:rsidRPr="004A6A72">
        <w:rPr>
          <w:rFonts w:ascii="Times New Roman" w:hAnsi="Times New Roman" w:cs="Times New Roman"/>
          <w:sz w:val="24"/>
          <w:szCs w:val="24"/>
        </w:rPr>
        <w:t>La tecnología de aerogeneradores insertados en Cuba en zonas costeras es proclive a</w:t>
      </w:r>
      <w:r>
        <w:rPr>
          <w:rFonts w:ascii="Times New Roman" w:hAnsi="Times New Roman" w:cs="Times New Roman"/>
          <w:sz w:val="24"/>
          <w:szCs w:val="24"/>
        </w:rPr>
        <w:t xml:space="preserve"> </w:t>
      </w:r>
      <w:r w:rsidRPr="004A6A72">
        <w:rPr>
          <w:rFonts w:ascii="Times New Roman" w:hAnsi="Times New Roman" w:cs="Times New Roman"/>
          <w:sz w:val="24"/>
          <w:szCs w:val="24"/>
        </w:rPr>
        <w:t>la aparición de diversas tipologías de cimentaciones proyectadas por normativas</w:t>
      </w:r>
      <w:r>
        <w:rPr>
          <w:rFonts w:ascii="Times New Roman" w:hAnsi="Times New Roman" w:cs="Times New Roman"/>
          <w:sz w:val="24"/>
          <w:szCs w:val="24"/>
        </w:rPr>
        <w:t xml:space="preserve"> </w:t>
      </w:r>
      <w:r w:rsidRPr="004A6A72">
        <w:rPr>
          <w:rFonts w:ascii="Times New Roman" w:hAnsi="Times New Roman" w:cs="Times New Roman"/>
          <w:sz w:val="24"/>
          <w:szCs w:val="24"/>
        </w:rPr>
        <w:t>internacionales por lo que es amplia la información técnica s</w:t>
      </w:r>
      <w:r>
        <w:rPr>
          <w:rFonts w:ascii="Times New Roman" w:hAnsi="Times New Roman" w:cs="Times New Roman"/>
          <w:sz w:val="24"/>
          <w:szCs w:val="24"/>
        </w:rPr>
        <w:t xml:space="preserve">obre el tema, pero no de fácil </w:t>
      </w:r>
      <w:r w:rsidRPr="004A6A72">
        <w:rPr>
          <w:rFonts w:ascii="Times New Roman" w:hAnsi="Times New Roman" w:cs="Times New Roman"/>
          <w:sz w:val="24"/>
          <w:szCs w:val="24"/>
        </w:rPr>
        <w:t>acceso.  Este trabajo es el primer acercamiento a la racionalidad en el diseño de cimentaciones de aerogeneradores, por lo que es un paso importante en este sentido.</w:t>
      </w:r>
    </w:p>
    <w:p w:rsidR="004A6A72" w:rsidRDefault="004A6A72" w:rsidP="004A6A72">
      <w:pPr>
        <w:spacing w:after="0" w:line="360" w:lineRule="auto"/>
        <w:jc w:val="both"/>
        <w:rPr>
          <w:rFonts w:ascii="Times New Roman" w:hAnsi="Times New Roman" w:cs="Times New Roman"/>
          <w:sz w:val="24"/>
          <w:szCs w:val="24"/>
        </w:rPr>
      </w:pPr>
      <w:r w:rsidRPr="004A6A72">
        <w:rPr>
          <w:rFonts w:ascii="Times New Roman" w:hAnsi="Times New Roman" w:cs="Times New Roman"/>
          <w:sz w:val="24"/>
          <w:szCs w:val="24"/>
        </w:rPr>
        <w:lastRenderedPageBreak/>
        <w:t xml:space="preserve">Se constata que existen limitaciones con el empleo de </w:t>
      </w:r>
      <w:r>
        <w:rPr>
          <w:rFonts w:ascii="Times New Roman" w:hAnsi="Times New Roman" w:cs="Times New Roman"/>
          <w:sz w:val="24"/>
          <w:szCs w:val="24"/>
        </w:rPr>
        <w:t xml:space="preserve">las diferentes normativas para </w:t>
      </w:r>
      <w:r w:rsidRPr="004A6A72">
        <w:rPr>
          <w:rFonts w:ascii="Times New Roman" w:hAnsi="Times New Roman" w:cs="Times New Roman"/>
          <w:sz w:val="24"/>
          <w:szCs w:val="24"/>
        </w:rPr>
        <w:t>abordar el análisis geotécnico de la cimentaci</w:t>
      </w:r>
      <w:r>
        <w:rPr>
          <w:rFonts w:ascii="Times New Roman" w:hAnsi="Times New Roman" w:cs="Times New Roman"/>
          <w:sz w:val="24"/>
          <w:szCs w:val="24"/>
        </w:rPr>
        <w:t xml:space="preserve">ón circular apoyada sobre roca </w:t>
      </w:r>
      <w:r w:rsidRPr="004A6A72">
        <w:rPr>
          <w:rFonts w:ascii="Times New Roman" w:hAnsi="Times New Roman" w:cs="Times New Roman"/>
          <w:sz w:val="24"/>
          <w:szCs w:val="24"/>
        </w:rPr>
        <w:t>en zonas costeras. Se exceptúa el caso de la norma cubana NC 13</w:t>
      </w:r>
      <w:r>
        <w:rPr>
          <w:rFonts w:ascii="Times New Roman" w:hAnsi="Times New Roman" w:cs="Times New Roman"/>
          <w:sz w:val="24"/>
          <w:szCs w:val="24"/>
        </w:rPr>
        <w:t xml:space="preserve">21:2019 que brinda expresiones </w:t>
      </w:r>
      <w:r w:rsidRPr="004A6A72">
        <w:rPr>
          <w:rFonts w:ascii="Times New Roman" w:hAnsi="Times New Roman" w:cs="Times New Roman"/>
          <w:sz w:val="24"/>
          <w:szCs w:val="24"/>
        </w:rPr>
        <w:t>que permiten abordar directamente este tipo de</w:t>
      </w:r>
      <w:r>
        <w:rPr>
          <w:rFonts w:ascii="Times New Roman" w:hAnsi="Times New Roman" w:cs="Times New Roman"/>
          <w:sz w:val="24"/>
          <w:szCs w:val="24"/>
        </w:rPr>
        <w:t xml:space="preserve"> solución. Se comprueba que la </w:t>
      </w:r>
      <w:r w:rsidRPr="004A6A72">
        <w:rPr>
          <w:rFonts w:ascii="Times New Roman" w:hAnsi="Times New Roman" w:cs="Times New Roman"/>
          <w:sz w:val="24"/>
          <w:szCs w:val="24"/>
        </w:rPr>
        <w:t>cimentación es e</w:t>
      </w:r>
      <w:r>
        <w:rPr>
          <w:rFonts w:ascii="Times New Roman" w:hAnsi="Times New Roman" w:cs="Times New Roman"/>
          <w:sz w:val="24"/>
          <w:szCs w:val="24"/>
        </w:rPr>
        <w:t>stable a través de los chequeos</w:t>
      </w:r>
      <w:r w:rsidRPr="004A6A72">
        <w:rPr>
          <w:rFonts w:ascii="Times New Roman" w:hAnsi="Times New Roman" w:cs="Times New Roman"/>
          <w:sz w:val="24"/>
          <w:szCs w:val="24"/>
        </w:rPr>
        <w:t xml:space="preserve"> geotéc</w:t>
      </w:r>
      <w:r>
        <w:rPr>
          <w:rFonts w:ascii="Times New Roman" w:hAnsi="Times New Roman" w:cs="Times New Roman"/>
          <w:sz w:val="24"/>
          <w:szCs w:val="24"/>
        </w:rPr>
        <w:t xml:space="preserve">nicos realizados cumpliéndose </w:t>
      </w:r>
      <w:r w:rsidRPr="004A6A72">
        <w:rPr>
          <w:rFonts w:ascii="Times New Roman" w:hAnsi="Times New Roman" w:cs="Times New Roman"/>
          <w:sz w:val="24"/>
          <w:szCs w:val="24"/>
        </w:rPr>
        <w:t>con un amplio margen derivado de la magnitud</w:t>
      </w:r>
      <w:r>
        <w:rPr>
          <w:rFonts w:ascii="Times New Roman" w:hAnsi="Times New Roman" w:cs="Times New Roman"/>
          <w:sz w:val="24"/>
          <w:szCs w:val="24"/>
        </w:rPr>
        <w:t xml:space="preserve"> considerable de los momentos </w:t>
      </w:r>
      <w:r w:rsidRPr="004A6A72">
        <w:rPr>
          <w:rFonts w:ascii="Times New Roman" w:hAnsi="Times New Roman" w:cs="Times New Roman"/>
          <w:sz w:val="24"/>
          <w:szCs w:val="24"/>
        </w:rPr>
        <w:t>estabilizantes, aun cuando los efectos horizontales no son despreciables.</w:t>
      </w:r>
    </w:p>
    <w:p w:rsidR="004A6A72" w:rsidRDefault="004A6A72" w:rsidP="004A6A72">
      <w:pPr>
        <w:spacing w:after="0" w:line="360" w:lineRule="auto"/>
        <w:jc w:val="both"/>
        <w:rPr>
          <w:rFonts w:ascii="Times New Roman" w:hAnsi="Times New Roman" w:cs="Times New Roman"/>
          <w:sz w:val="24"/>
          <w:szCs w:val="24"/>
        </w:rPr>
      </w:pPr>
      <w:r w:rsidRPr="004A6A72">
        <w:rPr>
          <w:rFonts w:ascii="Times New Roman" w:hAnsi="Times New Roman" w:cs="Times New Roman"/>
          <w:sz w:val="24"/>
          <w:szCs w:val="24"/>
        </w:rPr>
        <w:t>En el caso de la revisión estructural, al no contar en l</w:t>
      </w:r>
      <w:r>
        <w:rPr>
          <w:rFonts w:ascii="Times New Roman" w:hAnsi="Times New Roman" w:cs="Times New Roman"/>
          <w:sz w:val="24"/>
          <w:szCs w:val="24"/>
        </w:rPr>
        <w:t xml:space="preserve">as normativas con métodos para </w:t>
      </w:r>
      <w:r w:rsidRPr="004A6A72">
        <w:rPr>
          <w:rFonts w:ascii="Times New Roman" w:hAnsi="Times New Roman" w:cs="Times New Roman"/>
          <w:sz w:val="24"/>
          <w:szCs w:val="24"/>
        </w:rPr>
        <w:t>resolver la tipología c</w:t>
      </w:r>
      <w:r>
        <w:rPr>
          <w:rFonts w:ascii="Times New Roman" w:hAnsi="Times New Roman" w:cs="Times New Roman"/>
          <w:sz w:val="24"/>
          <w:szCs w:val="24"/>
        </w:rPr>
        <w:t>ircular,</w:t>
      </w:r>
      <w:r w:rsidRPr="004A6A72">
        <w:rPr>
          <w:rFonts w:ascii="Times New Roman" w:hAnsi="Times New Roman" w:cs="Times New Roman"/>
          <w:sz w:val="24"/>
          <w:szCs w:val="24"/>
        </w:rPr>
        <w:t xml:space="preserve"> se complejiza el análisis y </w:t>
      </w:r>
      <w:r>
        <w:rPr>
          <w:rFonts w:ascii="Times New Roman" w:hAnsi="Times New Roman" w:cs="Times New Roman"/>
          <w:sz w:val="24"/>
          <w:szCs w:val="24"/>
        </w:rPr>
        <w:t xml:space="preserve">se precisa del uso de software </w:t>
      </w:r>
      <w:r w:rsidRPr="004A6A72">
        <w:rPr>
          <w:rFonts w:ascii="Times New Roman" w:hAnsi="Times New Roman" w:cs="Times New Roman"/>
          <w:sz w:val="24"/>
          <w:szCs w:val="24"/>
        </w:rPr>
        <w:t>profesionales.  De las comprobaciones realizadas a la c</w:t>
      </w:r>
      <w:r>
        <w:rPr>
          <w:rFonts w:ascii="Times New Roman" w:hAnsi="Times New Roman" w:cs="Times New Roman"/>
          <w:sz w:val="24"/>
          <w:szCs w:val="24"/>
        </w:rPr>
        <w:t xml:space="preserve">imentación por proyecto, según </w:t>
      </w:r>
      <w:r w:rsidRPr="004A6A72">
        <w:rPr>
          <w:rFonts w:ascii="Times New Roman" w:hAnsi="Times New Roman" w:cs="Times New Roman"/>
          <w:sz w:val="24"/>
          <w:szCs w:val="24"/>
        </w:rPr>
        <w:t>las normativas analizadas, se verifica que cumple con los c</w:t>
      </w:r>
      <w:r>
        <w:rPr>
          <w:rFonts w:ascii="Times New Roman" w:hAnsi="Times New Roman" w:cs="Times New Roman"/>
          <w:sz w:val="24"/>
          <w:szCs w:val="24"/>
        </w:rPr>
        <w:t xml:space="preserve">riterios a flexión, cortante y </w:t>
      </w:r>
      <w:r w:rsidRPr="004A6A72">
        <w:rPr>
          <w:rFonts w:ascii="Times New Roman" w:hAnsi="Times New Roman" w:cs="Times New Roman"/>
          <w:sz w:val="24"/>
          <w:szCs w:val="24"/>
        </w:rPr>
        <w:t xml:space="preserve">punzonamiento con amplio margen, evidenciándose </w:t>
      </w:r>
      <w:r>
        <w:rPr>
          <w:rFonts w:ascii="Times New Roman" w:hAnsi="Times New Roman" w:cs="Times New Roman"/>
          <w:sz w:val="24"/>
          <w:szCs w:val="24"/>
        </w:rPr>
        <w:t xml:space="preserve">que se está en presencia de un cimiento casi rígido, </w:t>
      </w:r>
      <w:r w:rsidRPr="004A6A72">
        <w:rPr>
          <w:rFonts w:ascii="Times New Roman" w:hAnsi="Times New Roman" w:cs="Times New Roman"/>
          <w:sz w:val="24"/>
          <w:szCs w:val="24"/>
        </w:rPr>
        <w:t>con una masa elevada de hormigón</w:t>
      </w:r>
      <w:r>
        <w:rPr>
          <w:rFonts w:ascii="Times New Roman" w:hAnsi="Times New Roman" w:cs="Times New Roman"/>
          <w:sz w:val="24"/>
          <w:szCs w:val="24"/>
        </w:rPr>
        <w:t xml:space="preserve"> y acero. Se evidencia que los </w:t>
      </w:r>
      <w:r w:rsidRPr="004A6A72">
        <w:rPr>
          <w:rFonts w:ascii="Times New Roman" w:hAnsi="Times New Roman" w:cs="Times New Roman"/>
          <w:sz w:val="24"/>
          <w:szCs w:val="24"/>
        </w:rPr>
        <w:t>momentos resistentes exceden por un amplio marg</w:t>
      </w:r>
      <w:r>
        <w:rPr>
          <w:rFonts w:ascii="Times New Roman" w:hAnsi="Times New Roman" w:cs="Times New Roman"/>
          <w:sz w:val="24"/>
          <w:szCs w:val="24"/>
        </w:rPr>
        <w:t xml:space="preserve">en a los actuantes y esto se </w:t>
      </w:r>
      <w:r w:rsidRPr="004A6A72">
        <w:rPr>
          <w:rFonts w:ascii="Times New Roman" w:hAnsi="Times New Roman" w:cs="Times New Roman"/>
          <w:sz w:val="24"/>
          <w:szCs w:val="24"/>
        </w:rPr>
        <w:t>fundamenta por el hecho de que las áreas de las armadura</w:t>
      </w:r>
      <w:r>
        <w:rPr>
          <w:rFonts w:ascii="Times New Roman" w:hAnsi="Times New Roman" w:cs="Times New Roman"/>
          <w:sz w:val="24"/>
          <w:szCs w:val="24"/>
        </w:rPr>
        <w:t xml:space="preserve">s radiales y circunferenciales </w:t>
      </w:r>
      <w:r w:rsidRPr="004A6A72">
        <w:rPr>
          <w:rFonts w:ascii="Times New Roman" w:hAnsi="Times New Roman" w:cs="Times New Roman"/>
          <w:sz w:val="24"/>
          <w:szCs w:val="24"/>
        </w:rPr>
        <w:t>tienen valores cercanos a los mínimos establecidos por flexión y por retracción.</w:t>
      </w:r>
    </w:p>
    <w:sdt>
      <w:sdtPr>
        <w:rPr>
          <w:b/>
        </w:rPr>
        <w:id w:val="759720069"/>
        <w:docPartObj>
          <w:docPartGallery w:val="Bibliographies"/>
          <w:docPartUnique/>
        </w:docPartObj>
      </w:sdtPr>
      <w:sdtEndPr>
        <w:rPr>
          <w:b w:val="0"/>
          <w:sz w:val="18"/>
        </w:rPr>
      </w:sdtEndPr>
      <w:sdtContent>
        <w:p w:rsidR="004A6A72" w:rsidRPr="004A6A72" w:rsidRDefault="004A6A72" w:rsidP="004A6A7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r>
            <w:rPr>
              <w:b/>
            </w:rPr>
            <w:tab/>
          </w:r>
        </w:p>
        <w:sdt>
          <w:sdtPr>
            <w:rPr>
              <w:sz w:val="18"/>
            </w:rPr>
            <w:id w:val="111145805"/>
            <w:bibliography/>
          </w:sdtPr>
          <w:sdtEndPr/>
          <w:sdtContent>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lang w:val="en-US"/>
                </w:rPr>
              </w:pPr>
              <w:r w:rsidRPr="004A6A72">
                <w:rPr>
                  <w:rFonts w:ascii="Times New Roman" w:hAnsi="Times New Roman" w:cs="Times New Roman"/>
                  <w:sz w:val="24"/>
                  <w:szCs w:val="24"/>
                </w:rPr>
                <w:fldChar w:fldCharType="begin"/>
              </w:r>
              <w:r w:rsidRPr="004A6A72">
                <w:rPr>
                  <w:rFonts w:ascii="Times New Roman" w:hAnsi="Times New Roman" w:cs="Times New Roman"/>
                  <w:sz w:val="24"/>
                  <w:szCs w:val="24"/>
                </w:rPr>
                <w:instrText>BIBLIOGRAPHY</w:instrText>
              </w:r>
              <w:r w:rsidRPr="004A6A72">
                <w:rPr>
                  <w:rFonts w:ascii="Times New Roman" w:hAnsi="Times New Roman" w:cs="Times New Roman"/>
                  <w:sz w:val="24"/>
                  <w:szCs w:val="24"/>
                </w:rPr>
                <w:fldChar w:fldCharType="separate"/>
              </w:r>
              <w:r w:rsidRPr="004A6A72">
                <w:rPr>
                  <w:rFonts w:ascii="Times New Roman" w:hAnsi="Times New Roman" w:cs="Times New Roman"/>
                  <w:noProof/>
                  <w:sz w:val="24"/>
                  <w:szCs w:val="24"/>
                </w:rPr>
                <w:t xml:space="preserve">Calavera Ruiz, J. (2000). </w:t>
              </w:r>
              <w:r w:rsidRPr="004A6A72">
                <w:rPr>
                  <w:rFonts w:ascii="Times New Roman" w:hAnsi="Times New Roman" w:cs="Times New Roman"/>
                  <w:i/>
                  <w:iCs/>
                  <w:noProof/>
                  <w:sz w:val="24"/>
                  <w:szCs w:val="24"/>
                </w:rPr>
                <w:t>Cálculo de estructuras de cimentación</w:t>
              </w:r>
              <w:r w:rsidRPr="004A6A72">
                <w:rPr>
                  <w:rFonts w:ascii="Times New Roman" w:hAnsi="Times New Roman" w:cs="Times New Roman"/>
                  <w:noProof/>
                  <w:sz w:val="24"/>
                  <w:szCs w:val="24"/>
                </w:rPr>
                <w:t xml:space="preserve"> (Cuarta ed.). </w:t>
              </w:r>
              <w:r w:rsidRPr="004A6A72">
                <w:rPr>
                  <w:rFonts w:ascii="Times New Roman" w:hAnsi="Times New Roman" w:cs="Times New Roman"/>
                  <w:noProof/>
                  <w:sz w:val="24"/>
                  <w:szCs w:val="24"/>
                  <w:lang w:val="en-US"/>
                </w:rPr>
                <w:t>Madrid, España: INTEMAC, SA.</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lang w:val="en-US"/>
                </w:rPr>
              </w:pPr>
              <w:r w:rsidRPr="004A6A72">
                <w:rPr>
                  <w:rFonts w:ascii="Times New Roman" w:hAnsi="Times New Roman" w:cs="Times New Roman"/>
                  <w:noProof/>
                  <w:sz w:val="24"/>
                  <w:szCs w:val="24"/>
                  <w:lang w:val="en-US"/>
                </w:rPr>
                <w:t>Canadian Geotechnical Society. (2006). Canadian Foundation Engineering Manual.</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lang w:val="en-US"/>
                </w:rPr>
                <w:t xml:space="preserve">Det Norske Veritas, Copenhagen. (2002). Guidelines for design of wind turbines. </w:t>
              </w:r>
              <w:r w:rsidRPr="004A6A72">
                <w:rPr>
                  <w:rFonts w:ascii="Times New Roman" w:hAnsi="Times New Roman" w:cs="Times New Roman"/>
                  <w:i/>
                  <w:iCs/>
                  <w:noProof/>
                  <w:sz w:val="24"/>
                  <w:szCs w:val="24"/>
                </w:rPr>
                <w:t>2</w:t>
              </w:r>
              <w:r w:rsidRPr="004A6A72">
                <w:rPr>
                  <w:rFonts w:ascii="Times New Roman" w:hAnsi="Times New Roman" w:cs="Times New Roman"/>
                  <w:noProof/>
                  <w:sz w:val="24"/>
                  <w:szCs w:val="24"/>
                </w:rPr>
                <w:t>. Dinamarca: Det Norske Veritas and Risø National Laboratory.</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t xml:space="preserve">EHE-08. (2008). </w:t>
              </w:r>
              <w:r w:rsidRPr="004A6A72">
                <w:rPr>
                  <w:rFonts w:ascii="Times New Roman" w:hAnsi="Times New Roman" w:cs="Times New Roman"/>
                  <w:i/>
                  <w:iCs/>
                  <w:noProof/>
                  <w:sz w:val="24"/>
                  <w:szCs w:val="24"/>
                </w:rPr>
                <w:t>Instrucción de Hormigón Estructural, 4</w:t>
              </w:r>
              <w:r w:rsidRPr="004A6A72">
                <w:rPr>
                  <w:rFonts w:ascii="Times New Roman" w:hAnsi="Times New Roman" w:cs="Times New Roman"/>
                  <w:noProof/>
                  <w:sz w:val="24"/>
                  <w:szCs w:val="24"/>
                </w:rPr>
                <w:t>. Madrid, España: Centro de Publicaciones, Secretaría General Técnica.</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t xml:space="preserve">ENIA. (2013). </w:t>
              </w:r>
              <w:r w:rsidRPr="004A6A72">
                <w:rPr>
                  <w:rFonts w:ascii="Times New Roman" w:hAnsi="Times New Roman" w:cs="Times New Roman"/>
                  <w:i/>
                  <w:iCs/>
                  <w:noProof/>
                  <w:sz w:val="24"/>
                  <w:szCs w:val="24"/>
                </w:rPr>
                <w:t>Estudio Ingeniero-Geológico Parque Eólico 51 MW La Herradura I. Plataforma 19.</w:t>
              </w:r>
              <w:r w:rsidRPr="004A6A72">
                <w:rPr>
                  <w:rFonts w:ascii="Times New Roman" w:hAnsi="Times New Roman" w:cs="Times New Roman"/>
                  <w:noProof/>
                  <w:sz w:val="24"/>
                  <w:szCs w:val="24"/>
                </w:rPr>
                <w:t xml:space="preserve"> Estudio Ingeniero Geológico, Empresa Nacional de Investigaciones Aplicadas. Unidad de Investigaciones para la Construcción Holguín, Holguín.</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t xml:space="preserve">Galbán, N. (22 de enero de 2018). </w:t>
              </w:r>
              <w:r w:rsidRPr="004A6A72">
                <w:rPr>
                  <w:rFonts w:ascii="Times New Roman" w:hAnsi="Times New Roman" w:cs="Times New Roman"/>
                  <w:i/>
                  <w:iCs/>
                  <w:noProof/>
                  <w:sz w:val="24"/>
                  <w:szCs w:val="24"/>
                </w:rPr>
                <w:t>ESPECIAL: Mayor parque eólico de Cuba se construye con tecnología china.</w:t>
              </w:r>
              <w:r w:rsidRPr="004A6A72">
                <w:rPr>
                  <w:rFonts w:ascii="Times New Roman" w:hAnsi="Times New Roman" w:cs="Times New Roman"/>
                  <w:noProof/>
                  <w:sz w:val="24"/>
                  <w:szCs w:val="24"/>
                </w:rPr>
                <w:t xml:space="preserve"> Obtenido de http://spanish.xinhuanet.com/2018-01/22/c_136913500.htm </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lastRenderedPageBreak/>
                <w:t xml:space="preserve">Leiva, V. (2018). </w:t>
              </w:r>
              <w:r w:rsidRPr="004A6A72">
                <w:rPr>
                  <w:rFonts w:ascii="Times New Roman" w:hAnsi="Times New Roman" w:cs="Times New Roman"/>
                  <w:i/>
                  <w:iCs/>
                  <w:noProof/>
                  <w:sz w:val="24"/>
                  <w:szCs w:val="24"/>
                </w:rPr>
                <w:t>Proyecto Parque Eólico Herradura-1.51MW.</w:t>
              </w:r>
              <w:r w:rsidRPr="004A6A72">
                <w:rPr>
                  <w:rFonts w:ascii="Times New Roman" w:hAnsi="Times New Roman" w:cs="Times New Roman"/>
                  <w:noProof/>
                  <w:sz w:val="24"/>
                  <w:szCs w:val="24"/>
                </w:rPr>
                <w:t xml:space="preserve"> Memoria descriptiva, INEL Ingeniería.</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t xml:space="preserve">NBE-AE-88. (1988). </w:t>
              </w:r>
              <w:r w:rsidRPr="004A6A72">
                <w:rPr>
                  <w:rFonts w:ascii="Times New Roman" w:hAnsi="Times New Roman" w:cs="Times New Roman"/>
                  <w:i/>
                  <w:iCs/>
                  <w:noProof/>
                  <w:sz w:val="24"/>
                  <w:szCs w:val="24"/>
                </w:rPr>
                <w:t>Normativa Española de acciones en la edificación</w:t>
              </w:r>
              <w:r w:rsidRPr="004A6A72">
                <w:rPr>
                  <w:rFonts w:ascii="Times New Roman" w:hAnsi="Times New Roman" w:cs="Times New Roman"/>
                  <w:noProof/>
                  <w:sz w:val="24"/>
                  <w:szCs w:val="24"/>
                </w:rPr>
                <w:t>. España.</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t xml:space="preserve">NC 1321:2019. (octubre de 2019). </w:t>
              </w:r>
              <w:r w:rsidRPr="004A6A72">
                <w:rPr>
                  <w:rFonts w:ascii="Times New Roman" w:hAnsi="Times New Roman" w:cs="Times New Roman"/>
                  <w:i/>
                  <w:iCs/>
                  <w:noProof/>
                  <w:sz w:val="24"/>
                  <w:szCs w:val="24"/>
                </w:rPr>
                <w:t>Diseño geotécnico de cimentaciones superficiales, 1</w:t>
              </w:r>
              <w:r w:rsidRPr="004A6A72">
                <w:rPr>
                  <w:rFonts w:ascii="Times New Roman" w:hAnsi="Times New Roman" w:cs="Times New Roman"/>
                  <w:noProof/>
                  <w:sz w:val="24"/>
                  <w:szCs w:val="24"/>
                </w:rPr>
                <w:t>. Cuba.</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t xml:space="preserve">NC 207: 2019. (abril de 2019). </w:t>
              </w:r>
              <w:r w:rsidRPr="004A6A72">
                <w:rPr>
                  <w:rFonts w:ascii="Times New Roman" w:hAnsi="Times New Roman" w:cs="Times New Roman"/>
                  <w:i/>
                  <w:iCs/>
                  <w:noProof/>
                  <w:sz w:val="24"/>
                  <w:szCs w:val="24"/>
                </w:rPr>
                <w:t>REQUISITOS GENERALES PARA EL DISEÑO Y CONSTRUCCIÓN DE ESTRUCTURAS DE HORMIGÓN, Segunda</w:t>
              </w:r>
              <w:r w:rsidRPr="004A6A72">
                <w:rPr>
                  <w:rFonts w:ascii="Times New Roman" w:hAnsi="Times New Roman" w:cs="Times New Roman"/>
                  <w:noProof/>
                  <w:sz w:val="24"/>
                  <w:szCs w:val="24"/>
                </w:rPr>
                <w:t>. Cuba. Recuperado el noviembre de 2020, de www.nc.cubaindustria.cu</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t xml:space="preserve">NC 53-82-01. (2001). </w:t>
              </w:r>
              <w:r w:rsidRPr="004A6A72">
                <w:rPr>
                  <w:rFonts w:ascii="Times New Roman" w:hAnsi="Times New Roman" w:cs="Times New Roman"/>
                  <w:i/>
                  <w:iCs/>
                  <w:noProof/>
                  <w:sz w:val="24"/>
                  <w:szCs w:val="24"/>
                </w:rPr>
                <w:t>Diseño estructural de cimientaciones superficiales. Método de cálculo y diseño, 1</w:t>
              </w:r>
              <w:r w:rsidRPr="004A6A72">
                <w:rPr>
                  <w:rFonts w:ascii="Times New Roman" w:hAnsi="Times New Roman" w:cs="Times New Roman"/>
                  <w:noProof/>
                  <w:sz w:val="24"/>
                  <w:szCs w:val="24"/>
                </w:rPr>
                <w:t>.</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lang w:val="en-US"/>
                </w:rPr>
                <w:t xml:space="preserve">Power China Beijing Engineering Corporation Limited. </w:t>
              </w:r>
              <w:r w:rsidRPr="004A6A72">
                <w:rPr>
                  <w:rFonts w:ascii="Times New Roman" w:hAnsi="Times New Roman" w:cs="Times New Roman"/>
                  <w:noProof/>
                  <w:sz w:val="24"/>
                  <w:szCs w:val="24"/>
                </w:rPr>
                <w:t>(s.f.). Instrucción general de Turvina de viento Foundation.</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t xml:space="preserve">Sáez, D. P. (9 de mayo de 2018). </w:t>
              </w:r>
              <w:r w:rsidRPr="004A6A72">
                <w:rPr>
                  <w:rFonts w:ascii="Times New Roman" w:hAnsi="Times New Roman" w:cs="Times New Roman"/>
                  <w:i/>
                  <w:iCs/>
                  <w:noProof/>
                  <w:sz w:val="24"/>
                  <w:szCs w:val="24"/>
                </w:rPr>
                <w:t>Las Tunas acogerá los dos parques eólicos más grandes de Cuba</w:t>
              </w:r>
              <w:r w:rsidRPr="004A6A72">
                <w:rPr>
                  <w:rFonts w:ascii="Times New Roman" w:hAnsi="Times New Roman" w:cs="Times New Roman"/>
                  <w:noProof/>
                  <w:sz w:val="24"/>
                  <w:szCs w:val="24"/>
                </w:rPr>
                <w:t xml:space="preserve">. Recuperado el 25 de abril de 2020, de Cibercuba: http://www.cibercuba.com/noticias/2018-05-09-u43231-s27061-aqui-se-levanta-primer-parque-eolico-tunas </w:t>
              </w:r>
            </w:p>
            <w:p w:rsidR="004A6A72" w:rsidRPr="004A6A72" w:rsidRDefault="004A6A72" w:rsidP="004A6A72">
              <w:pPr>
                <w:pStyle w:val="Bibliografa"/>
                <w:spacing w:after="0" w:line="360" w:lineRule="auto"/>
                <w:ind w:left="720" w:hanging="720"/>
                <w:jc w:val="both"/>
                <w:rPr>
                  <w:rFonts w:ascii="Times New Roman" w:hAnsi="Times New Roman" w:cs="Times New Roman"/>
                  <w:noProof/>
                  <w:sz w:val="24"/>
                  <w:szCs w:val="24"/>
                </w:rPr>
              </w:pPr>
              <w:r w:rsidRPr="004A6A72">
                <w:rPr>
                  <w:rFonts w:ascii="Times New Roman" w:hAnsi="Times New Roman" w:cs="Times New Roman"/>
                  <w:noProof/>
                  <w:sz w:val="24"/>
                  <w:szCs w:val="24"/>
                </w:rPr>
                <w:t>UNE-ENV 1997-1. (Marzo de 1999). Eurocódigo 7: Proyecto geotécnico. Madrid, España: AENOR 1999.</w:t>
              </w:r>
            </w:p>
            <w:p w:rsidR="004A6A72" w:rsidRPr="004A6A72" w:rsidRDefault="004A6A72" w:rsidP="004A6A72">
              <w:pPr>
                <w:spacing w:after="0" w:line="360" w:lineRule="auto"/>
                <w:jc w:val="both"/>
                <w:rPr>
                  <w:sz w:val="18"/>
                </w:rPr>
              </w:pPr>
              <w:r w:rsidRPr="004A6A72">
                <w:rPr>
                  <w:rFonts w:ascii="Times New Roman" w:hAnsi="Times New Roman" w:cs="Times New Roman"/>
                  <w:b/>
                  <w:bCs/>
                  <w:sz w:val="24"/>
                  <w:szCs w:val="24"/>
                </w:rPr>
                <w:fldChar w:fldCharType="end"/>
              </w:r>
            </w:p>
          </w:sdtContent>
        </w:sdt>
      </w:sdtContent>
    </w:sdt>
    <w:sectPr w:rsidR="004A6A72" w:rsidRPr="004A6A72"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323" w:rsidRDefault="00837323" w:rsidP="00C8585B">
      <w:pPr>
        <w:spacing w:after="0" w:line="240" w:lineRule="auto"/>
      </w:pPr>
      <w:r>
        <w:separator/>
      </w:r>
    </w:p>
  </w:endnote>
  <w:endnote w:type="continuationSeparator" w:id="0">
    <w:p w:rsidR="00837323" w:rsidRDefault="0083732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E40131">
        <w:pPr>
          <w:pStyle w:val="Piedepgina"/>
          <w:jc w:val="right"/>
        </w:pPr>
        <w:r>
          <w:fldChar w:fldCharType="begin"/>
        </w:r>
        <w:r>
          <w:instrText xml:space="preserve"> PAGE   \* MERGEFORMAT </w:instrText>
        </w:r>
        <w:r>
          <w:fldChar w:fldCharType="separate"/>
        </w:r>
        <w:r w:rsidR="00D26DBB">
          <w:rPr>
            <w:noProof/>
          </w:rPr>
          <w:t>1</w:t>
        </w:r>
        <w:r>
          <w:rPr>
            <w:noProof/>
          </w:rPr>
          <w:fldChar w:fldCharType="end"/>
        </w:r>
      </w:p>
    </w:sdtContent>
  </w:sdt>
  <w:p w:rsidR="002E4FD4" w:rsidRPr="00C8585B" w:rsidRDefault="002E4FD4" w:rsidP="002E4FD4">
    <w:pPr>
      <w:pStyle w:val="Encabezado"/>
      <w:jc w:val="center"/>
      <w:rPr>
        <w:rFonts w:ascii="Verdana" w:hAnsi="Verdana"/>
        <w:b/>
        <w:sz w:val="16"/>
        <w:szCs w:val="16"/>
        <w:lang w:val="es-ES_tradnl"/>
      </w:rPr>
    </w:pPr>
    <w:r>
      <w:rPr>
        <w:rFonts w:ascii="Verdana" w:hAnsi="Verdana"/>
        <w:b/>
        <w:sz w:val="16"/>
        <w:szCs w:val="16"/>
        <w:lang w:val="es-ES_tradnl"/>
      </w:rPr>
      <w:t xml:space="preserve">III </w:t>
    </w: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2E4FD4" w:rsidRPr="00C8585B" w:rsidRDefault="002E4FD4" w:rsidP="002E4FD4">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2E4FD4" w:rsidP="002E4FD4">
    <w:pPr>
      <w:pStyle w:val="Piedepgina"/>
      <w:jc w:val="center"/>
    </w:pPr>
    <w:r>
      <w:rPr>
        <w:rFonts w:ascii="Verdana" w:hAnsi="Verdana"/>
        <w:b/>
        <w:sz w:val="16"/>
        <w:szCs w:val="16"/>
        <w:lang w:val="es-ES_tradnl"/>
      </w:rPr>
      <w:t>Ciencia, Tecnología y Sociedad. CCI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323" w:rsidRDefault="00837323" w:rsidP="00C8585B">
      <w:pPr>
        <w:spacing w:after="0" w:line="240" w:lineRule="auto"/>
      </w:pPr>
      <w:r>
        <w:separator/>
      </w:r>
    </w:p>
  </w:footnote>
  <w:footnote w:type="continuationSeparator" w:id="0">
    <w:p w:rsidR="00837323" w:rsidRDefault="00837323"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s-MX" w:eastAsia="es-MX"/>
            </w:rPr>
            <w:drawing>
              <wp:anchor distT="0" distB="0" distL="114300" distR="114300" simplePos="0" relativeHeight="251661824"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2E4FD4" w:rsidP="00F31B37">
          <w:pPr>
            <w:pStyle w:val="Encabezado"/>
            <w:jc w:val="center"/>
            <w:rPr>
              <w:rFonts w:ascii="Verdana" w:hAnsi="Verdana"/>
              <w:b/>
              <w:sz w:val="16"/>
              <w:szCs w:val="16"/>
              <w:lang w:val="es-ES_tradnl"/>
            </w:rPr>
          </w:pPr>
          <w:r>
            <w:rPr>
              <w:rFonts w:ascii="Verdana" w:hAnsi="Verdana"/>
              <w:b/>
              <w:sz w:val="16"/>
              <w:szCs w:val="16"/>
              <w:lang w:val="es-ES_tradnl"/>
            </w:rPr>
            <w:t>III</w:t>
          </w:r>
          <w:r w:rsidR="000A6EC7">
            <w:rPr>
              <w:rFonts w:ascii="Verdana" w:hAnsi="Verdana"/>
              <w:b/>
              <w:sz w:val="16"/>
              <w:szCs w:val="16"/>
              <w:lang w:val="es-ES_tradnl"/>
            </w:rPr>
            <w:t xml:space="preserve"> </w:t>
          </w:r>
          <w:r w:rsidR="00F31B37" w:rsidRPr="00C8585B">
            <w:rPr>
              <w:rFonts w:ascii="Verdana" w:hAnsi="Verdana"/>
              <w:b/>
              <w:sz w:val="16"/>
              <w:szCs w:val="16"/>
              <w:lang w:val="es-ES_tradnl"/>
            </w:rPr>
            <w:t xml:space="preserve">Convención </w:t>
          </w:r>
          <w:r>
            <w:rPr>
              <w:rFonts w:ascii="Verdana" w:hAnsi="Verdana"/>
              <w:b/>
              <w:sz w:val="16"/>
              <w:szCs w:val="16"/>
              <w:lang w:val="es-ES_tradnl"/>
            </w:rPr>
            <w:t xml:space="preserve">Científica Internacional </w:t>
          </w:r>
          <w:r w:rsidR="00F31B37">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2E4FD4" w:rsidP="00F31B37">
          <w:pPr>
            <w:pStyle w:val="Encabezado"/>
            <w:jc w:val="center"/>
            <w:rPr>
              <w:rFonts w:ascii="Verdana" w:hAnsi="Verdana"/>
              <w:b/>
              <w:sz w:val="18"/>
              <w:szCs w:val="18"/>
              <w:lang w:val="en-GB"/>
            </w:rPr>
          </w:pPr>
          <w:r>
            <w:rPr>
              <w:rFonts w:ascii="Verdana" w:hAnsi="Verdana"/>
              <w:b/>
              <w:sz w:val="16"/>
              <w:szCs w:val="16"/>
              <w:lang w:val="es-ES_tradnl"/>
            </w:rPr>
            <w:t>Ciencia, Tecnología y Sociedad. CCI</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A6EC7"/>
    <w:rsid w:val="000C14DC"/>
    <w:rsid w:val="00104DC3"/>
    <w:rsid w:val="00116429"/>
    <w:rsid w:val="0014771E"/>
    <w:rsid w:val="001604F2"/>
    <w:rsid w:val="001969E2"/>
    <w:rsid w:val="001E7427"/>
    <w:rsid w:val="00202658"/>
    <w:rsid w:val="002E0882"/>
    <w:rsid w:val="002E272A"/>
    <w:rsid w:val="002E4FD4"/>
    <w:rsid w:val="003A621E"/>
    <w:rsid w:val="003F607F"/>
    <w:rsid w:val="00403285"/>
    <w:rsid w:val="0042164E"/>
    <w:rsid w:val="004A6A72"/>
    <w:rsid w:val="005754D8"/>
    <w:rsid w:val="006271E4"/>
    <w:rsid w:val="00667F10"/>
    <w:rsid w:val="00671849"/>
    <w:rsid w:val="006A54BB"/>
    <w:rsid w:val="007455FF"/>
    <w:rsid w:val="00815971"/>
    <w:rsid w:val="00837323"/>
    <w:rsid w:val="0088159E"/>
    <w:rsid w:val="008A1C16"/>
    <w:rsid w:val="008C6013"/>
    <w:rsid w:val="009061A5"/>
    <w:rsid w:val="0091621C"/>
    <w:rsid w:val="009B1EF2"/>
    <w:rsid w:val="009C6828"/>
    <w:rsid w:val="009D5E02"/>
    <w:rsid w:val="009D67CD"/>
    <w:rsid w:val="00A156A5"/>
    <w:rsid w:val="00A21A1F"/>
    <w:rsid w:val="00A62A14"/>
    <w:rsid w:val="00AE534B"/>
    <w:rsid w:val="00B2024E"/>
    <w:rsid w:val="00B80E97"/>
    <w:rsid w:val="00BC2061"/>
    <w:rsid w:val="00BC770B"/>
    <w:rsid w:val="00C17100"/>
    <w:rsid w:val="00C8585B"/>
    <w:rsid w:val="00CD2BC3"/>
    <w:rsid w:val="00D26DBB"/>
    <w:rsid w:val="00D36D1C"/>
    <w:rsid w:val="00D73DE9"/>
    <w:rsid w:val="00E40131"/>
    <w:rsid w:val="00E912D0"/>
    <w:rsid w:val="00EE30AD"/>
    <w:rsid w:val="00EE3CB2"/>
    <w:rsid w:val="00F31B37"/>
    <w:rsid w:val="00F96855"/>
    <w:rsid w:val="00FB7F91"/>
    <w:rsid w:val="00FC5756"/>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ED3E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4A6A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9C68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2Car">
    <w:name w:val="Título 2 Car"/>
    <w:basedOn w:val="Fuentedeprrafopredeter"/>
    <w:link w:val="Ttulo2"/>
    <w:uiPriority w:val="9"/>
    <w:rsid w:val="009C6828"/>
    <w:rPr>
      <w:rFonts w:asciiTheme="majorHAnsi" w:eastAsiaTheme="majorEastAsia" w:hAnsiTheme="majorHAnsi" w:cstheme="majorBidi"/>
      <w:color w:val="365F91" w:themeColor="accent1" w:themeShade="BF"/>
      <w:sz w:val="26"/>
      <w:szCs w:val="26"/>
    </w:rPr>
  </w:style>
  <w:style w:type="character" w:customStyle="1" w:styleId="Ttulo1Car">
    <w:name w:val="Título 1 Car"/>
    <w:basedOn w:val="Fuentedeprrafopredeter"/>
    <w:link w:val="Ttulo1"/>
    <w:uiPriority w:val="9"/>
    <w:rsid w:val="004A6A72"/>
    <w:rPr>
      <w:rFonts w:asciiTheme="majorHAnsi" w:eastAsiaTheme="majorEastAsia" w:hAnsiTheme="majorHAnsi" w:cstheme="majorBidi"/>
      <w:color w:val="365F91" w:themeColor="accent1" w:themeShade="BF"/>
      <w:sz w:val="32"/>
      <w:szCs w:val="32"/>
    </w:rPr>
  </w:style>
  <w:style w:type="paragraph" w:styleId="Bibliografa">
    <w:name w:val="Bibliography"/>
    <w:basedOn w:val="Normal"/>
    <w:next w:val="Normal"/>
    <w:uiPriority w:val="37"/>
    <w:unhideWhenUsed/>
    <w:rsid w:val="004A6A72"/>
    <w:pPr>
      <w:spacing w:after="160" w:line="259" w:lineRule="auto"/>
    </w:pPr>
  </w:style>
  <w:style w:type="table" w:styleId="Tablaconcuadrcula">
    <w:name w:val="Table Grid"/>
    <w:basedOn w:val="Tablanormal"/>
    <w:uiPriority w:val="39"/>
    <w:rsid w:val="006A54BB"/>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Ren</b:Tag>
    <b:SourceType>InternetSite</b:SourceType>
    <b:Guid>{321B093A-3EA5-436B-A691-D95C8A1AB585}</b:Guid>
    <b:URL>http://www.renovablesverdes.com/origenes-e-historia-de-la-energia-eolica/</b:URL>
    <b:YearAccessed>2020</b:YearAccessed>
    <b:MonthAccessed>abril</b:MonthAccessed>
    <b:DayAccessed>21</b:DayAccessed>
    <b:Title>Renovables Verdes</b:Title>
    <b:Author>
      <b:Author>
        <b:NameList>
          <b:Person>
            <b:Last>Adriana</b:Last>
          </b:Person>
        </b:NameList>
      </b:Author>
    </b:Author>
    <b:Year>2017</b:Year>
    <b:Month>julio</b:Month>
    <b:Day>14</b:Day>
    <b:RefOrder>7</b:RefOrder>
  </b:Source>
  <b:Source>
    <b:Tag>Saw17</b:Tag>
    <b:SourceType>DocumentFromInternetSite</b:SourceType>
    <b:Guid>{204BF8A1-FE28-4522-8DE6-0F3541B59A88}</b:Guid>
    <b:Title>Indian Wind Energy a brief outlook</b:Title>
    <b:Year>2017</b:Year>
    <b:URL>https://gwec.net/register/GlobalWindEnergy Outlook2016</b:URL>
    <b:Author>
      <b:Editor>
        <b:NameList>
          <b:Person>
            <b:Last>Rishi Dwivedi</b:Last>
            <b:First>Lauha</b:First>
            <b:Middle>Fried, Steve Sawyer, Shruti Shukla</b:Middle>
          </b:Person>
        </b:NameList>
      </b:Editor>
      <b:Author>
        <b:NameList>
          <b:Person>
            <b:Last>Sawyer</b:Last>
            <b:First>Steve</b:First>
          </b:Person>
        </b:NameList>
      </b:Author>
    </b:Author>
    <b:ProductionCompany>Global Wind Energy Concil y Indian Wind Turbine Manufacturers Association</b:ProductionCompany>
    <b:YearAccessed>2020</b:YearAccessed>
    <b:RefOrder>8</b:RefOrder>
  </b:Source>
  <b:Source>
    <b:Tag>Gal18</b:Tag>
    <b:SourceType>DocumentFromInternetSite</b:SourceType>
    <b:Guid>{CF479096-5A13-4BB6-B7A8-A01846DE8F4A}</b:Guid>
    <b:Author>
      <b:Author>
        <b:NameList>
          <b:Person>
            <b:Last>Galbán</b:Last>
            <b:First>Noemí</b:First>
          </b:Person>
        </b:NameList>
      </b:Author>
    </b:Author>
    <b:Title>ESPECIAL: Mayor parque eólico de Cuba se construye con tecnología china</b:Title>
    <b:Year>2018</b:Year>
    <b:Month>enero</b:Month>
    <b:Day>22</b:Day>
    <b:URL>http://spanish.xinhuanet.com/2018-01/22/c_136913500.htm </b:URL>
    <b:RefOrder>1</b:RefOrder>
  </b:Source>
  <b:Source>
    <b:Tag>DPé18</b:Tag>
    <b:SourceType>InternetSite</b:SourceType>
    <b:Guid>{2D66B0F2-32F6-4835-92C1-1BE999BE0F5F}</b:Guid>
    <b:Title>Las Tunas acogerá los dos parques eólicos más grandes de Cuba</b:Title>
    <b:InternetSiteTitle>Cibercuba</b:InternetSiteTitle>
    <b:Year>2018</b:Year>
    <b:Month>mayo</b:Month>
    <b:Day>9</b:Day>
    <b:Author>
      <b:Author>
        <b:NameList>
          <b:Person>
            <b:Last>Sáez</b:Last>
            <b:First>D</b:First>
            <b:Middle>Pérez</b:Middle>
          </b:Person>
        </b:NameList>
      </b:Author>
    </b:Author>
    <b:YearAccessed>2020</b:YearAccessed>
    <b:MonthAccessed>abril</b:MonthAccessed>
    <b:DayAccessed>25</b:DayAccessed>
    <b:URL>http://www.cibercuba.com/noticias/2018-05-09-u43231-s27061-aqui-se-levanta-primer-parque-eolico-tunas </b:URL>
    <b:RefOrder>2</b:RefOrder>
  </b:Source>
  <b:Source>
    <b:Tag>Álv19</b:Tag>
    <b:SourceType>Misc</b:SourceType>
    <b:Guid>{45A086DE-300C-4953-87E7-2D4C4DB4F4C6}</b:Guid>
    <b:Title>Experiencias en la construcción del Parque  Eólico La Herradura -1 51MG</b:Title>
    <b:Year>2019</b:Year>
    <b:Month>julio</b:Month>
    <b:Author>
      <b:Author>
        <b:NameList>
          <b:Person>
            <b:Last>Fernández</b:Last>
            <b:First>Adela</b:First>
            <b:Middle>Amanda Álvarez</b:Middle>
          </b:Person>
        </b:NameList>
      </b:Author>
    </b:Author>
    <b:PublicationTitle>Presntación de Power Point</b:PublicationTitle>
    <b:City>La Habana</b:City>
    <b:CountryRegion>Cuba</b:CountryRegion>
    <b:Institution>Empresa Eléctrica Las Tunas (DIP Eólica)</b:Institution>
    <b:ThesisType>Presentación en Power Point</b:ThesisType>
    <b:RefOrder>9</b:RefOrder>
  </b:Source>
  <b:Source>
    <b:Tag>The20</b:Tag>
    <b:SourceType>DocumentFromInternetSite</b:SourceType>
    <b:Guid>{25813FB5-F50A-4A5E-AE2C-09ED854967E1}</b:Guid>
    <b:Title>The Wind Power</b:Title>
    <b:Year>2020</b:Year>
    <b:URL>http://www.thewindpower.net/windfarm_en_30806_la-herradura-1.php</b:URL>
    <b:RefOrder>10</b:RefOrder>
  </b:Source>
  <b:Source>
    <b:Tag>Evw191</b:Tag>
    <b:SourceType>DocumentFromInternetSite</b:SourceType>
    <b:Guid>{FD2A87DF-EE0E-42CA-9B1D-55210EF4D9F8}</b:Guid>
    <b:Title>Evwind</b:Title>
    <b:Year>2019</b:Year>
    <b:Month>marzo</b:Month>
    <b:Day>11</b:Day>
    <b:InternetSiteTitle>Eólica en Cuba: Avanza parque eólico La Herradura 1, de las Tunas</b:InternetSiteTitle>
    <b:YearAccessed>2020</b:YearAccessed>
    <b:URL>https://www.evwind.com/2019/03/11/eòlica-en-cuba-avanza-parque-eolico-la-herradura-1-las-tunas</b:URL>
    <b:MonthAccessed>abril</b:MonthAccessed>
    <b:DayAccessed>25</b:DayAccessed>
    <b:RefOrder>11</b:RefOrder>
  </b:Source>
  <b:Source>
    <b:Tag>Gál05</b:Tag>
    <b:SourceType>Report</b:SourceType>
    <b:Guid>{344C45A1-16EF-4340-AEC3-854C5E8B79C3}</b:Guid>
    <b:Title>Diseño y cálculo preliminar de la torre de un aerogenerador</b:Title>
    <b:Year>2005</b:Year>
    <b:City>Madrid, España</b:City>
    <b:Author>
      <b:Author>
        <b:NameList>
          <b:Person>
            <b:Last>Román</b:Last>
            <b:First>Raquel</b:First>
            <b:Middle>Gálvez</b:Middle>
          </b:Person>
        </b:NameList>
      </b:Author>
    </b:Author>
    <b:Department>Mecánica de medios continuos y teoría de estructuras</b:Department>
    <b:Institution>Universidad Carlos III de Madrid</b:Institution>
    <b:ThesisType>Tesis de grado</b:ThesisType>
    <b:Medium>Digital</b:Medium>
    <b:RefOrder>12</b:RefOrder>
  </b:Source>
  <b:Source>
    <b:Tag>Jos10</b:Tag>
    <b:SourceType>Report</b:SourceType>
    <b:Guid>{3B1E771B-DA61-454C-9BCF-2EDE6F6C92EA}</b:Guid>
    <b:Title>Diseño preliminar de un aerogenerador de 3 MW</b:Title>
    <b:Year>2010</b:Year>
    <b:City>Madrid, España</b:City>
    <b:Author>
      <b:Author>
        <b:NameList>
          <b:Person>
            <b:Last>Martínez</b:Last>
            <b:First>José</b:First>
            <b:Middle>Alberto Navarro</b:Middle>
          </b:Person>
        </b:NameList>
      </b:Author>
    </b:Author>
    <b:Department>E.T.S.I. Aeronáuticos</b:Department>
    <b:Institution>Universidad Politécnica de Madrid</b:Institution>
    <b:ThesisType>Tesis de fin de carrera</b:ThesisType>
    <b:ShortTitle>Reseña histórica</b:ShortTitle>
    <b:RefOrder>13</b:RefOrder>
  </b:Source>
  <b:Source>
    <b:Tag>Ven17</b:Tag>
    <b:SourceType>InternetSite</b:SourceType>
    <b:Guid>{DBD83983-D026-4084-A971-B50317296ACE}</b:Guid>
    <b:Title>Venta generadores</b:Title>
    <b:Year>2017</b:Year>
    <b:URL>http://www.ventageneradores.net/blog/evolucion-de-las-turbinas-eolicas-en-la-historia</b:URL>
    <b:RefOrder>14</b:RefOrder>
  </b:Source>
  <b:Source>
    <b:Tag>Act20</b:Tag>
    <b:SourceType>InternetSite</b:SourceType>
    <b:Guid>{C269E17A-5ABE-40E6-AB96-E9D668BAFF41}</b:Guid>
    <b:Title>Actitud Ecológica</b:Title>
    <b:Year>2020</b:Year>
    <b:URL>http://actitudecológica.com/energíarenovable/eolica </b:URL>
    <b:RefOrder>15</b:RefOrder>
  </b:Source>
  <b:Source>
    <b:Tag>MarcadorDePosición1</b:Tag>
    <b:SourceType>InternetSite</b:SourceType>
    <b:Guid>{CC5799C1-955C-41F1-A2A4-F36A6D2777E3}</b:Guid>
    <b:Title>AEE. Sobre la eólica</b:Title>
    <b:Year>2020</b:Year>
    <b:URL>https://www.evwind.com/2020</b:URL>
    <b:YearAccessed>2020</b:YearAccessed>
    <b:MonthAccessed>abril</b:MonthAccessed>
    <b:DayAccessed>18</b:DayAccessed>
    <b:RefOrder>16</b:RefOrder>
  </b:Source>
  <b:Source>
    <b:Tag>Evw19</b:Tag>
    <b:SourceType>InternetSite</b:SourceType>
    <b:Guid>{2940E685-0707-477A-97F1-546FC6286FE0}</b:Guid>
    <b:Title>Evwind</b:Title>
    <b:Year>2019</b:Year>
    <b:Month>marzo</b:Month>
    <b:Day>18</b:Day>
    <b:URL>https://www.evwind.com/2019/03/18/los-10-primeros-paises-del-mundo-por-capacidad-de-energia-eolica/ </b:URL>
    <b:RefOrder>17</b:RefOrder>
  </b:Source>
  <b:Source>
    <b:Tag>Mar16</b:Tag>
    <b:SourceType>Report</b:SourceType>
    <b:Guid>{51435593-0659-47BB-A91C-E04F5B91E814}</b:Guid>
    <b:Title>Análisis de la variabilidad espacial del perfil de suelos mediante métodos </b:Title>
    <b:Year>2016</b:Year>
    <b:City>Córdoba</b:City>
    <b:Author>
      <b:Author>
        <b:NameList>
          <b:Person>
            <b:Last>VECCHIO</b:Last>
            <b:First>María</b:First>
            <b:Middle>Candela</b:Middle>
          </b:Person>
        </b:NameList>
      </b:Author>
    </b:Author>
    <b:Department>Facultad de Ciencias Exactas, Físicas y Naturales</b:Department>
    <b:Institution>UNIVERSIDAD NACIONAL DE CÓRDOBA</b:Institution>
    <b:ThesisType>Práctica supervisada</b:ThesisType>
    <b:RefOrder>18</b:RefOrder>
  </b:Source>
  <b:Source>
    <b:Tag>MarcadorDePosición2</b:Tag>
    <b:SourceType>Report</b:SourceType>
    <b:Guid>{46CEBB95-8939-4CCE-9A26-F6CB0619449F}</b:Guid>
    <b:Title>Optimización del diseño de la cimentación de un aerogenerador de gran altura</b:Title>
    <b:Year>2012</b:Year>
    <b:Author>
      <b:Author>
        <b:NameList>
          <b:Person>
            <b:Last>Germán</b:Last>
            <b:First>Víctor</b:First>
            <b:Middle>Herrando</b:Middle>
          </b:Person>
        </b:NameList>
      </b:Author>
    </b:Author>
    <b:YearAccessed>2020</b:YearAccessed>
    <b:MonthAccessed>Abril</b:MonthAccessed>
    <b:City>Cataluña, España</b:City>
    <b:Institution>Universidad Politécnica</b:Institution>
    <b:RefOrder>19</b:RefOrder>
  </b:Source>
  <b:Source>
    <b:Tag>Dan11</b:Tag>
    <b:SourceType>Misc</b:SourceType>
    <b:Guid>{A2994C45-7762-4C7E-9152-7625233B36BC}</b:Guid>
    <b:Author>
      <b:Author>
        <b:NameList>
          <b:Person>
            <b:Last>Roque</b:Last>
            <b:First>Daniel</b:First>
            <b:Middle>Isaac</b:Middle>
          </b:Person>
        </b:NameList>
      </b:Author>
    </b:Author>
    <b:Year>2011</b:Year>
    <b:Month>Junio</b:Month>
    <b:Day>07</b:Day>
    <b:StateProvince>Habana</b:StateProvince>
    <b:CountryRegion>Cuba</b:CountryRegion>
    <b:PublicationTitle>Proyectos de Inversión de Parques de Energía Eólica</b:PublicationTitle>
    <b:RefOrder>20</b:RefOrder>
  </b:Source>
  <b:Source>
    <b:Tag>Sit19</b:Tag>
    <b:SourceType>InternetSite</b:SourceType>
    <b:Guid>{F51AA070-D352-4889-95F6-53EC94309545}</b:Guid>
    <b:Title>Sitio Oficial del MINEM-Ministerio de Energía y Minas de la República de Cuba</b:Title>
    <b:Year>2019</b:Year>
    <b:Month>Noviembre</b:Month>
    <b:Day>6</b:Day>
    <b:URL>http://www.minem.gob.cu</b:URL>
    <b:RefOrder>21</b:RefOrder>
  </b:Source>
  <b:Source>
    <b:Tag>Gab18</b:Tag>
    <b:SourceType>Report</b:SourceType>
    <b:Guid>{2EA612A2-2DD6-4F6B-BD67-04E518D47812}</b:Guid>
    <b:Title>Dimensionamiento de cimentaciones superficiales para aerogeneradores offshore</b:Title>
    <b:Year>2018</b:Year>
    <b:City>Gran Canaria</b:City>
    <b:Author>
      <b:Author>
        <b:NameList>
          <b:Person>
            <b:Last>Galván</b:Last>
            <b:First>Gabriel</b:First>
            <b:Middle>Rodríguez</b:Middle>
          </b:Person>
        </b:NameList>
      </b:Author>
    </b:Author>
    <b:Department>Escuela de Ingenierías Industriales y Civiles</b:Department>
    <b:Institution>Universidad de Las Palmas de Gran Canaria</b:Institution>
    <b:ThesisType>Tesis  de maestría</b:ThesisType>
    <b:Medium>digital</b:Medium>
    <b:RefOrder>22</b:RefOrder>
  </b:Source>
  <b:Source>
    <b:Tag>Hug18</b:Tag>
    <b:SourceType>Report</b:SourceType>
    <b:Guid>{2C8070AE-8DD1-4465-A5FE-35091B3FEF90}</b:Guid>
    <b:Author>
      <b:Author>
        <b:NameList>
          <b:Person>
            <b:Last>Lazaré</b:Last>
            <b:First>Hugo</b:First>
            <b:Middle>González</b:Middle>
          </b:Person>
        </b:NameList>
      </b:Author>
    </b:Author>
    <b:Year>2018</b:Year>
    <b:Month>Junio</b:Month>
    <b:City>Santander</b:City>
    <b:PublicationTitle>Cimentaciones especiales para un aerogenerador</b:PublicationTitle>
    <b:Title>Cimentaciones especiales para un aerogenerador</b:Title>
    <b:ThesisType>Tesis de Maestría</b:ThesisType>
    <b:Department>Escuela Técnica Superior de Ingenieros de Caminos, Canales y Puertos</b:Department>
    <b:Institution>Universidad de Cantabria</b:Institution>
    <b:RefOrder>23</b:RefOrder>
  </b:Source>
  <b:Source>
    <b:Tag>htt</b:Tag>
    <b:SourceType>JournalArticle</b:SourceType>
    <b:Guid>{CCB7F9A1-8E8E-476A-BFB7-F57F6F9EEED8}</b:Guid>
    <b:URL>http://www.scielo.org.mx/scielo.php?script=sci_arttext&amp;pid=S2007-30112014000200003</b:URL>
    <b:Author>
      <b:Author>
        <b:NameList>
          <b:Person>
            <b:Last>Orler</b:Last>
            <b:First>Rodolfo </b:First>
          </b:Person>
          <b:Person>
            <b:Last>Donini</b:Last>
            <b:First>Hugo</b:First>
          </b:Person>
        </b:NameList>
      </b:Author>
    </b:Author>
    <b:Title>Algunos aspectos relevantes en el diseño y construcción de bases aisladas para aerogeneradores</b:Title>
    <b:JournalName>Concreto y cemento. Investigación y desarrollo ISSN 2007- 3011</b:JournalName>
    <b:Year>2014</b:Year>
    <b:City>México</b:City>
    <b:Month>julio-diciembre</b:Month>
    <b:Volume>6</b:Volume>
    <b:Issue>1</b:Issue>
    <b:Medium>Digital</b:Medium>
    <b:YearAccessed>2020</b:YearAccessed>
    <b:MonthAccessed>septiembre</b:MonthAccessed>
    <b:RefOrder>24</b:RefOrder>
  </b:Source>
  <b:Source>
    <b:Tag>Apc15</b:Tag>
    <b:SourceType>DocumentFromInternetSite</b:SourceType>
    <b:Guid>{6B6A8C88-6171-438B-B67A-7AA54D90F77D}</b:Guid>
    <b:Title>ResearchGate</b:Title>
    <b:InternetSiteTitle>Tendencias en el diseño de las torres para aerogeneradores multi-MW</b:InternetSiteTitle>
    <b:Year>2015</b:Year>
    <b:Month>marzo</b:Month>
    <b:Day>17</b:Day>
    <b:URL>https://www.researchgate.net/publication/273635382_TENDENCIAS_EN_EL_DISENO_DE_LAS_TORRES_PARA_AEROGENERADORES_MULTI-MW?enrichId=rgreq-96d2f1f24b9adafac6b9187369b21213-</b:URL>
    <b:Author>
      <b:Author>
        <b:NameList>
          <b:Person>
            <b:Last>Apcarian</b:Last>
            <b:First>Anabel</b:First>
          </b:Person>
          <b:Person>
            <b:Last>Lâssig</b:Last>
            <b:Middle>Luis</b:Middle>
            <b:First>Jorge</b:First>
          </b:Person>
        </b:NameList>
      </b:Author>
    </b:Author>
    <b:RefOrder>25</b:RefOrder>
  </b:Source>
  <b:Source>
    <b:Tag>Det02</b:Tag>
    <b:SourceType>Misc</b:SourceType>
    <b:Guid>{32D98C84-56CB-4F0F-9B9A-CD3F23846563}</b:Guid>
    <b:Title>Guidelines for design of wind turbines</b:Title>
    <b:Year>2002</b:Year>
    <b:CountryRegion>Dinamarca</b:CountryRegion>
    <b:Publisher>Det Norske Veritas and Risø National Laboratory</b:Publisher>
    <b:Author>
      <b:Author>
        <b:Corporate>Det Norske Veritas, Copenhagen</b:Corporate>
      </b:Author>
    </b:Author>
    <b:Edition>2</b:Edition>
    <b:RefOrder>26</b:RefOrder>
  </b:Source>
  <b:Source>
    <b:Tag>Iña15</b:Tag>
    <b:SourceType>Report</b:SourceType>
    <b:Guid>{9944F72B-8572-4CCD-8755-AEA1353C3EBB}</b:Guid>
    <b:Title>DISEÑO Y CÁLCULO DE LA TORRE Y LA CIMENTACIÓN DE UN AEROGENERADOR</b:Title>
    <b:Year>2015</b:Year>
    <b:City>Bilbao, España</b:City>
    <b:Author>
      <b:Author>
        <b:NameList>
          <b:Person>
            <b:Last>Ayala</b:Last>
            <b:First>Iñake</b:First>
            <b:Middle>Núrez</b:Middle>
          </b:Person>
        </b:NameList>
      </b:Author>
    </b:Author>
    <b:Institution>ESCUELA UNIVERSITARIA DE INGENIERÍA TÉCNICA INDUSTRIAL DE BILBAO</b:Institution>
    <b:Pages>48-68</b:Pages>
    <b:ThesisType>Estudio de fin de grado en Ingeniería Mecánica</b:ThesisType>
    <b:StandardNumber>Memoria 3</b:StandardNumber>
    <b:RefOrder>27</b:RefOrder>
  </b:Source>
  <b:Source>
    <b:Tag>EHE08</b:Tag>
    <b:SourceType>Misc</b:SourceType>
    <b:Guid>{D8503D70-613B-4DB4-BBB3-17661A15E78F}</b:Guid>
    <b:Title>EHE-08</b:Title>
    <b:PublicationTitle>Instrucción de Hormigón Estructural</b:PublicationTitle>
    <b:Year>2008</b:Year>
    <b:City>Madrid</b:City>
    <b:CountryRegion>España</b:CountryRegion>
    <b:Publisher>Centro de Publicaciones, Secretaría General Técnica</b:Publisher>
    <b:Edition>4</b:Edition>
    <b:RefOrder>28</b:RefOrder>
  </b:Source>
  <b:Source>
    <b:Tag>NC219</b:Tag>
    <b:SourceType>Misc</b:SourceType>
    <b:Guid>{6B758121-BB01-4294-8613-BCE0298E556E}</b:Guid>
    <b:Title>NC 207: 2019</b:Title>
    <b:Year>2019</b:Year>
    <b:PublicationTitle>REQUISITOS GENERALES PARA EL DISEÑO Y CONSTRUCCIÓN DE ESTRUCTURAS DE HORMIGÓN</b:PublicationTitle>
    <b:Month>abril</b:Month>
    <b:CountryRegion>Cuba</b:CountryRegion>
    <b:Edition>Segunda</b:Edition>
    <b:StandardNumber>ICS: 91.080.40</b:StandardNumber>
    <b:YearAccessed>2020</b:YearAccessed>
    <b:MonthAccessed>noviembre</b:MonthAccessed>
    <b:URL>www.nc.cubaindustria.cu</b:URL>
    <b:RefOrder>29</b:RefOrder>
  </b:Source>
  <b:Source>
    <b:Tag>NC501</b:Tag>
    <b:SourceType>Misc</b:SourceType>
    <b:Guid>{2025BF0E-D568-468F-B962-06B4EC6EAE20}</b:Guid>
    <b:Title>NC 53-82-01</b:Title>
    <b:PublicationTitle>Diseño estructural de cimientaciones superficiales. Método de cálculo y diseño</b:PublicationTitle>
    <b:Year>2001</b:Year>
    <b:Edition>1</b:Edition>
    <b:Comments>Propuesta de norma anterior a la vigente</b:Comments>
    <b:RefOrder>30</b:RefOrder>
  </b:Source>
  <b:Source>
    <b:Tag>Cal00</b:Tag>
    <b:SourceType>Book</b:SourceType>
    <b:Guid>{140EA385-9533-4397-89A6-C673B6F8C7F0}</b:Guid>
    <b:Title>Cálculo de estructuras de cimentación</b:Title>
    <b:Year>2000</b:Year>
    <b:City>Madrid</b:City>
    <b:Publisher>INTEMAC, SA</b:Publisher>
    <b:Author>
      <b:Author>
        <b:NameList>
          <b:Person>
            <b:Last>Calavera Ruiz</b:Last>
            <b:First>José</b:First>
          </b:Person>
        </b:NameList>
      </b:Author>
    </b:Author>
    <b:CountryRegion>España</b:CountryRegion>
    <b:Edition>Cuarta</b:Edition>
    <b:Medium>Documento</b:Medium>
    <b:RefOrder>6</b:RefOrder>
  </b:Source>
  <b:Source>
    <b:Tag>Lei18</b:Tag>
    <b:SourceType>Report</b:SourceType>
    <b:Guid>{FA4A77DB-23E7-41B7-9943-51F914C304DE}</b:Guid>
    <b:Title>Proyecto Parque Eólico Herradura-1.51MW</b:Title>
    <b:Year>2018</b:Year>
    <b:Author>
      <b:Author>
        <b:NameList>
          <b:Person>
            <b:Last>Leiva</b:Last>
            <b:First>V</b:First>
          </b:Person>
        </b:NameList>
      </b:Author>
    </b:Author>
    <b:Institution>INEL Ingeniería</b:Institution>
    <b:ThesisType>Memoria descriptiva</b:ThesisType>
    <b:Medium>Documento</b:Medium>
    <b:RefOrder>3</b:RefOrder>
  </b:Source>
  <b:Source>
    <b:Tag>Pie18</b:Tag>
    <b:SourceType>Misc</b:SourceType>
    <b:Guid>{A7CCA2C5-CC42-4815-A6DD-CDB49D3F48B8}</b:Guid>
    <b:Title>Obra: Parque eólico La Herradura-1</b:Title>
    <b:PublicationTitle>Cimientos. Dimensiones</b:PublicationTitle>
    <b:Year>2018</b:Year>
    <b:Month>Mayo</b:Month>
    <b:Day>25</b:Day>
    <b:Author>
      <b:Author>
        <b:NameList>
          <b:Person>
            <b:Last>Piedrahita</b:Last>
            <b:First>P</b:First>
          </b:Person>
        </b:NameList>
      </b:Author>
    </b:Author>
    <b:RefOrder>31</b:RefOrder>
  </b:Source>
  <b:Source>
    <b:Tag>Pow</b:Tag>
    <b:SourceType>Misc</b:SourceType>
    <b:Guid>{2EEE5C83-0F29-4C61-AEA1-DDC89D4EB8BA}</b:Guid>
    <b:Author>
      <b:Author>
        <b:Corporate>Power China Beijing Engineering Corporation Limited</b:Corporate>
      </b:Author>
    </b:Author>
    <b:Title>Instrucción general de Turvina de viento Foundation</b:Title>
    <b:RefOrder>5</b:RefOrder>
  </b:Source>
  <b:Source>
    <b:Tag>AEN99</b:Tag>
    <b:SourceType>Misc</b:SourceType>
    <b:Guid>{D3739484-5F1B-48B3-B7AB-8631B521AB19}</b:Guid>
    <b:Title>Eurocódigo 7: Proyecto geotécnico</b:Title>
    <b:Year>1999</b:Year>
    <b:Publisher>AENOR 1999</b:Publisher>
    <b:Month>Marzo</b:Month>
    <b:CountryRegion>Madrid, España</b:CountryRegion>
    <b:Author>
      <b:Author>
        <b:Corporate>UNE-ENV 1997-1</b:Corporate>
      </b:Author>
    </b:Author>
    <b:RefOrder>32</b:RefOrder>
  </b:Source>
  <b:Source>
    <b:Tag>Bow97</b:Tag>
    <b:SourceType>Misc</b:SourceType>
    <b:Guid>{8C352A60-6A4E-4232-AF15-68632F45D6ED}</b:Guid>
    <b:Title>Foundation Analysis and Design</b:Title>
    <b:Year>1997</b:Year>
    <b:Publisher>Copyright</b:Publisher>
    <b:Author>
      <b:Author>
        <b:NameList>
          <b:Person>
            <b:Last>Bowles</b:Last>
            <b:Middle>E</b:Middle>
            <b:First>Joseph</b:First>
          </b:Person>
        </b:NameList>
      </b:Author>
    </b:Author>
    <b:Edition>1</b:Edition>
    <b:RefOrder>33</b:RefOrder>
  </b:Source>
  <b:Source>
    <b:Tag>Min19</b:Tag>
    <b:SourceType>Misc</b:SourceType>
    <b:Guid>{78CF2A80-7634-4BED-A696-A29CD4BAD6D4}</b:Guid>
    <b:Author>
      <b:Author>
        <b:Corporate>Ministerio de Fomento; Dirección General de Carreteras</b:Corporate>
      </b:Author>
    </b:Author>
    <b:Title>SERIE GUÍAS EUROCÓDIGOS</b:Title>
    <b:PublicationTitle>Guía para el proyecto de cimentaciones en obras de carretera con Eurocódigo 7: Cimentaciones superficiales</b:PublicationTitle>
    <b:Year>2019</b:Year>
    <b:CountryRegion>España</b:CountryRegion>
    <b:Publisher>Ministerio de Fomento, Secretaría General Tecnica, Centro de Publicaciones</b:Publisher>
    <b:Edition>1</b:Edition>
    <b:RefOrder>34</b:RefOrder>
  </b:Source>
  <b:Source>
    <b:Tag>Can06</b:Tag>
    <b:SourceType>Misc</b:SourceType>
    <b:Guid>{C6DFFE6D-67DC-4A3B-9936-83DEDF2545D7}</b:Guid>
    <b:Author>
      <b:Author>
        <b:Corporate>Canadian Geotechnical Society</b:Corporate>
      </b:Author>
    </b:Author>
    <b:Title>Canadian Foundation Engineering Manual</b:Title>
    <b:Year>2006</b:Year>
    <b:RefOrder>35</b:RefOrder>
  </b:Source>
  <b:Source>
    <b:Tag>Emp13</b:Tag>
    <b:SourceType>Report</b:SourceType>
    <b:Guid>{D4E5ACF3-120A-48C2-ACB5-995B35CB6025}</b:Guid>
    <b:Author>
      <b:Author>
        <b:Corporate>ENIA</b:Corporate>
      </b:Author>
    </b:Author>
    <b:Title>Estudio Ingeniero-Geológico Parque Eólico 51 MW La Herradura I. Plataforma 19.</b:Title>
    <b:Year>2013</b:Year>
    <b:City>Holguín</b:City>
    <b:ThesisType>Estudio Ingeniero Geológico</b:ThesisType>
    <b:Institution>Empresa Nacional de Investigaciones Aplicadas. Unidad de Investigaciones para la Construcción Holguín</b:Institution>
    <b:RefOrder>4</b:RefOrder>
  </b:Source>
  <b:Source>
    <b:Tag>AE8</b:Tag>
    <b:SourceType>Misc</b:SourceType>
    <b:Guid>{92DD88CD-C1EC-4470-B93D-A334F937445F}</b:Guid>
    <b:Title>NBE-AE-88</b:Title>
    <b:PublicationTitle>Normativa Española de acciones en la edificación</b:PublicationTitle>
    <b:CountryRegion>España</b:CountryRegion>
    <b:Year>1988</b:Year>
    <b:RefOrder>36</b:RefOrder>
  </b:Source>
  <b:Source>
    <b:Tag>MarcadorDePosición6</b:Tag>
    <b:SourceType>Report</b:SourceType>
    <b:Guid>{CD3D69CB-74A0-4A03-A0CA-F9BE0FCB5D0E}</b:Guid>
    <b:Author>
      <b:Author>
        <b:Corporate>Empresa Nacional de Investigaciones Aplicadas. Unidad de Investigaciones para la Construcción Holguín</b:Corporate>
      </b:Author>
    </b:Author>
    <b:Title>Estudio Ingeniero-Geológico Parque Eólico 51 MW La Herradura I. Plataforma 22.</b:Title>
    <b:Year>2013</b:Year>
    <b:City>Holguín</b:City>
    <b:ThesisType>Estudio Ingeniero Geológico</b:ThesisType>
    <b:RefOrder>37</b:RefOrder>
  </b:Source>
  <b:Source>
    <b:Tag>NC119</b:Tag>
    <b:SourceType>Misc</b:SourceType>
    <b:Guid>{9842EA5D-5F18-434A-94FB-3145C93F74E8}</b:Guid>
    <b:Title>NC 1321:2019</b:Title>
    <b:PublicationTitle>Diseño geotécnico de cimentaciones superficiales</b:PublicationTitle>
    <b:Year>2019</b:Year>
    <b:Month>octubre</b:Month>
    <b:CountryRegion>Cuba</b:CountryRegion>
    <b:Edition>1</b:Edition>
    <b:RefOrder>38</b:RefOrder>
  </b:Source>
</b:Sources>
</file>

<file path=customXml/itemProps1.xml><?xml version="1.0" encoding="utf-8"?>
<ds:datastoreItem xmlns:ds="http://schemas.openxmlformats.org/officeDocument/2006/customXml" ds:itemID="{5525BC3A-CF18-47BE-BFDD-E3BA39DD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3161</Words>
  <Characters>17388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LINARDO</cp:lastModifiedBy>
  <cp:revision>21</cp:revision>
  <cp:lastPrinted>2021-06-22T21:31:00Z</cp:lastPrinted>
  <dcterms:created xsi:type="dcterms:W3CDTF">2021-06-22T20:24:00Z</dcterms:created>
  <dcterms:modified xsi:type="dcterms:W3CDTF">2021-08-30T13:37:00Z</dcterms:modified>
</cp:coreProperties>
</file>