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131446"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XV TALLER INTERNACIONAL “COMUNIDADES 2023: HISTORIA Y DESARROLLO”</w:t>
      </w:r>
    </w:p>
    <w:p w:rsidR="00E912D0" w:rsidRDefault="00E912D0" w:rsidP="00667F10">
      <w:pPr>
        <w:spacing w:after="0"/>
        <w:jc w:val="center"/>
        <w:rPr>
          <w:rFonts w:ascii="Times New Roman" w:hAnsi="Times New Roman" w:cs="Times New Roman"/>
          <w:b/>
          <w:sz w:val="24"/>
          <w:szCs w:val="24"/>
        </w:rPr>
      </w:pPr>
    </w:p>
    <w:p w:rsidR="008A1C16" w:rsidRDefault="00131446" w:rsidP="00667F10">
      <w:pPr>
        <w:spacing w:after="0"/>
        <w:jc w:val="center"/>
        <w:rPr>
          <w:rFonts w:ascii="Times New Roman" w:hAnsi="Times New Roman" w:cs="Times New Roman"/>
          <w:sz w:val="24"/>
          <w:szCs w:val="24"/>
        </w:rPr>
      </w:pPr>
      <w:r w:rsidRPr="00131446">
        <w:rPr>
          <w:rFonts w:ascii="Times New Roman" w:hAnsi="Times New Roman" w:cs="Times New Roman"/>
          <w:b/>
          <w:sz w:val="28"/>
          <w:szCs w:val="28"/>
        </w:rPr>
        <w:t xml:space="preserve">Gestión de un proyecto de desarrollo local al noroeste de La Habana </w:t>
      </w:r>
    </w:p>
    <w:p w:rsidR="00E912D0" w:rsidRDefault="00E912D0" w:rsidP="00667F10">
      <w:pPr>
        <w:spacing w:after="0"/>
        <w:jc w:val="center"/>
        <w:rPr>
          <w:rFonts w:ascii="Times New Roman" w:hAnsi="Times New Roman" w:cs="Times New Roman"/>
          <w:b/>
          <w:i/>
          <w:sz w:val="24"/>
          <w:szCs w:val="24"/>
        </w:rPr>
      </w:pPr>
    </w:p>
    <w:p w:rsidR="008A1C16" w:rsidRPr="00131446" w:rsidRDefault="00131446" w:rsidP="00131446">
      <w:pPr>
        <w:spacing w:after="0"/>
        <w:jc w:val="center"/>
        <w:rPr>
          <w:rFonts w:ascii="Times New Roman" w:hAnsi="Times New Roman" w:cs="Times New Roman"/>
          <w:b/>
          <w:i/>
          <w:sz w:val="28"/>
          <w:szCs w:val="28"/>
          <w:lang w:val="en-US"/>
        </w:rPr>
      </w:pPr>
      <w:r w:rsidRPr="00131446">
        <w:rPr>
          <w:rFonts w:ascii="Times New Roman" w:hAnsi="Times New Roman" w:cs="Times New Roman"/>
          <w:b/>
          <w:i/>
          <w:sz w:val="28"/>
          <w:szCs w:val="28"/>
          <w:lang w:val="en-US"/>
        </w:rPr>
        <w:t>Management of a local development project in the northwest of Havana</w:t>
      </w:r>
    </w:p>
    <w:p w:rsidR="009D5E02" w:rsidRPr="00131446" w:rsidRDefault="009D5E02" w:rsidP="00FF3346">
      <w:pPr>
        <w:spacing w:after="0" w:line="360" w:lineRule="auto"/>
        <w:rPr>
          <w:rFonts w:ascii="Times New Roman" w:hAnsi="Times New Roman" w:cs="Times New Roman"/>
          <w:b/>
          <w:sz w:val="24"/>
          <w:szCs w:val="24"/>
          <w:lang w:val="en-US"/>
        </w:rPr>
      </w:pPr>
    </w:p>
    <w:p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w:t>
      </w:r>
      <w:proofErr w:type="spellStart"/>
      <w:r>
        <w:rPr>
          <w:rFonts w:ascii="Times New Roman" w:hAnsi="Times New Roman" w:cs="Times New Roman"/>
          <w:sz w:val="24"/>
          <w:szCs w:val="24"/>
        </w:rPr>
        <w:t>Roman</w:t>
      </w:r>
      <w:proofErr w:type="spellEnd"/>
      <w:r>
        <w:rPr>
          <w:rFonts w:ascii="Times New Roman" w:hAnsi="Times New Roman" w:cs="Times New Roman"/>
          <w:sz w:val="24"/>
          <w:szCs w:val="24"/>
        </w:rPr>
        <w:t xml:space="preserve">,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131446" w:rsidP="00FF3346">
      <w:pPr>
        <w:spacing w:after="0" w:line="360" w:lineRule="auto"/>
        <w:jc w:val="center"/>
        <w:rPr>
          <w:rFonts w:ascii="Times New Roman" w:hAnsi="Times New Roman" w:cs="Times New Roman"/>
          <w:b/>
          <w:sz w:val="24"/>
          <w:szCs w:val="24"/>
        </w:rPr>
      </w:pPr>
      <w:r w:rsidRPr="00131446">
        <w:rPr>
          <w:rFonts w:ascii="Times New Roman" w:hAnsi="Times New Roman" w:cs="Times New Roman"/>
          <w:b/>
          <w:sz w:val="24"/>
          <w:szCs w:val="24"/>
        </w:rPr>
        <w:t>Roseli García Mesa</w:t>
      </w:r>
      <w:r w:rsidRPr="00131446">
        <w:rPr>
          <w:rFonts w:ascii="Times New Roman" w:hAnsi="Times New Roman" w:cs="Times New Roman"/>
          <w:b/>
          <w:sz w:val="24"/>
          <w:szCs w:val="24"/>
          <w:vertAlign w:val="superscript"/>
        </w:rPr>
        <w:t>1</w:t>
      </w:r>
      <w:r w:rsidRPr="00131446">
        <w:rPr>
          <w:rFonts w:ascii="Times New Roman" w:hAnsi="Times New Roman" w:cs="Times New Roman"/>
          <w:b/>
          <w:sz w:val="24"/>
          <w:szCs w:val="24"/>
        </w:rPr>
        <w:t>, Zaidely Díaz Benítez</w:t>
      </w:r>
      <w:r w:rsidRPr="00131446">
        <w:rPr>
          <w:rFonts w:ascii="Times New Roman" w:hAnsi="Times New Roman" w:cs="Times New Roman"/>
          <w:b/>
          <w:sz w:val="24"/>
          <w:szCs w:val="24"/>
          <w:vertAlign w:val="superscript"/>
        </w:rPr>
        <w:t>2</w:t>
      </w:r>
      <w:r w:rsidRPr="00131446">
        <w:rPr>
          <w:rFonts w:ascii="Times New Roman" w:hAnsi="Times New Roman" w:cs="Times New Roman"/>
          <w:b/>
          <w:sz w:val="24"/>
          <w:szCs w:val="24"/>
        </w:rPr>
        <w:t>, Dagoberto Hernández Escobar</w:t>
      </w:r>
      <w:r w:rsidRPr="00131446">
        <w:rPr>
          <w:rFonts w:ascii="Times New Roman" w:hAnsi="Times New Roman" w:cs="Times New Roman"/>
          <w:b/>
          <w:sz w:val="24"/>
          <w:szCs w:val="24"/>
          <w:vertAlign w:val="superscript"/>
        </w:rPr>
        <w:t>3</w:t>
      </w:r>
      <w:r w:rsidRPr="00131446">
        <w:rPr>
          <w:rFonts w:ascii="Times New Roman" w:hAnsi="Times New Roman" w:cs="Times New Roman"/>
          <w:b/>
          <w:sz w:val="24"/>
          <w:szCs w:val="24"/>
        </w:rPr>
        <w:t>, Lázaro Heynngnezz Pérez</w:t>
      </w:r>
      <w:r w:rsidRPr="00131446">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E912D0" w:rsidRPr="00131446" w:rsidRDefault="00131446" w:rsidP="001314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Roseli García Mesa, Centro de Ingeniería Genética y Biotecnología, Cuba. </w:t>
      </w:r>
      <w:r w:rsidRPr="00131446">
        <w:rPr>
          <w:rFonts w:ascii="Times New Roman" w:hAnsi="Times New Roman" w:cs="Times New Roman"/>
          <w:sz w:val="24"/>
          <w:szCs w:val="24"/>
        </w:rPr>
        <w:t>roseli.garcia@cigb.edu.cu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31446" w:rsidRPr="00131446">
        <w:rPr>
          <w:rFonts w:ascii="Times New Roman" w:hAnsi="Times New Roman" w:cs="Times New Roman"/>
          <w:sz w:val="24"/>
          <w:szCs w:val="24"/>
        </w:rPr>
        <w:t>Zaidely Díaz Benítez</w:t>
      </w:r>
      <w:r w:rsidR="00131446">
        <w:rPr>
          <w:rFonts w:ascii="Times New Roman" w:hAnsi="Times New Roman" w:cs="Times New Roman"/>
          <w:sz w:val="24"/>
          <w:szCs w:val="24"/>
        </w:rPr>
        <w:t>,</w:t>
      </w:r>
      <w:r w:rsidRPr="00E912D0">
        <w:rPr>
          <w:rFonts w:ascii="Times New Roman" w:hAnsi="Times New Roman" w:cs="Times New Roman"/>
          <w:sz w:val="24"/>
          <w:szCs w:val="24"/>
        </w:rPr>
        <w:t xml:space="preserve"> </w:t>
      </w:r>
      <w:r w:rsidR="00131446" w:rsidRPr="00131446">
        <w:rPr>
          <w:rFonts w:ascii="Times New Roman" w:hAnsi="Times New Roman" w:cs="Times New Roman"/>
          <w:sz w:val="24"/>
          <w:szCs w:val="24"/>
        </w:rPr>
        <w:t>Centro de Ingeniería Genética y Biotecnología, Cuba.</w:t>
      </w:r>
    </w:p>
    <w:p w:rsidR="00131446" w:rsidRDefault="00131446"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131446">
        <w:rPr>
          <w:rFonts w:ascii="Times New Roman" w:hAnsi="Times New Roman" w:cs="Times New Roman"/>
          <w:sz w:val="24"/>
          <w:szCs w:val="24"/>
        </w:rPr>
        <w:t>Dagoberto Hernández Escobar</w:t>
      </w:r>
      <w:r w:rsidR="00804351" w:rsidRPr="00804351">
        <w:rPr>
          <w:rFonts w:ascii="Times New Roman" w:hAnsi="Times New Roman" w:cs="Times New Roman"/>
          <w:sz w:val="24"/>
          <w:szCs w:val="24"/>
        </w:rPr>
        <w:t>, Centro de Ingeniería Genética y Biotecnología, Cuba</w:t>
      </w:r>
    </w:p>
    <w:p w:rsidR="00804351" w:rsidRDefault="00804351"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804351">
        <w:rPr>
          <w:rFonts w:ascii="Times New Roman" w:hAnsi="Times New Roman" w:cs="Times New Roman"/>
          <w:sz w:val="24"/>
          <w:szCs w:val="24"/>
        </w:rPr>
        <w:t>Lázaro Heynngnezz Pérez</w:t>
      </w:r>
      <w:r>
        <w:rPr>
          <w:rFonts w:ascii="Times New Roman" w:hAnsi="Times New Roman" w:cs="Times New Roman"/>
          <w:sz w:val="24"/>
          <w:szCs w:val="24"/>
        </w:rPr>
        <w:t>,</w:t>
      </w:r>
      <w:r w:rsidRPr="00804351">
        <w:rPr>
          <w:rFonts w:ascii="Times New Roman" w:hAnsi="Times New Roman" w:cs="Times New Roman"/>
          <w:sz w:val="24"/>
          <w:szCs w:val="24"/>
        </w:rPr>
        <w:t xml:space="preserve"> Centro de Ingeniería Genética y Biotecnología, Cuba</w:t>
      </w:r>
    </w:p>
    <w:p w:rsidR="00E912D0" w:rsidRDefault="00E912D0" w:rsidP="00FF3346">
      <w:pPr>
        <w:spacing w:after="0" w:line="360" w:lineRule="auto"/>
        <w:rPr>
          <w:rFonts w:ascii="Times New Roman" w:hAnsi="Times New Roman" w:cs="Times New Roman"/>
          <w:b/>
          <w:sz w:val="24"/>
          <w:szCs w:val="24"/>
        </w:rPr>
      </w:pPr>
    </w:p>
    <w:p w:rsidR="0016035E"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A1C16" w:rsidRDefault="0016035E" w:rsidP="00FF3346">
      <w:pPr>
        <w:spacing w:after="0" w:line="360" w:lineRule="auto"/>
        <w:jc w:val="both"/>
        <w:rPr>
          <w:rFonts w:ascii="Times New Roman" w:hAnsi="Times New Roman" w:cs="Times New Roman"/>
          <w:b/>
          <w:sz w:val="24"/>
          <w:szCs w:val="24"/>
        </w:rPr>
      </w:pPr>
      <w:r w:rsidRPr="0016035E">
        <w:rPr>
          <w:rFonts w:ascii="Times New Roman" w:hAnsi="Times New Roman" w:cs="Times New Roman"/>
          <w:sz w:val="24"/>
          <w:szCs w:val="24"/>
        </w:rPr>
        <w:t xml:space="preserve">El Desarrollo Local forma parte de una estrategia nacional que busca mayor equidad política, social y económica. La autogestión local constituye el cimiento obligado de cualquier intento de construcción sostenible. En el municipio Playa de La Habana, se inició un proyecto de desarrollo local, que enlazó toda una franja de intervenciones que tuvieron lugar en la franja noroeste de la provincia. El objetivo del presente informe radica en exponer resultados obtenidos tras un proceso de preparación que combinó estratégicamente la participación de la comunidad, siendo el primer ejemplo del país en someter un proceso inversionista a consulta popular. La problemática a resolver radicaba en la falta de operatividad funcional de la farmacia comunitaria, para lo cual se empleó la metodología propuesta por la Doctora </w:t>
      </w:r>
      <w:proofErr w:type="spellStart"/>
      <w:r w:rsidRPr="0016035E">
        <w:rPr>
          <w:rFonts w:ascii="Times New Roman" w:hAnsi="Times New Roman" w:cs="Times New Roman"/>
          <w:sz w:val="24"/>
          <w:szCs w:val="24"/>
        </w:rPr>
        <w:t>Mori</w:t>
      </w:r>
      <w:proofErr w:type="spellEnd"/>
      <w:r w:rsidRPr="0016035E">
        <w:rPr>
          <w:rFonts w:ascii="Times New Roman" w:hAnsi="Times New Roman" w:cs="Times New Roman"/>
          <w:sz w:val="24"/>
          <w:szCs w:val="24"/>
        </w:rPr>
        <w:t xml:space="preserve"> de Perú. La disminución del tiempo de atención por cliente y la mejora de las condiciones laborales de las dependientes forman partes de los principales resultados obtenidos tras la intervención. </w:t>
      </w:r>
      <w:r w:rsidRPr="0016035E">
        <w:rPr>
          <w:rFonts w:ascii="Times New Roman" w:hAnsi="Times New Roman" w:cs="Times New Roman"/>
          <w:sz w:val="24"/>
          <w:szCs w:val="24"/>
        </w:rPr>
        <w:lastRenderedPageBreak/>
        <w:t>El proceso no ha culminado, sin embargo es un punto de partida para aquellas regiones que emprendan en la intención de revitalizar barrios y comunidades.</w:t>
      </w:r>
    </w:p>
    <w:p w:rsidR="009061A5" w:rsidRDefault="009061A5" w:rsidP="00FF3346">
      <w:pPr>
        <w:spacing w:after="0" w:line="360" w:lineRule="auto"/>
        <w:jc w:val="both"/>
        <w:rPr>
          <w:rFonts w:ascii="Times New Roman" w:hAnsi="Times New Roman" w:cs="Times New Roman"/>
          <w:sz w:val="24"/>
          <w:szCs w:val="24"/>
        </w:rPr>
      </w:pPr>
    </w:p>
    <w:p w:rsidR="0016035E"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16035E" w:rsidRPr="0016035E" w:rsidRDefault="0016035E" w:rsidP="00FF3346">
      <w:pPr>
        <w:spacing w:after="0" w:line="360" w:lineRule="auto"/>
        <w:jc w:val="both"/>
        <w:rPr>
          <w:rFonts w:ascii="Times New Roman" w:hAnsi="Times New Roman" w:cs="Times New Roman"/>
          <w:sz w:val="24"/>
          <w:szCs w:val="24"/>
          <w:lang w:val="en-US"/>
        </w:rPr>
      </w:pPr>
      <w:r w:rsidRPr="0016035E">
        <w:rPr>
          <w:rFonts w:ascii="Times New Roman" w:hAnsi="Times New Roman" w:cs="Times New Roman"/>
          <w:sz w:val="24"/>
          <w:szCs w:val="24"/>
          <w:lang w:val="en-US"/>
        </w:rPr>
        <w:t>Local Development is part of a national strategy that seeks greater political, social and economic equity. Local self-management constitutes the obligatory foundation of any attempt at sustainable construction. In the Playa de La Habana municipality, a local development project was started, which linked a whole range of interventions that took place in the northwestern fringe of the province. The objective of this report is to present the results obtained after a preparation process that strategically combined the participation of the community, being the first example in the country to submit an investment process to popular consultation. The problem to be solved lay in the lack of functional operation of the community pharmacy, for which the methodology proposed by Dr. Mori from Peru was used. The decrease in service time per client and the improvement of the working conditions of the dependents are part of the main results obtained after the intervention. The process has not finished, however it is a starting point for those regions that undertake with the intention of revitalizing neighborhoods and communities.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7053E">
        <w:rPr>
          <w:rFonts w:ascii="Times New Roman" w:hAnsi="Times New Roman" w:cs="Times New Roman"/>
          <w:sz w:val="24"/>
          <w:szCs w:val="24"/>
        </w:rPr>
        <w:t>Desarrollo Local; Consulta Popular</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97053E">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97053E" w:rsidRPr="0097053E">
        <w:rPr>
          <w:rFonts w:ascii="Times New Roman" w:hAnsi="Times New Roman" w:cs="Times New Roman"/>
          <w:sz w:val="24"/>
          <w:szCs w:val="24"/>
        </w:rPr>
        <w:t xml:space="preserve">Local </w:t>
      </w:r>
      <w:proofErr w:type="spellStart"/>
      <w:r w:rsidR="0097053E" w:rsidRPr="0097053E">
        <w:rPr>
          <w:rFonts w:ascii="Times New Roman" w:hAnsi="Times New Roman" w:cs="Times New Roman"/>
          <w:sz w:val="24"/>
          <w:szCs w:val="24"/>
        </w:rPr>
        <w:t>development</w:t>
      </w:r>
      <w:proofErr w:type="spellEnd"/>
      <w:r w:rsidR="0097053E" w:rsidRPr="0097053E">
        <w:rPr>
          <w:rFonts w:ascii="Times New Roman" w:hAnsi="Times New Roman" w:cs="Times New Roman"/>
          <w:sz w:val="24"/>
          <w:szCs w:val="24"/>
        </w:rPr>
        <w:t xml:space="preserve">; </w:t>
      </w:r>
      <w:proofErr w:type="spellStart"/>
      <w:r w:rsidR="0097053E" w:rsidRPr="0097053E">
        <w:rPr>
          <w:rFonts w:ascii="Times New Roman" w:hAnsi="Times New Roman" w:cs="Times New Roman"/>
          <w:sz w:val="24"/>
          <w:szCs w:val="24"/>
        </w:rPr>
        <w:t>Referendum</w:t>
      </w:r>
      <w:proofErr w:type="spellEnd"/>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Los cambios económicos y sociales que se contextualizan en la sociedad cubana actual, requieren de procesos transformadores por estar vinculados en los planes futuros del país desde el Programa Nacional de Desarrollo Sostenible, aprobado por el gobierno hasta el año 2030 y que se contextualizan en estrategias locales, apegadas en el ideal de José Martí: “Esa es la raíz y esa es la sal, de la libertad: el municipio” (Martí, 1881).</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Como es conocida las formulaciones con respecto al desarrollo territorial han sido recogidas en los acuerdos del VIII Congreso del Partido Comunista de Cuba, se refrendan por la Asamblea Nacional del Poder Popular a través de la Constitución de la </w:t>
      </w:r>
      <w:r w:rsidRPr="0097053E">
        <w:rPr>
          <w:rFonts w:ascii="Times New Roman" w:hAnsi="Times New Roman" w:cs="Times New Roman"/>
          <w:sz w:val="24"/>
          <w:szCs w:val="24"/>
        </w:rPr>
        <w:lastRenderedPageBreak/>
        <w:t>República de Cuba, en tanto, la comprensión del desarrollo local en el contexto de la desconcentración-descentralización de la gestión a nivel local a favor de la actualización del modelo de desarrollo económico y social hoy, resulta una necesidad si se toma en cuenta el valor que esto tiene en la ideología del pensamiento estratégico revolucionario cubano que se sustenta en las conquistas prácticas, materiales y espirituales que ha logrado la construcción del socialismo en Cuba.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Por lo anteriormente expresado, el desarrollo local, pretende situar como punto central al ser humano y a los intereses colectivos, potenciando en su esfera diaria las capacidades de los individuos. Es un enfoque y una práctica que persigue impulsar el desarrollo endógeno, la auto-organización y el bienestar social, para lo que requiere tanto de la participación colectiva como de la intervención individual. Este proceso bien delineado por las políticas gubernamentales territoriales, conduce no solo a mayores niveles de sustentabilidad, sino también a mayor equidad, despliegue y enriquecimiento de la vida comunal.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Su finalidad es la elevación de la calidad de vida de las personas en el sentido no solo de mejorar sus niveles de ingreso y condiciones materiales de existencia, sino también de enriquecer su espiritualidad y los grados de participación porque abarca de forma integral la totalidad de los complejos asuntos de la vida en la comunidad en los planos sociales, políticos, económicos, medioambientales, de salud, culturales, entre otros, teniendo siempre como escenario a la comunidad local. (</w:t>
      </w:r>
      <w:proofErr w:type="spellStart"/>
      <w:r w:rsidRPr="0097053E">
        <w:rPr>
          <w:rFonts w:ascii="Times New Roman" w:hAnsi="Times New Roman" w:cs="Times New Roman"/>
          <w:sz w:val="24"/>
          <w:szCs w:val="24"/>
        </w:rPr>
        <w:t>Guzón</w:t>
      </w:r>
      <w:proofErr w:type="spellEnd"/>
      <w:r w:rsidRPr="0097053E">
        <w:rPr>
          <w:rFonts w:ascii="Times New Roman" w:hAnsi="Times New Roman" w:cs="Times New Roman"/>
          <w:sz w:val="24"/>
          <w:szCs w:val="24"/>
        </w:rPr>
        <w:t xml:space="preserve"> </w:t>
      </w:r>
      <w:proofErr w:type="spellStart"/>
      <w:r w:rsidRPr="0097053E">
        <w:rPr>
          <w:rFonts w:ascii="Times New Roman" w:hAnsi="Times New Roman" w:cs="Times New Roman"/>
          <w:sz w:val="24"/>
          <w:szCs w:val="24"/>
        </w:rPr>
        <w:t>Camporedondo</w:t>
      </w:r>
      <w:proofErr w:type="spellEnd"/>
      <w:r w:rsidRPr="0097053E">
        <w:rPr>
          <w:rFonts w:ascii="Times New Roman" w:hAnsi="Times New Roman" w:cs="Times New Roman"/>
          <w:sz w:val="24"/>
          <w:szCs w:val="24"/>
        </w:rPr>
        <w:t>, 2006)</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El desarrollo local y comunitario posee como protagonistas fundamentales a los gobiernos, al partido, a las organizaciones políticas y sociales, los actores económicos, los servidores públicos, las agencias e instituciones de la localidad y la población de los territorios.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Los proyectos de desarrollo local se integran a la estrategia municipal de desarrollo territorial, siendo responsabilidad del Consejo de la Administración Municipal su aprobación. Un proyecto de desarrollo local, “constituye un conjunto de recursos, esfuerzos y acciones, con identidad propia, para transformar una situación existente en otra deseada, que contribuya al desarrollo del territorio donde actúa, e impacte en la calidad de vida de la población” (Consejo de Ministros, 2021)</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Según las observaciones y las entrevistas realizadas a diferentes actores locales se pudo evidenciar la falta de conocimientos a la hora de elaborar la documentación requerida </w:t>
      </w:r>
      <w:r w:rsidRPr="0097053E">
        <w:rPr>
          <w:rFonts w:ascii="Times New Roman" w:hAnsi="Times New Roman" w:cs="Times New Roman"/>
          <w:sz w:val="24"/>
          <w:szCs w:val="24"/>
        </w:rPr>
        <w:lastRenderedPageBreak/>
        <w:t xml:space="preserve">que se necesita para elaborar un proyecto de intervención, a partir de esta deficiencia, se plantea el siguiente problema científico </w:t>
      </w:r>
      <w:proofErr w:type="gramStart"/>
      <w:r w:rsidRPr="0097053E">
        <w:rPr>
          <w:rFonts w:ascii="Times New Roman" w:hAnsi="Times New Roman" w:cs="Times New Roman"/>
          <w:sz w:val="24"/>
          <w:szCs w:val="24"/>
        </w:rPr>
        <w:t>¿</w:t>
      </w:r>
      <w:proofErr w:type="gramEnd"/>
      <w:r w:rsidRPr="0097053E">
        <w:rPr>
          <w:rFonts w:ascii="Times New Roman" w:hAnsi="Times New Roman" w:cs="Times New Roman"/>
          <w:sz w:val="24"/>
          <w:szCs w:val="24"/>
        </w:rPr>
        <w:t>Cómo contribuir al desarrollo local de la comunidad del CIGB a través del diseño y la ejecución de un proyecto de intervención en una farmacia por parte de los diferentes actores locales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Teniendo en cuenta las potencialidades técnicas del capital humano de la Dirección de Inversiones, se decide, por directiva del Consejo de Dirección de la Empresa, apoyado por la OSDE Biocubafarma, intervenir servicios relacionados a la comunidad de habitantes del complejo de viviendas del Centro, específicamente para este informe, la farmacia, la cual presentaba un estado técnico muy deficiente, influyendo negativamente en la calidad del servicio brindado y las condiciones de trabajo de los trabajadores del lugar.</w:t>
      </w:r>
    </w:p>
    <w:p w:rsidR="00A21A1F"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Para dar respuesta a este problema se plantea como objetivo de esta investigación aplicar la metodología propuesta por la especialista en Psicología Social María del Pilar Morí Sánchez en 2008, que contribuya al diseño y elaboración de un proyecto de intervención de la farmacia a través de conocimientos normativos; así como evaluar los resultados de su aplicación.</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La intervención comunitaria pretende capacitar y fortalecer a la comunidad para que sea ejecutora y gestora de su propia transformación y la de su entorno. </w:t>
      </w:r>
      <w:proofErr w:type="spellStart"/>
      <w:r w:rsidRPr="0097053E">
        <w:rPr>
          <w:rFonts w:ascii="Times New Roman" w:hAnsi="Times New Roman" w:cs="Times New Roman"/>
          <w:sz w:val="24"/>
          <w:szCs w:val="24"/>
        </w:rPr>
        <w:t>Mori</w:t>
      </w:r>
      <w:proofErr w:type="spellEnd"/>
      <w:r w:rsidRPr="0097053E">
        <w:rPr>
          <w:rFonts w:ascii="Times New Roman" w:hAnsi="Times New Roman" w:cs="Times New Roman"/>
          <w:sz w:val="24"/>
          <w:szCs w:val="24"/>
        </w:rPr>
        <w:t xml:space="preserve"> (2008), propuso el uso de una metodología cualitativa y participativa para lograr incidir en la psicología comunitaria, además estableció que la intervención se debía resumir en las siguientes fases: el diagnóstico de las necesidades de la comunidad, el diseño y planificación de la intervención, evaluación final y la diseminación o exposición de los resultados obtenidos.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Según Gómez (2013), el concepto de autogestión apareció en la década de los 70´s. Tomando en cuenta su concepción desde el ámbito libertario, la autogestión se caracteriza por romper la lógica de las clases sociales, implicación de los individuos en las decisiones del grupo social, no existencia de agentes gubernamentales que generen estructuras jerárquicas involucrados en el diseño de proyectos o toma de decisiones. Lo anteriormente expresado, enfatiza la necesidad de que la solución definitiva, sea reflejo directo de los intereses de la población local.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lastRenderedPageBreak/>
        <w:t>Como parte del levantamiento de las necesidades de la población y usuarios de este servicio, se efectuó una encuesta a 30 personas que se encontraban cerca de la farmacia ese día, con diferentes roles sociales (administrativo, residente, consumidor</w:t>
      </w:r>
      <w:proofErr w:type="gramStart"/>
      <w:r w:rsidRPr="0097053E">
        <w:rPr>
          <w:rFonts w:ascii="Times New Roman" w:hAnsi="Times New Roman" w:cs="Times New Roman"/>
          <w:sz w:val="24"/>
          <w:szCs w:val="24"/>
        </w:rPr>
        <w:t>) ,</w:t>
      </w:r>
      <w:proofErr w:type="gramEnd"/>
      <w:r w:rsidRPr="0097053E">
        <w:rPr>
          <w:rFonts w:ascii="Times New Roman" w:hAnsi="Times New Roman" w:cs="Times New Roman"/>
          <w:sz w:val="24"/>
          <w:szCs w:val="24"/>
        </w:rPr>
        <w:t xml:space="preserve"> se midieron 5 parámetros: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1.</w:t>
      </w:r>
      <w:r w:rsidRPr="0097053E">
        <w:rPr>
          <w:rFonts w:ascii="Times New Roman" w:hAnsi="Times New Roman" w:cs="Times New Roman"/>
          <w:sz w:val="24"/>
          <w:szCs w:val="24"/>
        </w:rPr>
        <w:tab/>
        <w:t xml:space="preserve">Clasificación del personal en administrativo, residente o consumidor </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2.</w:t>
      </w:r>
      <w:r w:rsidRPr="0097053E">
        <w:rPr>
          <w:rFonts w:ascii="Times New Roman" w:hAnsi="Times New Roman" w:cs="Times New Roman"/>
          <w:sz w:val="24"/>
          <w:szCs w:val="24"/>
        </w:rPr>
        <w:tab/>
        <w:t>Apertura al diálogo para la entrevista y aporte de ideas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3.</w:t>
      </w:r>
      <w:r w:rsidRPr="0097053E">
        <w:rPr>
          <w:rFonts w:ascii="Times New Roman" w:hAnsi="Times New Roman" w:cs="Times New Roman"/>
          <w:sz w:val="24"/>
          <w:szCs w:val="24"/>
        </w:rPr>
        <w:tab/>
        <w:t>Empatía con el alcance de la intervención.</w:t>
      </w:r>
    </w:p>
    <w:p w:rsid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4.</w:t>
      </w:r>
      <w:r w:rsidRPr="0097053E">
        <w:rPr>
          <w:rFonts w:ascii="Times New Roman" w:hAnsi="Times New Roman" w:cs="Times New Roman"/>
          <w:sz w:val="24"/>
          <w:szCs w:val="24"/>
        </w:rPr>
        <w:tab/>
        <w:t xml:space="preserve">Percepción del entrevistado sobre los interventores </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5.</w:t>
      </w:r>
      <w:r w:rsidRPr="0097053E">
        <w:rPr>
          <w:rFonts w:ascii="Times New Roman" w:hAnsi="Times New Roman" w:cs="Times New Roman"/>
          <w:sz w:val="24"/>
          <w:szCs w:val="24"/>
        </w:rPr>
        <w:tab/>
        <w:t>Desconocimiento de los participantes con respecto a su función dentro de los proyectos de desarrollo local y la normativa vigente.</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Posterior a la ejecución física de los trabajos, se efectuó una segunda encuesta, donde, se mantuvo la cantidad de personas entrevistadas, sin hacer coincidir el 100% de los entrevistados, y se mantuvo la misma relación de roles sociales obtenidos en el primer ejercicio: 5 administrativos, 16 residentes del complejo de viviendas y 9 consumidores casuales.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Para el levantamiento de los locales se hizo necesario el uso de materiales tales como: lápiz, hojas, tablilla de anotación, cinta métrica, flexómetro, </w:t>
      </w:r>
      <w:proofErr w:type="spellStart"/>
      <w:r w:rsidRPr="0097053E">
        <w:rPr>
          <w:rFonts w:ascii="Times New Roman" w:hAnsi="Times New Roman" w:cs="Times New Roman"/>
          <w:sz w:val="24"/>
          <w:szCs w:val="24"/>
        </w:rPr>
        <w:t>distanciómetro</w:t>
      </w:r>
      <w:proofErr w:type="spellEnd"/>
      <w:r w:rsidRPr="0097053E">
        <w:rPr>
          <w:rFonts w:ascii="Times New Roman" w:hAnsi="Times New Roman" w:cs="Times New Roman"/>
          <w:sz w:val="24"/>
          <w:szCs w:val="24"/>
        </w:rPr>
        <w:t xml:space="preserve"> láser, cámara fotográfica.</w:t>
      </w:r>
    </w:p>
    <w:p w:rsidR="00A21A1F"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Como herramientas para el procesamiento de datos se empleó: computadora de escritorio, Microsoft Excel, Word, </w:t>
      </w:r>
      <w:proofErr w:type="spellStart"/>
      <w:r w:rsidRPr="0097053E">
        <w:rPr>
          <w:rFonts w:ascii="Times New Roman" w:hAnsi="Times New Roman" w:cs="Times New Roman"/>
          <w:sz w:val="24"/>
          <w:szCs w:val="24"/>
        </w:rPr>
        <w:t>Power</w:t>
      </w:r>
      <w:proofErr w:type="spellEnd"/>
      <w:r w:rsidRPr="0097053E">
        <w:rPr>
          <w:rFonts w:ascii="Times New Roman" w:hAnsi="Times New Roman" w:cs="Times New Roman"/>
          <w:sz w:val="24"/>
          <w:szCs w:val="24"/>
        </w:rPr>
        <w:t xml:space="preserve"> Point, Project v.2010, </w:t>
      </w:r>
      <w:proofErr w:type="spellStart"/>
      <w:r w:rsidRPr="0097053E">
        <w:rPr>
          <w:rFonts w:ascii="Times New Roman" w:hAnsi="Times New Roman" w:cs="Times New Roman"/>
          <w:sz w:val="24"/>
          <w:szCs w:val="24"/>
        </w:rPr>
        <w:t>Preswin</w:t>
      </w:r>
      <w:proofErr w:type="spellEnd"/>
      <w:r w:rsidRPr="0097053E">
        <w:rPr>
          <w:rFonts w:ascii="Times New Roman" w:hAnsi="Times New Roman" w:cs="Times New Roman"/>
          <w:sz w:val="24"/>
          <w:szCs w:val="24"/>
        </w:rPr>
        <w:t xml:space="preserve"> v. 9.0, </w:t>
      </w:r>
      <w:proofErr w:type="spellStart"/>
      <w:r w:rsidRPr="0097053E">
        <w:rPr>
          <w:rFonts w:ascii="Times New Roman" w:hAnsi="Times New Roman" w:cs="Times New Roman"/>
          <w:sz w:val="24"/>
          <w:szCs w:val="24"/>
        </w:rPr>
        <w:t>Autocad</w:t>
      </w:r>
      <w:proofErr w:type="spellEnd"/>
      <w:r w:rsidRPr="0097053E">
        <w:rPr>
          <w:rFonts w:ascii="Times New Roman" w:hAnsi="Times New Roman" w:cs="Times New Roman"/>
          <w:sz w:val="24"/>
          <w:szCs w:val="24"/>
        </w:rPr>
        <w:t xml:space="preserve"> v. 2016 y </w:t>
      </w:r>
      <w:proofErr w:type="spellStart"/>
      <w:r w:rsidRPr="0097053E">
        <w:rPr>
          <w:rFonts w:ascii="Times New Roman" w:hAnsi="Times New Roman" w:cs="Times New Roman"/>
          <w:sz w:val="24"/>
          <w:szCs w:val="24"/>
        </w:rPr>
        <w:t>Revit</w:t>
      </w:r>
      <w:proofErr w:type="spellEnd"/>
      <w:r w:rsidRPr="0097053E">
        <w:rPr>
          <w:rFonts w:ascii="Times New Roman" w:hAnsi="Times New Roman" w:cs="Times New Roman"/>
          <w:sz w:val="24"/>
          <w:szCs w:val="24"/>
        </w:rPr>
        <w:t xml:space="preserve"> Autodesk v. 2017.</w:t>
      </w:r>
    </w:p>
    <w:p w:rsidR="0097053E" w:rsidRDefault="0097053E" w:rsidP="0097053E">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Para el diagnóstico del estado constructivo de la farmacia se efectuaron dos levantamientos, uno sobre las dimensiones y condiciones físico-constructivas de la misma y otro mediante encuesta a 30 personas escogidas al azar.</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El objeto de obra se ubica en el Reparto Cubanacán, municipio Playa, municipio que abarca un área de 36,8 km2, que representa el 8,95% de la extensión de la provincia; población total 179 866 habitantes para una densidad de 5011.26Hab/km2. Altitud media 30m sobre el nivel del mar. Limita con los municipios de Marianao, La Lisa, Plaza de la Revolución y parte del Cerro.</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lastRenderedPageBreak/>
        <w:t>Dentro de los servicios que ofrece a su población se encuentran la venta de medicamentos controlados, venta de productos liberados de medicina verde. Diariamente laboran un promedio de cuatro personas con periodicidad de dos turnos, un agente de seguridad. El horario regular de atención a la población es horario laboral.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La instalación forma parte de un edificio multifamiliar de la tipología IMS Yugoslavo modificado. Con columnas espaciadas a 4.20m (eje a eje), losas casetonadas con tensores de acero y muros de bloques. Estructuralmente no presenta daños. En la figura no. 1 se muestra la planta existente y la interrelación entre locales.</w:t>
      </w:r>
    </w:p>
    <w:p w:rsidR="0097053E" w:rsidRDefault="0097053E" w:rsidP="0097053E">
      <w:pPr>
        <w:spacing w:after="0" w:line="360" w:lineRule="auto"/>
        <w:jc w:val="both"/>
        <w:rPr>
          <w:rFonts w:ascii="Times New Roman" w:hAnsi="Times New Roman" w:cs="Times New Roman"/>
          <w:sz w:val="24"/>
          <w:szCs w:val="24"/>
        </w:rPr>
      </w:pPr>
    </w:p>
    <w:p w:rsidR="0097053E" w:rsidRPr="0097053E" w:rsidRDefault="0097053E" w:rsidP="0097053E">
      <w:pPr>
        <w:spacing w:after="0" w:line="360" w:lineRule="auto"/>
        <w:jc w:val="center"/>
        <w:rPr>
          <w:rFonts w:ascii="Times New Roman" w:hAnsi="Times New Roman" w:cs="Times New Roman"/>
          <w:sz w:val="24"/>
          <w:szCs w:val="24"/>
        </w:rPr>
      </w:pPr>
      <w:r w:rsidRPr="00E8019A">
        <w:rPr>
          <w:noProof/>
          <w:lang w:eastAsia="es-ES"/>
        </w:rPr>
        <w:drawing>
          <wp:inline distT="0" distB="0" distL="0" distR="0" wp14:anchorId="604CAC33" wp14:editId="78771C3B">
            <wp:extent cx="2690740" cy="1918245"/>
            <wp:effectExtent l="95250" t="76200" r="71755" b="825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993" cy="1926980"/>
                    </a:xfrm>
                    <a:prstGeom prst="rect">
                      <a:avLst/>
                    </a:prstGeom>
                    <a:solidFill>
                      <a:srgbClr val="FFFFFF">
                        <a:shade val="85000"/>
                      </a:srgbClr>
                    </a:solidFill>
                    <a:ln w="190500" cap="rnd">
                      <a:no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97053E" w:rsidRPr="0097053E" w:rsidRDefault="0097053E" w:rsidP="0097053E">
      <w:pPr>
        <w:spacing w:after="0" w:line="360" w:lineRule="auto"/>
        <w:jc w:val="center"/>
        <w:rPr>
          <w:rFonts w:ascii="Times New Roman" w:hAnsi="Times New Roman" w:cs="Times New Roman"/>
          <w:sz w:val="24"/>
          <w:szCs w:val="24"/>
        </w:rPr>
      </w:pPr>
      <w:r w:rsidRPr="0097053E">
        <w:rPr>
          <w:rFonts w:ascii="Times New Roman" w:hAnsi="Times New Roman" w:cs="Times New Roman"/>
          <w:sz w:val="24"/>
          <w:szCs w:val="24"/>
        </w:rPr>
        <w:t>Figura no.1 Planta existente</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Existe un baño y un área de </w:t>
      </w:r>
      <w:proofErr w:type="spellStart"/>
      <w:r w:rsidRPr="0097053E">
        <w:rPr>
          <w:rFonts w:ascii="Times New Roman" w:hAnsi="Times New Roman" w:cs="Times New Roman"/>
          <w:sz w:val="24"/>
          <w:szCs w:val="24"/>
        </w:rPr>
        <w:t>pantry</w:t>
      </w:r>
      <w:proofErr w:type="spellEnd"/>
      <w:r w:rsidRPr="0097053E">
        <w:rPr>
          <w:rFonts w:ascii="Times New Roman" w:hAnsi="Times New Roman" w:cs="Times New Roman"/>
          <w:sz w:val="24"/>
          <w:szCs w:val="24"/>
        </w:rPr>
        <w:t xml:space="preserve"> cuyas instalaciones y aparatos hidrosanitarios están muy deteriorados, no funcionan los grifos, no existe tanque sanitario, existe musgo en los pisos.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Los conductores eléctricos están totalmente desgastados. La iluminación que proveen las lámparas instaladas, no garantiza el confort adecuado para la actividad que se ejecuta. El baño y el almacén no poseen iluminación. No existe la cantidad adecuada de tomacorrientes e interruptores. Sobresalen de las paredes cables sueltos, que no están correctamente asociados a registros o cajas de electricidad con una adecuada tapa de protección.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La pintura de los muros y los enchapes están manchados por envejecimiento y humedad.</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Los pisos están manchados de una pátina negra relacionado con la acumulación de suciedad y deficiente ventilación de los locales interiores.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lastRenderedPageBreak/>
        <w:t xml:space="preserve">Los locales poseen un falso techo registrable, de elementos de aluminio. Sólo existe el 50% de la totalidad de sus componentes. En algunos sitios, las estructuras portantes están deformadas, </w:t>
      </w:r>
      <w:proofErr w:type="spellStart"/>
      <w:r w:rsidRPr="0097053E">
        <w:rPr>
          <w:rFonts w:ascii="Times New Roman" w:hAnsi="Times New Roman" w:cs="Times New Roman"/>
          <w:sz w:val="24"/>
          <w:szCs w:val="24"/>
        </w:rPr>
        <w:t>flexadas</w:t>
      </w:r>
      <w:proofErr w:type="spellEnd"/>
      <w:r w:rsidRPr="0097053E">
        <w:rPr>
          <w:rFonts w:ascii="Times New Roman" w:hAnsi="Times New Roman" w:cs="Times New Roman"/>
          <w:sz w:val="24"/>
          <w:szCs w:val="24"/>
        </w:rPr>
        <w:t xml:space="preserve"> e incompletas. La falta de pintura en techo, de las losas casetonadas se extiende a toda el área.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La afectación de la carpintería es generalizada en todos sus elementos, entre los que destaca la ausencia de persianas, manipuladores, balancines, picaportes, paños de puerta, bisagras, marcos, etc. </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Las funciones de administrador, almacenero y archivo se desarrollan en el local Oficina, impidiendo que las tres se puedan ejecutar al mismo tiempo. La puerta de la Oficina no tiene seguridad. La cantidad de estantes para conservar documentos y materiales que no salen a la venta no son suficientes, por lo que existen cajas en el piso.</w:t>
      </w:r>
    </w:p>
    <w:p w:rsidR="0097053E" w:rsidRPr="0097053E" w:rsidRDefault="0097053E" w:rsidP="0097053E">
      <w:pPr>
        <w:spacing w:after="0" w:line="360" w:lineRule="auto"/>
        <w:jc w:val="both"/>
        <w:rPr>
          <w:rFonts w:ascii="Times New Roman" w:hAnsi="Times New Roman" w:cs="Times New Roman"/>
          <w:sz w:val="24"/>
          <w:szCs w:val="24"/>
        </w:rPr>
      </w:pPr>
    </w:p>
    <w:p w:rsidR="0097053E" w:rsidRPr="0097053E" w:rsidRDefault="0097053E" w:rsidP="0097053E">
      <w:pPr>
        <w:spacing w:after="0" w:line="360" w:lineRule="auto"/>
        <w:rPr>
          <w:rFonts w:ascii="Times New Roman" w:hAnsi="Times New Roman" w:cs="Times New Roman"/>
          <w:sz w:val="24"/>
          <w:szCs w:val="24"/>
        </w:rPr>
      </w:pPr>
      <w:r>
        <w:rPr>
          <w:noProof/>
          <w:lang w:eastAsia="es-ES"/>
        </w:rPr>
        <w:drawing>
          <wp:inline distT="0" distB="0" distL="0" distR="0" wp14:anchorId="7398CFFA" wp14:editId="486F902C">
            <wp:extent cx="2447925" cy="1752600"/>
            <wp:effectExtent l="0" t="0" r="9525"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r>
        <w:rPr>
          <w:noProof/>
          <w:lang w:eastAsia="es-ES"/>
        </w:rPr>
        <w:drawing>
          <wp:inline distT="0" distB="0" distL="0" distR="0" wp14:anchorId="7CF167BE" wp14:editId="5425E0A1">
            <wp:extent cx="2400300" cy="17526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Figura 2. Percepciones de los participantes sobre la intervención y sus promotores, antes y después de ejecutada</w:t>
      </w:r>
    </w:p>
    <w:p w:rsid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La figura 2 refleja los resultados de las encuestas, donde el nivel de empatía de los entrevistados, con respecto a la idea de intervenir era superior al 50%, por lo que sus criterios, a pesar de ser variados, aportaron claridad a los objetivos a cumplir, por otro lado, los residentes y consumidores poseían una percepción de los ejecutantes como entes ajenos al proceso que se pretendía desarrollar. El segundo gráfico refleja, cómo la apertura al diálogo y la empatía de todos los entrevistados </w:t>
      </w:r>
      <w:proofErr w:type="gramStart"/>
      <w:r w:rsidRPr="0097053E">
        <w:rPr>
          <w:rFonts w:ascii="Times New Roman" w:hAnsi="Times New Roman" w:cs="Times New Roman"/>
          <w:sz w:val="24"/>
          <w:szCs w:val="24"/>
        </w:rPr>
        <w:t>mejoró</w:t>
      </w:r>
      <w:proofErr w:type="gramEnd"/>
      <w:r w:rsidRPr="0097053E">
        <w:rPr>
          <w:rFonts w:ascii="Times New Roman" w:hAnsi="Times New Roman" w:cs="Times New Roman"/>
          <w:sz w:val="24"/>
          <w:szCs w:val="24"/>
        </w:rPr>
        <w:t xml:space="preserve"> tras haberse intervenido el servicio. A pesar de los resultados positivos, el desconocimiento general de los encuestados, con respecto a las políticas de desarrollo social y del contexto en general se diferencian sólo en un 20%.</w:t>
      </w:r>
    </w:p>
    <w:p w:rsidR="0097053E" w:rsidRPr="0097053E" w:rsidRDefault="0097053E" w:rsidP="0097053E">
      <w:pPr>
        <w:spacing w:after="0" w:line="360" w:lineRule="auto"/>
        <w:jc w:val="both"/>
        <w:rPr>
          <w:rFonts w:ascii="Times New Roman" w:hAnsi="Times New Roman" w:cs="Times New Roman"/>
          <w:sz w:val="24"/>
          <w:szCs w:val="24"/>
        </w:rPr>
      </w:pPr>
    </w:p>
    <w:p w:rsidR="0097053E" w:rsidRPr="0097053E" w:rsidRDefault="0097053E" w:rsidP="0097053E">
      <w:pPr>
        <w:spacing w:after="0" w:line="360" w:lineRule="auto"/>
        <w:jc w:val="both"/>
        <w:rPr>
          <w:rFonts w:ascii="Times New Roman" w:hAnsi="Times New Roman" w:cs="Times New Roman"/>
          <w:b/>
          <w:sz w:val="24"/>
          <w:szCs w:val="24"/>
        </w:rPr>
      </w:pPr>
      <w:r w:rsidRPr="0097053E">
        <w:rPr>
          <w:rFonts w:ascii="Times New Roman" w:hAnsi="Times New Roman" w:cs="Times New Roman"/>
          <w:b/>
          <w:sz w:val="24"/>
          <w:szCs w:val="24"/>
        </w:rPr>
        <w:t>Diseño y planificación de la intervención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lastRenderedPageBreak/>
        <w:t>Luego de evaluadas las necesidades relativas al funcionamiento de la farmacia, se definieron las especialidades que intervendrían en la aplicación de soluciones, resultando seleccionadas arquitectura, ambientación, carpintería, electricidad e hidrosanitaria.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Para la organización de las actividades y las brigadas de construcción, se generó un cronograma describiendo tipo de actividad, duración y principales dependencias.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En vistas a las expectativas del personal encuestado, se presentaron dos variantes, las cuales, resolvían de forma diferente aspectos negativos evaluados en el levantamiento físico.</w:t>
      </w:r>
    </w:p>
    <w:p w:rsidR="0097053E" w:rsidRPr="0097053E" w:rsidRDefault="0097053E" w:rsidP="0097053E">
      <w:pPr>
        <w:spacing w:after="0" w:line="360" w:lineRule="auto"/>
        <w:jc w:val="both"/>
        <w:rPr>
          <w:rFonts w:ascii="Times New Roman" w:hAnsi="Times New Roman" w:cs="Times New Roman"/>
          <w:sz w:val="24"/>
          <w:szCs w:val="24"/>
        </w:rPr>
      </w:pPr>
    </w:p>
    <w:p w:rsidR="0097053E" w:rsidRPr="0097053E" w:rsidRDefault="0097053E" w:rsidP="00970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Variante 1</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Modifica el acceso principal existente</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El dispensario y la oficina de administración se modifican para convertirse en Lobby y dispensario con estantería de medicamentos.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El Lobby actual será la oficina de la administradora.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 xml:space="preserve">El área común pasará a ser archivo y </w:t>
      </w:r>
      <w:proofErr w:type="spellStart"/>
      <w:r w:rsidRPr="0097053E">
        <w:rPr>
          <w:rFonts w:ascii="Times New Roman" w:hAnsi="Times New Roman" w:cs="Times New Roman"/>
          <w:sz w:val="24"/>
          <w:szCs w:val="24"/>
        </w:rPr>
        <w:t>pantry</w:t>
      </w:r>
      <w:proofErr w:type="spellEnd"/>
      <w:r w:rsidRPr="0097053E">
        <w:rPr>
          <w:rFonts w:ascii="Times New Roman" w:hAnsi="Times New Roman" w:cs="Times New Roman"/>
          <w:sz w:val="24"/>
          <w:szCs w:val="24"/>
        </w:rPr>
        <w:t>.</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Se desplaza el servicio sanitario (baño) hacia uno de los costados de almacén y se desplaza la puerta de entrada del almacén.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Adecuación de un acceso para ventanilla de despacho nocturno.</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Variante 2 (Ver figura 3)</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Traslado hacia la derecha del acceso principal.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El lobby actual cede espacio para incluir local de la administradora.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La administración concede una parte al dispensario y se adiciona el archivo.</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El área común pasa a ser almacén.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 xml:space="preserve">En el área del servicio sanitario se coloca el </w:t>
      </w:r>
      <w:proofErr w:type="spellStart"/>
      <w:r w:rsidRPr="0097053E">
        <w:rPr>
          <w:rFonts w:ascii="Times New Roman" w:hAnsi="Times New Roman" w:cs="Times New Roman"/>
          <w:sz w:val="24"/>
          <w:szCs w:val="24"/>
        </w:rPr>
        <w:t>pantry</w:t>
      </w:r>
      <w:proofErr w:type="spellEnd"/>
      <w:r w:rsidRPr="0097053E">
        <w:rPr>
          <w:rFonts w:ascii="Times New Roman" w:hAnsi="Times New Roman" w:cs="Times New Roman"/>
          <w:sz w:val="24"/>
          <w:szCs w:val="24"/>
        </w:rPr>
        <w:t xml:space="preserve"> y se desplaza el baño con el fin de obtener ventilación natural.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Se modifica el acceso secundario para facilitar entrada de materiales y salida de desechos.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w:t>
      </w:r>
      <w:r w:rsidRPr="0097053E">
        <w:rPr>
          <w:rFonts w:ascii="Times New Roman" w:hAnsi="Times New Roman" w:cs="Times New Roman"/>
          <w:sz w:val="24"/>
          <w:szCs w:val="24"/>
        </w:rPr>
        <w:tab/>
        <w:t>Adecuación de una sección de carpintería de la fachada principal con ventanilla de despacho nocturno.</w:t>
      </w:r>
    </w:p>
    <w:p w:rsidR="0097053E" w:rsidRPr="0097053E" w:rsidRDefault="0097053E" w:rsidP="0097053E">
      <w:pPr>
        <w:spacing w:after="0" w:line="360" w:lineRule="auto"/>
        <w:jc w:val="center"/>
        <w:rPr>
          <w:rFonts w:ascii="Times New Roman" w:hAnsi="Times New Roman" w:cs="Times New Roman"/>
          <w:sz w:val="24"/>
          <w:szCs w:val="24"/>
        </w:rPr>
      </w:pPr>
      <w:r>
        <w:rPr>
          <w:noProof/>
          <w:lang w:eastAsia="es-ES"/>
        </w:rPr>
        <w:lastRenderedPageBreak/>
        <w:drawing>
          <wp:inline distT="0" distB="0" distL="0" distR="0" wp14:anchorId="1C68E253" wp14:editId="7EBF3F0C">
            <wp:extent cx="2611120" cy="169817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539" t="3947" r="13910" b="19044"/>
                    <a:stretch/>
                  </pic:blipFill>
                  <pic:spPr bwMode="auto">
                    <a:xfrm>
                      <a:off x="0" y="0"/>
                      <a:ext cx="2619637" cy="1703710"/>
                    </a:xfrm>
                    <a:prstGeom prst="rect">
                      <a:avLst/>
                    </a:prstGeom>
                    <a:noFill/>
                    <a:ln>
                      <a:noFill/>
                    </a:ln>
                    <a:extLst>
                      <a:ext uri="{53640926-AAD7-44D8-BBD7-CCE9431645EC}">
                        <a14:shadowObscured xmlns:a14="http://schemas.microsoft.com/office/drawing/2010/main"/>
                      </a:ext>
                    </a:extLst>
                  </pic:spPr>
                </pic:pic>
              </a:graphicData>
            </a:graphic>
          </wp:inline>
        </w:drawing>
      </w:r>
    </w:p>
    <w:p w:rsidR="0097053E" w:rsidRPr="0097053E" w:rsidRDefault="0097053E" w:rsidP="0097053E">
      <w:pPr>
        <w:spacing w:after="0" w:line="360" w:lineRule="auto"/>
        <w:jc w:val="center"/>
        <w:rPr>
          <w:rFonts w:ascii="Times New Roman" w:hAnsi="Times New Roman" w:cs="Times New Roman"/>
          <w:sz w:val="24"/>
          <w:szCs w:val="24"/>
        </w:rPr>
      </w:pPr>
      <w:r w:rsidRPr="0097053E">
        <w:rPr>
          <w:rFonts w:ascii="Times New Roman" w:hAnsi="Times New Roman" w:cs="Times New Roman"/>
          <w:sz w:val="24"/>
          <w:szCs w:val="24"/>
        </w:rPr>
        <w:t>Figura no.3 Planta modificada</w:t>
      </w:r>
    </w:p>
    <w:p w:rsidR="0097053E" w:rsidRPr="0097053E" w:rsidRDefault="0097053E" w:rsidP="0097053E">
      <w:pPr>
        <w:spacing w:after="0" w:line="360" w:lineRule="auto"/>
        <w:jc w:val="both"/>
        <w:rPr>
          <w:rFonts w:ascii="Times New Roman" w:hAnsi="Times New Roman" w:cs="Times New Roman"/>
          <w:b/>
          <w:sz w:val="24"/>
          <w:szCs w:val="24"/>
        </w:rPr>
      </w:pPr>
      <w:r w:rsidRPr="0097053E">
        <w:rPr>
          <w:rFonts w:ascii="Times New Roman" w:hAnsi="Times New Roman" w:cs="Times New Roman"/>
          <w:b/>
          <w:sz w:val="24"/>
          <w:szCs w:val="24"/>
        </w:rPr>
        <w:t>Impacto económico de las soluciones técnicas elaboradas por el capital humano de la dirección de Inversiones.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Las actividades de levantamiento y proyección de las informaciones de organización de obras no fueron contratadas a entidades proyectistas, incrementando su valor por la inmediatez en la entrega de la documentación. El valor ahorrado a la entidad asciende a 64 584 CUP.</w:t>
      </w:r>
    </w:p>
    <w:p w:rsidR="0097053E" w:rsidRPr="0097053E" w:rsidRDefault="0097053E" w:rsidP="0097053E">
      <w:pPr>
        <w:spacing w:after="0" w:line="360" w:lineRule="auto"/>
        <w:jc w:val="both"/>
        <w:rPr>
          <w:rFonts w:ascii="Times New Roman" w:hAnsi="Times New Roman" w:cs="Times New Roman"/>
          <w:sz w:val="24"/>
          <w:szCs w:val="24"/>
        </w:rPr>
      </w:pPr>
    </w:p>
    <w:p w:rsidR="0097053E" w:rsidRPr="0097053E" w:rsidRDefault="0097053E" w:rsidP="0097053E">
      <w:pPr>
        <w:spacing w:after="0" w:line="360" w:lineRule="auto"/>
        <w:jc w:val="both"/>
        <w:rPr>
          <w:rFonts w:ascii="Times New Roman" w:hAnsi="Times New Roman" w:cs="Times New Roman"/>
          <w:b/>
          <w:sz w:val="24"/>
          <w:szCs w:val="24"/>
        </w:rPr>
      </w:pPr>
      <w:r w:rsidRPr="0097053E">
        <w:rPr>
          <w:rFonts w:ascii="Times New Roman" w:hAnsi="Times New Roman" w:cs="Times New Roman"/>
          <w:b/>
          <w:sz w:val="24"/>
          <w:szCs w:val="24"/>
        </w:rPr>
        <w:t>Impacto político-social de la intervención</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El proceso de preparación de la documentación técnica y ejecución de esta intervención, requirió la participación activa de diversos actores que integran el universo social de la </w:t>
      </w:r>
      <w:proofErr w:type="gramStart"/>
      <w:r w:rsidRPr="0097053E">
        <w:rPr>
          <w:rFonts w:ascii="Times New Roman" w:hAnsi="Times New Roman" w:cs="Times New Roman"/>
          <w:sz w:val="24"/>
          <w:szCs w:val="24"/>
        </w:rPr>
        <w:t>comunidad</w:t>
      </w:r>
      <w:proofErr w:type="gramEnd"/>
      <w:r w:rsidRPr="0097053E">
        <w:rPr>
          <w:rFonts w:ascii="Times New Roman" w:hAnsi="Times New Roman" w:cs="Times New Roman"/>
          <w:sz w:val="24"/>
          <w:szCs w:val="24"/>
        </w:rPr>
        <w:t xml:space="preserve"> en cuestión, Partido, Gobierno, Vivienda, OSDE y su sistema de empresas, población en general.</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El hecho de que los desarrolladores de la solución fueran trabajadores del centro, generó un vínculo directo entre los usuarios, se logró obtener retroalimentación en tiempo real de la efectividad y percepción de las propuestas, logrando la integración popular durante el proceso.</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Las actividades constructivas a ejecutar incentivaron la incorporación de trabajadores de la localidad y de formas de </w:t>
      </w:r>
      <w:proofErr w:type="gramStart"/>
      <w:r w:rsidRPr="0097053E">
        <w:rPr>
          <w:rFonts w:ascii="Times New Roman" w:hAnsi="Times New Roman" w:cs="Times New Roman"/>
          <w:sz w:val="24"/>
          <w:szCs w:val="24"/>
        </w:rPr>
        <w:t>gestión estatales y no estatales</w:t>
      </w:r>
      <w:proofErr w:type="gramEnd"/>
      <w:r w:rsidRPr="0097053E">
        <w:rPr>
          <w:rFonts w:ascii="Times New Roman" w:hAnsi="Times New Roman" w:cs="Times New Roman"/>
          <w:sz w:val="24"/>
          <w:szCs w:val="24"/>
        </w:rPr>
        <w:t>.</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Sirve además como una experiencia real, a ser tomada en cuenta para futuras intervenciones, estudiando sus aciertos y principales retos.</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 xml:space="preserve">La nueva planta arquitectónica dividió funciones que no se podían ejecutar al unísono, ya que solo existía una oficina administrativa. No creó local para garantizar seguridad para almacenar productos. El confort de los locales mejoró las condiciones de trabajo del personal que atendía al público. Se logró un mejor aprovechamiento de los espacios, </w:t>
      </w:r>
      <w:r w:rsidRPr="0097053E">
        <w:rPr>
          <w:rFonts w:ascii="Times New Roman" w:hAnsi="Times New Roman" w:cs="Times New Roman"/>
          <w:sz w:val="24"/>
          <w:szCs w:val="24"/>
        </w:rPr>
        <w:lastRenderedPageBreak/>
        <w:t xml:space="preserve">ya que además de la creación de oficinas, independientes, se concibió un servicio sanitario con el metraje adecuado y un área de </w:t>
      </w:r>
      <w:proofErr w:type="spellStart"/>
      <w:r w:rsidRPr="0097053E">
        <w:rPr>
          <w:rFonts w:ascii="Times New Roman" w:hAnsi="Times New Roman" w:cs="Times New Roman"/>
          <w:sz w:val="24"/>
          <w:szCs w:val="24"/>
        </w:rPr>
        <w:t>pantry</w:t>
      </w:r>
      <w:proofErr w:type="spellEnd"/>
      <w:r w:rsidRPr="0097053E">
        <w:rPr>
          <w:rFonts w:ascii="Times New Roman" w:hAnsi="Times New Roman" w:cs="Times New Roman"/>
          <w:sz w:val="24"/>
          <w:szCs w:val="24"/>
        </w:rPr>
        <w:t xml:space="preserve"> con fregadero y meseta.</w:t>
      </w:r>
    </w:p>
    <w:p w:rsidR="0097053E" w:rsidRPr="0097053E" w:rsidRDefault="0097053E" w:rsidP="0097053E">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Las principales desventajas de la distribución arquitectónica que se ejecutó radican en la falta de ventilación directa del local de archivo y almacén, la fachada principal tiene una ubicación al suroeste, por lo que el asoleamiento en horario de la tarde incide negativamente en el área de despacho, para ello se diseñó un sistema de ambientación con cortinas, las que se deslizan según la necesidad de las dependientes, el acceso principal es a través de una escalera sin pasamanos, por regulaciones arquitectónicas de pendientes permisibles, no fue posible ejecutar una rampa para el acceso, no obstante, la relación huella-contrahuella, es aceptable según normas de buenas prácticas (</w:t>
      </w:r>
      <w:proofErr w:type="spellStart"/>
      <w:r w:rsidRPr="0097053E">
        <w:rPr>
          <w:rFonts w:ascii="Times New Roman" w:hAnsi="Times New Roman" w:cs="Times New Roman"/>
          <w:sz w:val="24"/>
          <w:szCs w:val="24"/>
        </w:rPr>
        <w:t>Neufert</w:t>
      </w:r>
      <w:proofErr w:type="spellEnd"/>
      <w:r w:rsidRPr="0097053E">
        <w:rPr>
          <w:rFonts w:ascii="Times New Roman" w:hAnsi="Times New Roman" w:cs="Times New Roman"/>
          <w:sz w:val="24"/>
          <w:szCs w:val="24"/>
        </w:rPr>
        <w:t>, 1975).</w:t>
      </w:r>
    </w:p>
    <w:p w:rsidR="00FF3346" w:rsidRDefault="0097053E" w:rsidP="00FF3346">
      <w:pPr>
        <w:spacing w:after="0" w:line="360" w:lineRule="auto"/>
        <w:jc w:val="both"/>
        <w:rPr>
          <w:rFonts w:ascii="Times New Roman" w:hAnsi="Times New Roman" w:cs="Times New Roman"/>
          <w:sz w:val="24"/>
          <w:szCs w:val="24"/>
        </w:rPr>
      </w:pPr>
      <w:r w:rsidRPr="0097053E">
        <w:rPr>
          <w:rFonts w:ascii="Times New Roman" w:hAnsi="Times New Roman" w:cs="Times New Roman"/>
          <w:sz w:val="24"/>
          <w:szCs w:val="24"/>
        </w:rPr>
        <w:t>El cronograma indicativo no se ajustó al tiempo real de ejecución debido a factores relacionados con la instabilidad de la fuerza de trabajo y la escasez de materiales.</w:t>
      </w:r>
    </w:p>
    <w:p w:rsidR="00FA6862" w:rsidRDefault="00FA6862"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bookmarkStart w:id="0" w:name="_GoBack"/>
      <w:bookmarkEnd w:id="0"/>
      <w:r w:rsidRPr="00FF3346">
        <w:rPr>
          <w:rFonts w:ascii="Times New Roman" w:hAnsi="Times New Roman" w:cs="Times New Roman"/>
          <w:b/>
          <w:sz w:val="24"/>
          <w:szCs w:val="24"/>
        </w:rPr>
        <w:t>4. Conclusiones</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El proyecto se enmarca en el enfoque de la planificación participativa y estratégica como aporte al desarrollo local como modelo ideal.</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La intervención permitió devolver vitalidad a las diferentes funciones que se desarrollan en la farmacia.</w:t>
      </w:r>
    </w:p>
    <w:p w:rsidR="00FF3346"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En este trabajo, el proyecto se presenta como una herramienta de transformación, en una escala intermedia entre el proyecto arquitectónico y los planes de desarrollo municipal, es decir, una escala de proyecto que permita una participación de la población que enriquezca y le de sostenibilidad a los procesos y permita una articulación fluida entre los actores intervinientes.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Consejo de Ministros. (2021). Decreto 33/2021 Para la Gestión Estratégica del Díaz-</w:t>
      </w:r>
      <w:proofErr w:type="spellStart"/>
      <w:r w:rsidRPr="00FA6862">
        <w:rPr>
          <w:rFonts w:ascii="Times New Roman" w:hAnsi="Times New Roman" w:cs="Times New Roman"/>
          <w:sz w:val="24"/>
          <w:szCs w:val="24"/>
        </w:rPr>
        <w:t>Canel</w:t>
      </w:r>
      <w:proofErr w:type="spellEnd"/>
      <w:r w:rsidRPr="00FA6862">
        <w:rPr>
          <w:rFonts w:ascii="Times New Roman" w:hAnsi="Times New Roman" w:cs="Times New Roman"/>
          <w:sz w:val="24"/>
          <w:szCs w:val="24"/>
        </w:rPr>
        <w:t xml:space="preserve"> Bermúdez, M. (2021). Sistema de gestión del gobierno basado en Ciencia e Innovación para el desarrollo sostenible en Cuba. Villa Clara, Cuba: Universidad Marta Abreu.</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 xml:space="preserve">Desarrollo Territorial (GOC-2021-359-O40). La Habana, Cuba: Gaceta Oficial de la Gil Fernández, A. (2021). Ministro de Economía informa nuevas facilidades para impulsar proyectos de desarrollo territorial. </w:t>
      </w:r>
      <w:proofErr w:type="spellStart"/>
      <w:r w:rsidRPr="00FA6862">
        <w:rPr>
          <w:rFonts w:ascii="Times New Roman" w:hAnsi="Times New Roman" w:cs="Times New Roman"/>
          <w:sz w:val="24"/>
          <w:szCs w:val="24"/>
        </w:rPr>
        <w:t>Cubadebate</w:t>
      </w:r>
      <w:proofErr w:type="spellEnd"/>
    </w:p>
    <w:p w:rsidR="00FA6862" w:rsidRPr="00FA6862" w:rsidRDefault="00FA6862" w:rsidP="00FA6862">
      <w:pPr>
        <w:spacing w:after="0" w:line="360" w:lineRule="auto"/>
        <w:jc w:val="both"/>
        <w:rPr>
          <w:rFonts w:ascii="Times New Roman" w:hAnsi="Times New Roman" w:cs="Times New Roman"/>
          <w:sz w:val="24"/>
          <w:szCs w:val="24"/>
        </w:rPr>
      </w:pPr>
      <w:proofErr w:type="spellStart"/>
      <w:r w:rsidRPr="00FA6862">
        <w:rPr>
          <w:rFonts w:ascii="Times New Roman" w:hAnsi="Times New Roman" w:cs="Times New Roman"/>
          <w:sz w:val="24"/>
          <w:szCs w:val="24"/>
        </w:rPr>
        <w:lastRenderedPageBreak/>
        <w:t>Guzón</w:t>
      </w:r>
      <w:proofErr w:type="spellEnd"/>
      <w:r w:rsidRPr="00FA6862">
        <w:rPr>
          <w:rFonts w:ascii="Times New Roman" w:hAnsi="Times New Roman" w:cs="Times New Roman"/>
          <w:sz w:val="24"/>
          <w:szCs w:val="24"/>
        </w:rPr>
        <w:t xml:space="preserve"> </w:t>
      </w:r>
      <w:proofErr w:type="spellStart"/>
      <w:r w:rsidRPr="00FA6862">
        <w:rPr>
          <w:rFonts w:ascii="Times New Roman" w:hAnsi="Times New Roman" w:cs="Times New Roman"/>
          <w:sz w:val="24"/>
          <w:szCs w:val="24"/>
        </w:rPr>
        <w:t>Camporedondo</w:t>
      </w:r>
      <w:proofErr w:type="spellEnd"/>
      <w:r w:rsidRPr="00FA6862">
        <w:rPr>
          <w:rFonts w:ascii="Times New Roman" w:hAnsi="Times New Roman" w:cs="Times New Roman"/>
          <w:sz w:val="24"/>
          <w:szCs w:val="24"/>
        </w:rPr>
        <w:t>, A. (2006). Editorial Academia.</w:t>
      </w:r>
    </w:p>
    <w:p w:rsidR="00FA6862" w:rsidRPr="009D5E02" w:rsidRDefault="00FA6862" w:rsidP="00FA6862">
      <w:pPr>
        <w:spacing w:after="0" w:line="360" w:lineRule="auto"/>
        <w:jc w:val="both"/>
        <w:rPr>
          <w:rFonts w:ascii="Times New Roman" w:hAnsi="Times New Roman" w:cs="Times New Roman"/>
          <w:sz w:val="24"/>
          <w:szCs w:val="24"/>
        </w:rPr>
      </w:pPr>
      <w:proofErr w:type="spellStart"/>
      <w:r w:rsidRPr="00FA6862">
        <w:rPr>
          <w:rFonts w:ascii="Times New Roman" w:hAnsi="Times New Roman" w:cs="Times New Roman"/>
          <w:sz w:val="24"/>
          <w:szCs w:val="24"/>
        </w:rPr>
        <w:t>Neufert</w:t>
      </w:r>
      <w:proofErr w:type="spellEnd"/>
      <w:r w:rsidRPr="00FA6862">
        <w:rPr>
          <w:rFonts w:ascii="Times New Roman" w:hAnsi="Times New Roman" w:cs="Times New Roman"/>
          <w:sz w:val="24"/>
          <w:szCs w:val="24"/>
        </w:rPr>
        <w:t xml:space="preserve">, </w:t>
      </w:r>
      <w:proofErr w:type="spellStart"/>
      <w:r w:rsidRPr="00FA6862">
        <w:rPr>
          <w:rFonts w:ascii="Times New Roman" w:hAnsi="Times New Roman" w:cs="Times New Roman"/>
          <w:sz w:val="24"/>
          <w:szCs w:val="24"/>
        </w:rPr>
        <w:t>Ernest</w:t>
      </w:r>
      <w:proofErr w:type="spellEnd"/>
      <w:r w:rsidRPr="00FA6862">
        <w:rPr>
          <w:rFonts w:ascii="Times New Roman" w:hAnsi="Times New Roman" w:cs="Times New Roman"/>
          <w:sz w:val="24"/>
          <w:szCs w:val="24"/>
        </w:rPr>
        <w:t xml:space="preserve"> (1975). Arte de proyectar en arquitectura. Duodécima Edición, Ed, - Gustavo Gili. México.</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Martí, J. (1881). Obras Completas. Tomo 7. El Partido Liberal.</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M Gómez, (2013) Contextualizaciones Latinoamericanas</w:t>
      </w:r>
    </w:p>
    <w:p w:rsidR="00FA6862" w:rsidRPr="00FA6862" w:rsidRDefault="00FA6862" w:rsidP="00FA6862">
      <w:pPr>
        <w:spacing w:after="0" w:line="360" w:lineRule="auto"/>
        <w:jc w:val="both"/>
        <w:rPr>
          <w:rFonts w:ascii="Times New Roman" w:hAnsi="Times New Roman" w:cs="Times New Roman"/>
          <w:sz w:val="24"/>
          <w:szCs w:val="24"/>
        </w:rPr>
      </w:pPr>
      <w:proofErr w:type="spellStart"/>
      <w:r w:rsidRPr="00FA6862">
        <w:rPr>
          <w:rFonts w:ascii="Times New Roman" w:hAnsi="Times New Roman" w:cs="Times New Roman"/>
          <w:sz w:val="24"/>
          <w:szCs w:val="24"/>
        </w:rPr>
        <w:t>Mori</w:t>
      </w:r>
      <w:proofErr w:type="spellEnd"/>
      <w:r w:rsidRPr="00FA6862">
        <w:rPr>
          <w:rFonts w:ascii="Times New Roman" w:hAnsi="Times New Roman" w:cs="Times New Roman"/>
          <w:sz w:val="24"/>
          <w:szCs w:val="24"/>
        </w:rPr>
        <w:t xml:space="preserve"> Sánchez, María del Pilar, (2008) Una propuesta metodológica para la intervención comunitaria</w:t>
      </w:r>
    </w:p>
    <w:p w:rsidR="00FA6862" w:rsidRPr="00FA6862" w:rsidRDefault="00FA6862" w:rsidP="00FA6862">
      <w:pPr>
        <w:spacing w:after="0" w:line="360" w:lineRule="auto"/>
        <w:jc w:val="both"/>
        <w:rPr>
          <w:rFonts w:ascii="Times New Roman" w:hAnsi="Times New Roman" w:cs="Times New Roman"/>
          <w:sz w:val="24"/>
          <w:szCs w:val="24"/>
        </w:rPr>
      </w:pPr>
      <w:r w:rsidRPr="00FA6862">
        <w:rPr>
          <w:rFonts w:ascii="Times New Roman" w:hAnsi="Times New Roman" w:cs="Times New Roman"/>
          <w:sz w:val="24"/>
          <w:szCs w:val="24"/>
        </w:rPr>
        <w:t>República de Cuba. Ministerio de Justicia. No. 40 Ordinaria de 16 de abril de 2021.</w:t>
      </w:r>
    </w:p>
    <w:p w:rsidR="00FA6862" w:rsidRPr="009D5E02" w:rsidRDefault="00FA6862">
      <w:pPr>
        <w:spacing w:after="0" w:line="360" w:lineRule="auto"/>
        <w:jc w:val="both"/>
        <w:rPr>
          <w:rFonts w:ascii="Times New Roman" w:hAnsi="Times New Roman" w:cs="Times New Roman"/>
          <w:sz w:val="24"/>
          <w:szCs w:val="24"/>
        </w:rPr>
      </w:pPr>
    </w:p>
    <w:sectPr w:rsidR="00FA6862" w:rsidRPr="009D5E02"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A6862">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6E3B006E" wp14:editId="688C66E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131446" w:rsidP="00F31B37">
          <w:pPr>
            <w:pStyle w:val="Encabezado"/>
            <w:jc w:val="center"/>
            <w:rPr>
              <w:rFonts w:ascii="Verdana" w:hAnsi="Verdana"/>
              <w:b/>
              <w:sz w:val="16"/>
              <w:szCs w:val="16"/>
              <w:lang w:val="es-ES_tradnl"/>
            </w:rPr>
          </w:pPr>
          <w:r>
            <w:rPr>
              <w:rFonts w:ascii="Verdana" w:hAnsi="Verdana"/>
              <w:b/>
              <w:sz w:val="16"/>
              <w:szCs w:val="16"/>
              <w:lang w:val="es-ES_tradnl"/>
            </w:rPr>
            <w:t>Convención Científica Internacional2023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131446" w:rsidRDefault="00131446" w:rsidP="00F31B37">
          <w:pPr>
            <w:pStyle w:val="Encabezado"/>
            <w:jc w:val="center"/>
            <w:rPr>
              <w:rFonts w:ascii="Verdana" w:hAnsi="Verdana"/>
              <w:b/>
              <w:sz w:val="18"/>
              <w:szCs w:val="18"/>
            </w:rPr>
          </w:pPr>
          <w:r>
            <w:rPr>
              <w:rFonts w:ascii="Verdana" w:hAnsi="Verdana"/>
              <w:b/>
              <w:sz w:val="16"/>
              <w:szCs w:val="16"/>
              <w:lang w:val="es-ES_tradnl"/>
            </w:rPr>
            <w:t>Gestión de un proyecto de desarrollo local al noroeste de La Habana</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66F4"/>
    <w:multiLevelType w:val="hybridMultilevel"/>
    <w:tmpl w:val="8170416E"/>
    <w:lvl w:ilvl="0" w:tplc="7ABAA1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31446"/>
    <w:rsid w:val="0016035E"/>
    <w:rsid w:val="002E0882"/>
    <w:rsid w:val="002E272A"/>
    <w:rsid w:val="00403285"/>
    <w:rsid w:val="005577B6"/>
    <w:rsid w:val="005754D8"/>
    <w:rsid w:val="006271E4"/>
    <w:rsid w:val="00667F10"/>
    <w:rsid w:val="00671849"/>
    <w:rsid w:val="007455FF"/>
    <w:rsid w:val="00804351"/>
    <w:rsid w:val="00815971"/>
    <w:rsid w:val="0088159E"/>
    <w:rsid w:val="008A1C16"/>
    <w:rsid w:val="009061A5"/>
    <w:rsid w:val="0091621C"/>
    <w:rsid w:val="0097053E"/>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A686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Informes%20tecnicos%20para%20CIGB\Intervencion%20comunidad\encuen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Informes%20tecnicos%20para%20CIGB\Intervencion%20comunidad\encuen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ES" sz="1050"/>
              <a:t>Encuesta Inicial</a:t>
            </a:r>
          </a:p>
        </c:rich>
      </c:tx>
      <c:layout/>
      <c:overlay val="0"/>
      <c:spPr>
        <a:noFill/>
        <a:ln>
          <a:noFill/>
        </a:ln>
        <a:effectLst/>
      </c:spPr>
    </c:title>
    <c:autoTitleDeleted val="0"/>
    <c:plotArea>
      <c:layout/>
      <c:barChart>
        <c:barDir val="col"/>
        <c:grouping val="clustered"/>
        <c:varyColors val="0"/>
        <c:ser>
          <c:idx val="0"/>
          <c:order val="0"/>
          <c:tx>
            <c:strRef>
              <c:f>'Antes de comenzar'!$S$4</c:f>
              <c:strCache>
                <c:ptCount val="1"/>
                <c:pt idx="0">
                  <c:v>Administrativo</c:v>
                </c:pt>
              </c:strCache>
            </c:strRef>
          </c:tx>
          <c:spPr>
            <a:solidFill>
              <a:schemeClr val="accent1"/>
            </a:solidFill>
            <a:ln>
              <a:noFill/>
            </a:ln>
            <a:effectLst/>
          </c:spPr>
          <c:invertIfNegative val="0"/>
          <c:cat>
            <c:strRef>
              <c:f>'Antes de comenzar'!$T$3:$W$3</c:f>
              <c:strCache>
                <c:ptCount val="4"/>
                <c:pt idx="0">
                  <c:v>Apertura al diálogo</c:v>
                </c:pt>
                <c:pt idx="1">
                  <c:v>Empatía</c:v>
                </c:pt>
                <c:pt idx="2">
                  <c:v>Aire de superioridad de los intereventores</c:v>
                </c:pt>
                <c:pt idx="3">
                  <c:v>Desconocimiento del contexto</c:v>
                </c:pt>
              </c:strCache>
            </c:strRef>
          </c:cat>
          <c:val>
            <c:numRef>
              <c:f>'Antes de comenzar'!$T$4:$W$4</c:f>
              <c:numCache>
                <c:formatCode>General</c:formatCode>
                <c:ptCount val="4"/>
                <c:pt idx="0">
                  <c:v>80</c:v>
                </c:pt>
                <c:pt idx="1">
                  <c:v>100</c:v>
                </c:pt>
                <c:pt idx="2">
                  <c:v>40</c:v>
                </c:pt>
                <c:pt idx="3">
                  <c:v>80</c:v>
                </c:pt>
              </c:numCache>
            </c:numRef>
          </c:val>
          <c:extLst xmlns:c16r2="http://schemas.microsoft.com/office/drawing/2015/06/chart">
            <c:ext xmlns:c16="http://schemas.microsoft.com/office/drawing/2014/chart" uri="{C3380CC4-5D6E-409C-BE32-E72D297353CC}">
              <c16:uniqueId val="{00000000-CA8A-4BB1-8F00-CBFC01C695DB}"/>
            </c:ext>
          </c:extLst>
        </c:ser>
        <c:ser>
          <c:idx val="1"/>
          <c:order val="1"/>
          <c:tx>
            <c:strRef>
              <c:f>'Antes de comenzar'!$S$5</c:f>
              <c:strCache>
                <c:ptCount val="1"/>
                <c:pt idx="0">
                  <c:v>Residente</c:v>
                </c:pt>
              </c:strCache>
            </c:strRef>
          </c:tx>
          <c:spPr>
            <a:solidFill>
              <a:schemeClr val="accent2"/>
            </a:solidFill>
            <a:ln>
              <a:noFill/>
            </a:ln>
            <a:effectLst/>
          </c:spPr>
          <c:invertIfNegative val="0"/>
          <c:cat>
            <c:strRef>
              <c:f>'Antes de comenzar'!$T$3:$W$3</c:f>
              <c:strCache>
                <c:ptCount val="4"/>
                <c:pt idx="0">
                  <c:v>Apertura al diálogo</c:v>
                </c:pt>
                <c:pt idx="1">
                  <c:v>Empatía</c:v>
                </c:pt>
                <c:pt idx="2">
                  <c:v>Aire de superioridad de los intereventores</c:v>
                </c:pt>
                <c:pt idx="3">
                  <c:v>Desconocimiento del contexto</c:v>
                </c:pt>
              </c:strCache>
            </c:strRef>
          </c:cat>
          <c:val>
            <c:numRef>
              <c:f>'Antes de comenzar'!$T$5:$W$5</c:f>
              <c:numCache>
                <c:formatCode>0</c:formatCode>
                <c:ptCount val="4"/>
                <c:pt idx="0">
                  <c:v>81.25</c:v>
                </c:pt>
                <c:pt idx="1">
                  <c:v>68.75</c:v>
                </c:pt>
                <c:pt idx="2">
                  <c:v>56.25</c:v>
                </c:pt>
                <c:pt idx="3">
                  <c:v>56.25</c:v>
                </c:pt>
              </c:numCache>
            </c:numRef>
          </c:val>
          <c:extLst xmlns:c16r2="http://schemas.microsoft.com/office/drawing/2015/06/chart">
            <c:ext xmlns:c16="http://schemas.microsoft.com/office/drawing/2014/chart" uri="{C3380CC4-5D6E-409C-BE32-E72D297353CC}">
              <c16:uniqueId val="{00000001-CA8A-4BB1-8F00-CBFC01C695DB}"/>
            </c:ext>
          </c:extLst>
        </c:ser>
        <c:ser>
          <c:idx val="2"/>
          <c:order val="2"/>
          <c:tx>
            <c:strRef>
              <c:f>'Antes de comenzar'!$S$6</c:f>
              <c:strCache>
                <c:ptCount val="1"/>
                <c:pt idx="0">
                  <c:v>Consumidor</c:v>
                </c:pt>
              </c:strCache>
            </c:strRef>
          </c:tx>
          <c:spPr>
            <a:solidFill>
              <a:schemeClr val="accent3"/>
            </a:solidFill>
            <a:ln>
              <a:noFill/>
            </a:ln>
            <a:effectLst/>
          </c:spPr>
          <c:invertIfNegative val="0"/>
          <c:cat>
            <c:strRef>
              <c:f>'Antes de comenzar'!$T$3:$W$3</c:f>
              <c:strCache>
                <c:ptCount val="4"/>
                <c:pt idx="0">
                  <c:v>Apertura al diálogo</c:v>
                </c:pt>
                <c:pt idx="1">
                  <c:v>Empatía</c:v>
                </c:pt>
                <c:pt idx="2">
                  <c:v>Aire de superioridad de los intereventores</c:v>
                </c:pt>
                <c:pt idx="3">
                  <c:v>Desconocimiento del contexto</c:v>
                </c:pt>
              </c:strCache>
            </c:strRef>
          </c:cat>
          <c:val>
            <c:numRef>
              <c:f>'Antes de comenzar'!$T$6:$W$6</c:f>
              <c:numCache>
                <c:formatCode>0</c:formatCode>
                <c:ptCount val="4"/>
                <c:pt idx="0">
                  <c:v>77.777777777777786</c:v>
                </c:pt>
                <c:pt idx="1">
                  <c:v>66.666666666666657</c:v>
                </c:pt>
                <c:pt idx="2">
                  <c:v>55.555555555555557</c:v>
                </c:pt>
                <c:pt idx="3">
                  <c:v>33.333333333333329</c:v>
                </c:pt>
              </c:numCache>
            </c:numRef>
          </c:val>
          <c:extLst xmlns:c16r2="http://schemas.microsoft.com/office/drawing/2015/06/chart">
            <c:ext xmlns:c16="http://schemas.microsoft.com/office/drawing/2014/chart" uri="{C3380CC4-5D6E-409C-BE32-E72D297353CC}">
              <c16:uniqueId val="{00000002-CA8A-4BB1-8F00-CBFC01C695DB}"/>
            </c:ext>
          </c:extLst>
        </c:ser>
        <c:dLbls>
          <c:showLegendKey val="0"/>
          <c:showVal val="0"/>
          <c:showCatName val="0"/>
          <c:showSerName val="0"/>
          <c:showPercent val="0"/>
          <c:showBubbleSize val="0"/>
        </c:dLbls>
        <c:gapWidth val="219"/>
        <c:overlap val="-27"/>
        <c:axId val="96945664"/>
        <c:axId val="76277440"/>
      </c:barChart>
      <c:catAx>
        <c:axId val="9694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ES"/>
          </a:p>
        </c:txPr>
        <c:crossAx val="76277440"/>
        <c:crosses val="autoZero"/>
        <c:auto val="1"/>
        <c:lblAlgn val="ctr"/>
        <c:lblOffset val="100"/>
        <c:noMultiLvlLbl val="0"/>
      </c:catAx>
      <c:valAx>
        <c:axId val="7627744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Porciento</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96945664"/>
        <c:crosses val="autoZero"/>
        <c:crossBetween val="between"/>
        <c:majorUnit val="2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ES" sz="1050"/>
              <a:t>Encuesta</a:t>
            </a:r>
            <a:r>
              <a:rPr lang="es-ES" sz="1050" baseline="0"/>
              <a:t> Post-Intervención</a:t>
            </a:r>
            <a:endParaRPr lang="es-ES" sz="1050"/>
          </a:p>
        </c:rich>
      </c:tx>
      <c:layout/>
      <c:overlay val="0"/>
      <c:spPr>
        <a:noFill/>
        <a:ln>
          <a:noFill/>
        </a:ln>
        <a:effectLst/>
      </c:spPr>
    </c:title>
    <c:autoTitleDeleted val="0"/>
    <c:plotArea>
      <c:layout/>
      <c:barChart>
        <c:barDir val="col"/>
        <c:grouping val="clustered"/>
        <c:varyColors val="0"/>
        <c:ser>
          <c:idx val="0"/>
          <c:order val="0"/>
          <c:tx>
            <c:strRef>
              <c:f>'Post Inversion'!$S$4</c:f>
              <c:strCache>
                <c:ptCount val="1"/>
                <c:pt idx="0">
                  <c:v>Administrativo</c:v>
                </c:pt>
              </c:strCache>
            </c:strRef>
          </c:tx>
          <c:spPr>
            <a:solidFill>
              <a:schemeClr val="accent1"/>
            </a:solidFill>
            <a:ln>
              <a:noFill/>
            </a:ln>
            <a:effectLst/>
          </c:spPr>
          <c:invertIfNegative val="0"/>
          <c:cat>
            <c:strRef>
              <c:f>'Post Inversion'!$T$3:$W$3</c:f>
              <c:strCache>
                <c:ptCount val="4"/>
                <c:pt idx="0">
                  <c:v>Apertura al diálogo</c:v>
                </c:pt>
                <c:pt idx="1">
                  <c:v>Empatía</c:v>
                </c:pt>
                <c:pt idx="2">
                  <c:v>Aire de superioridad de los intereventores</c:v>
                </c:pt>
                <c:pt idx="3">
                  <c:v>Desconocimiento del contexto</c:v>
                </c:pt>
              </c:strCache>
            </c:strRef>
          </c:cat>
          <c:val>
            <c:numRef>
              <c:f>'Post Inversion'!$T$4:$W$4</c:f>
              <c:numCache>
                <c:formatCode>General</c:formatCode>
                <c:ptCount val="4"/>
                <c:pt idx="0">
                  <c:v>100</c:v>
                </c:pt>
                <c:pt idx="1">
                  <c:v>100</c:v>
                </c:pt>
                <c:pt idx="2">
                  <c:v>20</c:v>
                </c:pt>
                <c:pt idx="3">
                  <c:v>40</c:v>
                </c:pt>
              </c:numCache>
            </c:numRef>
          </c:val>
          <c:extLst xmlns:c16r2="http://schemas.microsoft.com/office/drawing/2015/06/chart">
            <c:ext xmlns:c16="http://schemas.microsoft.com/office/drawing/2014/chart" uri="{C3380CC4-5D6E-409C-BE32-E72D297353CC}">
              <c16:uniqueId val="{00000000-2DF6-4839-8B1A-710FC4426EFC}"/>
            </c:ext>
          </c:extLst>
        </c:ser>
        <c:ser>
          <c:idx val="1"/>
          <c:order val="1"/>
          <c:tx>
            <c:strRef>
              <c:f>'Post Inversion'!$S$5</c:f>
              <c:strCache>
                <c:ptCount val="1"/>
                <c:pt idx="0">
                  <c:v>Residente</c:v>
                </c:pt>
              </c:strCache>
            </c:strRef>
          </c:tx>
          <c:spPr>
            <a:solidFill>
              <a:schemeClr val="accent2"/>
            </a:solidFill>
            <a:ln>
              <a:noFill/>
            </a:ln>
            <a:effectLst/>
          </c:spPr>
          <c:invertIfNegative val="0"/>
          <c:cat>
            <c:strRef>
              <c:f>'Post Inversion'!$T$3:$W$3</c:f>
              <c:strCache>
                <c:ptCount val="4"/>
                <c:pt idx="0">
                  <c:v>Apertura al diálogo</c:v>
                </c:pt>
                <c:pt idx="1">
                  <c:v>Empatía</c:v>
                </c:pt>
                <c:pt idx="2">
                  <c:v>Aire de superioridad de los intereventores</c:v>
                </c:pt>
                <c:pt idx="3">
                  <c:v>Desconocimiento del contexto</c:v>
                </c:pt>
              </c:strCache>
            </c:strRef>
          </c:cat>
          <c:val>
            <c:numRef>
              <c:f>'Post Inversion'!$T$5:$W$5</c:f>
              <c:numCache>
                <c:formatCode>0</c:formatCode>
                <c:ptCount val="4"/>
                <c:pt idx="0">
                  <c:v>81.25</c:v>
                </c:pt>
                <c:pt idx="1">
                  <c:v>81.25</c:v>
                </c:pt>
                <c:pt idx="2">
                  <c:v>18.75</c:v>
                </c:pt>
                <c:pt idx="3">
                  <c:v>18.75</c:v>
                </c:pt>
              </c:numCache>
            </c:numRef>
          </c:val>
          <c:extLst xmlns:c16r2="http://schemas.microsoft.com/office/drawing/2015/06/chart">
            <c:ext xmlns:c16="http://schemas.microsoft.com/office/drawing/2014/chart" uri="{C3380CC4-5D6E-409C-BE32-E72D297353CC}">
              <c16:uniqueId val="{00000001-2DF6-4839-8B1A-710FC4426EFC}"/>
            </c:ext>
          </c:extLst>
        </c:ser>
        <c:ser>
          <c:idx val="2"/>
          <c:order val="2"/>
          <c:tx>
            <c:strRef>
              <c:f>'Post Inversion'!$S$6</c:f>
              <c:strCache>
                <c:ptCount val="1"/>
                <c:pt idx="0">
                  <c:v>Consumidor</c:v>
                </c:pt>
              </c:strCache>
            </c:strRef>
          </c:tx>
          <c:spPr>
            <a:solidFill>
              <a:schemeClr val="accent3"/>
            </a:solidFill>
            <a:ln>
              <a:noFill/>
            </a:ln>
            <a:effectLst/>
          </c:spPr>
          <c:invertIfNegative val="0"/>
          <c:cat>
            <c:strRef>
              <c:f>'Post Inversion'!$T$3:$W$3</c:f>
              <c:strCache>
                <c:ptCount val="4"/>
                <c:pt idx="0">
                  <c:v>Apertura al diálogo</c:v>
                </c:pt>
                <c:pt idx="1">
                  <c:v>Empatía</c:v>
                </c:pt>
                <c:pt idx="2">
                  <c:v>Aire de superioridad de los intereventores</c:v>
                </c:pt>
                <c:pt idx="3">
                  <c:v>Desconocimiento del contexto</c:v>
                </c:pt>
              </c:strCache>
            </c:strRef>
          </c:cat>
          <c:val>
            <c:numRef>
              <c:f>'Post Inversion'!$T$6:$W$6</c:f>
              <c:numCache>
                <c:formatCode>0</c:formatCode>
                <c:ptCount val="4"/>
                <c:pt idx="0">
                  <c:v>88.888888888888886</c:v>
                </c:pt>
                <c:pt idx="1">
                  <c:v>55.555555555555557</c:v>
                </c:pt>
                <c:pt idx="2">
                  <c:v>44.444444444444443</c:v>
                </c:pt>
                <c:pt idx="3">
                  <c:v>33.333333333333329</c:v>
                </c:pt>
              </c:numCache>
            </c:numRef>
          </c:val>
          <c:extLst xmlns:c16r2="http://schemas.microsoft.com/office/drawing/2015/06/chart">
            <c:ext xmlns:c16="http://schemas.microsoft.com/office/drawing/2014/chart" uri="{C3380CC4-5D6E-409C-BE32-E72D297353CC}">
              <c16:uniqueId val="{00000002-2DF6-4839-8B1A-710FC4426EFC}"/>
            </c:ext>
          </c:extLst>
        </c:ser>
        <c:dLbls>
          <c:showLegendKey val="0"/>
          <c:showVal val="0"/>
          <c:showCatName val="0"/>
          <c:showSerName val="0"/>
          <c:showPercent val="0"/>
          <c:showBubbleSize val="0"/>
        </c:dLbls>
        <c:gapWidth val="219"/>
        <c:overlap val="-27"/>
        <c:axId val="106473984"/>
        <c:axId val="76281472"/>
      </c:barChart>
      <c:catAx>
        <c:axId val="10647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ES"/>
          </a:p>
        </c:txPr>
        <c:crossAx val="76281472"/>
        <c:crosses val="autoZero"/>
        <c:auto val="1"/>
        <c:lblAlgn val="ctr"/>
        <c:lblOffset val="100"/>
        <c:noMultiLvlLbl val="0"/>
      </c:catAx>
      <c:valAx>
        <c:axId val="762814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106473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3076</Words>
  <Characters>16922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Roseli Garcia Mesa</cp:lastModifiedBy>
  <cp:revision>7</cp:revision>
  <dcterms:created xsi:type="dcterms:W3CDTF">2021-05-14T03:18:00Z</dcterms:created>
  <dcterms:modified xsi:type="dcterms:W3CDTF">2023-02-01T16:01:00Z</dcterms:modified>
</cp:coreProperties>
</file>