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7F4" w:rsidRPr="009267F4" w:rsidRDefault="009267F4" w:rsidP="009267F4">
      <w:pPr>
        <w:spacing w:after="0"/>
        <w:jc w:val="center"/>
        <w:rPr>
          <w:rFonts w:ascii="Times New Roman" w:hAnsi="Times New Roman" w:cs="Times New Roman"/>
          <w:b/>
          <w:sz w:val="28"/>
          <w:szCs w:val="28"/>
        </w:rPr>
      </w:pPr>
      <w:r w:rsidRPr="009267F4">
        <w:rPr>
          <w:rFonts w:ascii="Times New Roman" w:hAnsi="Times New Roman" w:cs="Times New Roman"/>
          <w:b/>
          <w:sz w:val="28"/>
          <w:szCs w:val="28"/>
        </w:rPr>
        <w:t>III CONFERENCIA INTERNACIONAL DE DESARROLLO ENERGÉTICO SOSTENIBLE CIDES 2023</w:t>
      </w:r>
    </w:p>
    <w:p w:rsidR="00E912D0" w:rsidRDefault="00E912D0" w:rsidP="00667F10">
      <w:pPr>
        <w:spacing w:after="0"/>
        <w:jc w:val="center"/>
        <w:rPr>
          <w:rFonts w:ascii="Times New Roman" w:hAnsi="Times New Roman" w:cs="Times New Roman"/>
          <w:b/>
          <w:sz w:val="24"/>
          <w:szCs w:val="24"/>
        </w:rPr>
      </w:pPr>
    </w:p>
    <w:p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E912D0" w:rsidRPr="009267F4" w:rsidRDefault="009267F4" w:rsidP="00667F10">
      <w:pPr>
        <w:spacing w:after="0"/>
        <w:jc w:val="center"/>
        <w:rPr>
          <w:rFonts w:ascii="Times New Roman" w:hAnsi="Times New Roman" w:cs="Times New Roman"/>
          <w:b/>
          <w:sz w:val="28"/>
          <w:szCs w:val="28"/>
        </w:rPr>
      </w:pPr>
      <w:r w:rsidRPr="009267F4">
        <w:rPr>
          <w:rFonts w:ascii="Times New Roman" w:hAnsi="Times New Roman" w:cs="Times New Roman"/>
          <w:b/>
          <w:sz w:val="28"/>
          <w:szCs w:val="28"/>
        </w:rPr>
        <w:t>Implementación de la NC ISO 50001:201</w:t>
      </w:r>
      <w:r w:rsidR="0099676B">
        <w:rPr>
          <w:rFonts w:ascii="Times New Roman" w:hAnsi="Times New Roman" w:cs="Times New Roman"/>
          <w:b/>
          <w:sz w:val="28"/>
          <w:szCs w:val="28"/>
        </w:rPr>
        <w:t>9</w:t>
      </w:r>
      <w:r w:rsidRPr="009267F4">
        <w:rPr>
          <w:rFonts w:ascii="Times New Roman" w:hAnsi="Times New Roman" w:cs="Times New Roman"/>
          <w:b/>
          <w:sz w:val="28"/>
          <w:szCs w:val="28"/>
        </w:rPr>
        <w:t xml:space="preserve"> en la Empresa Textil Desembarco del Granma (TEXVI)</w:t>
      </w:r>
    </w:p>
    <w:p w:rsidR="008A1C16" w:rsidRPr="0099676B" w:rsidRDefault="008A1C16" w:rsidP="00667F10">
      <w:pPr>
        <w:spacing w:after="0"/>
        <w:jc w:val="center"/>
        <w:rPr>
          <w:rFonts w:ascii="Times New Roman" w:hAnsi="Times New Roman" w:cs="Times New Roman"/>
          <w:b/>
          <w:i/>
          <w:sz w:val="28"/>
          <w:szCs w:val="28"/>
          <w:lang w:val="en-US"/>
        </w:rPr>
      </w:pPr>
      <w:r w:rsidRPr="0099676B">
        <w:rPr>
          <w:rFonts w:ascii="Times New Roman" w:hAnsi="Times New Roman" w:cs="Times New Roman"/>
          <w:b/>
          <w:i/>
          <w:sz w:val="28"/>
          <w:szCs w:val="28"/>
          <w:lang w:val="en-US"/>
        </w:rPr>
        <w:t>Title</w:t>
      </w:r>
    </w:p>
    <w:p w:rsidR="009267F4" w:rsidRPr="009267F4" w:rsidRDefault="009267F4" w:rsidP="009267F4">
      <w:pPr>
        <w:spacing w:after="0"/>
        <w:jc w:val="center"/>
        <w:rPr>
          <w:rFonts w:ascii="Times New Roman" w:hAnsi="Times New Roman" w:cs="Times New Roman"/>
          <w:b/>
          <w:i/>
          <w:sz w:val="28"/>
          <w:szCs w:val="28"/>
          <w:lang w:val="en-US"/>
        </w:rPr>
      </w:pPr>
      <w:r w:rsidRPr="00BC4800">
        <w:rPr>
          <w:rFonts w:ascii="Times New Roman" w:hAnsi="Times New Roman" w:cs="Times New Roman"/>
          <w:b/>
          <w:i/>
          <w:sz w:val="28"/>
          <w:szCs w:val="28"/>
          <w:lang w:val="en-US"/>
        </w:rPr>
        <w:t>Implementation of NC ISO 50001:201</w:t>
      </w:r>
      <w:r w:rsidR="0099676B">
        <w:rPr>
          <w:rFonts w:ascii="Times New Roman" w:hAnsi="Times New Roman" w:cs="Times New Roman"/>
          <w:b/>
          <w:i/>
          <w:sz w:val="28"/>
          <w:szCs w:val="28"/>
          <w:lang w:val="en-US"/>
        </w:rPr>
        <w:t>9</w:t>
      </w:r>
      <w:r w:rsidRPr="00BC4800">
        <w:rPr>
          <w:rFonts w:ascii="Times New Roman" w:hAnsi="Times New Roman" w:cs="Times New Roman"/>
          <w:b/>
          <w:i/>
          <w:sz w:val="28"/>
          <w:szCs w:val="28"/>
          <w:lang w:val="en-US"/>
        </w:rPr>
        <w:t xml:space="preserve"> at the Textile Company </w:t>
      </w:r>
      <w:r w:rsidR="00BC4800" w:rsidRPr="00BC4800">
        <w:rPr>
          <w:rFonts w:ascii="Times New Roman" w:hAnsi="Times New Roman" w:cs="Times New Roman"/>
          <w:b/>
          <w:i/>
          <w:sz w:val="28"/>
          <w:szCs w:val="28"/>
          <w:lang w:val="en-US"/>
        </w:rPr>
        <w:t>“</w:t>
      </w:r>
      <w:r w:rsidRPr="00BC4800">
        <w:rPr>
          <w:rFonts w:ascii="Times New Roman" w:hAnsi="Times New Roman" w:cs="Times New Roman"/>
          <w:b/>
          <w:i/>
          <w:sz w:val="28"/>
          <w:szCs w:val="28"/>
          <w:lang w:val="en-US"/>
        </w:rPr>
        <w:t>Desembarco del Granma</w:t>
      </w:r>
      <w:r w:rsidR="00BC4800">
        <w:rPr>
          <w:rFonts w:ascii="Times New Roman" w:hAnsi="Times New Roman" w:cs="Times New Roman"/>
          <w:b/>
          <w:i/>
          <w:sz w:val="28"/>
          <w:szCs w:val="28"/>
          <w:lang w:val="en-US"/>
        </w:rPr>
        <w:t>”</w:t>
      </w:r>
      <w:r w:rsidRPr="00BC4800">
        <w:rPr>
          <w:rFonts w:ascii="Times New Roman" w:hAnsi="Times New Roman" w:cs="Times New Roman"/>
          <w:b/>
          <w:i/>
          <w:sz w:val="28"/>
          <w:szCs w:val="28"/>
          <w:lang w:val="en-US"/>
        </w:rPr>
        <w:t xml:space="preserve"> (TEXVI)</w:t>
      </w:r>
    </w:p>
    <w:p w:rsidR="009D5E02" w:rsidRPr="009267F4" w:rsidRDefault="009D5E02" w:rsidP="00FF3346">
      <w:pPr>
        <w:spacing w:after="0" w:line="360" w:lineRule="auto"/>
        <w:rPr>
          <w:rFonts w:ascii="Times New Roman" w:hAnsi="Times New Roman" w:cs="Times New Roman"/>
          <w:b/>
          <w:sz w:val="24"/>
          <w:szCs w:val="24"/>
          <w:lang w:val="en-US"/>
        </w:rPr>
      </w:pPr>
    </w:p>
    <w:p w:rsidR="0099676B" w:rsidRDefault="0099676B" w:rsidP="00B25A87">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Autores:</w:t>
      </w:r>
    </w:p>
    <w:p w:rsidR="00B25A87" w:rsidRDefault="00E02EF1" w:rsidP="00B25A87">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María de los Angeles García Hernández. TEXVI, Cuba. </w:t>
      </w:r>
      <w:hyperlink r:id="rId8" w:history="1">
        <w:r w:rsidR="00B25A87" w:rsidRPr="00665891">
          <w:rPr>
            <w:rStyle w:val="Hipervnculo"/>
            <w:rFonts w:ascii="Times New Roman" w:hAnsi="Times New Roman" w:cs="Times New Roman"/>
            <w:b/>
            <w:sz w:val="24"/>
            <w:szCs w:val="24"/>
          </w:rPr>
          <w:t>mangeles@texvi.cu</w:t>
        </w:r>
      </w:hyperlink>
    </w:p>
    <w:p w:rsidR="00B25A87" w:rsidRDefault="00E02EF1" w:rsidP="00B25A87">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Janhna Rodríguez Cárdenas. TEXVI, Cuba. janhna@texvi.cu</w:t>
      </w:r>
    </w:p>
    <w:p w:rsidR="008A1C16" w:rsidRPr="009D5E02" w:rsidRDefault="00E02EF1" w:rsidP="00B25A87">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Miriadys Gómez Hernández. TEXVI, Cuba. energético@texvi.cu</w:t>
      </w:r>
    </w:p>
    <w:p w:rsidR="008A1C16" w:rsidRDefault="008A1C16"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p>
    <w:p w:rsidR="00B47CC7" w:rsidRPr="00B47CC7" w:rsidRDefault="00B47CC7" w:rsidP="00B47CC7">
      <w:pPr>
        <w:spacing w:line="360" w:lineRule="auto"/>
        <w:jc w:val="both"/>
        <w:rPr>
          <w:rFonts w:ascii="Times New Roman" w:hAnsi="Times New Roman" w:cs="Times New Roman"/>
          <w:sz w:val="24"/>
          <w:szCs w:val="24"/>
        </w:rPr>
      </w:pPr>
      <w:r w:rsidRPr="00B47CC7">
        <w:rPr>
          <w:rFonts w:ascii="Times New Roman" w:hAnsi="Times New Roman" w:cs="Times New Roman"/>
          <w:sz w:val="24"/>
          <w:szCs w:val="24"/>
        </w:rPr>
        <w:t xml:space="preserve">Los costos energéticos de TEXVI representan más del 15 % del costo total, por lo que disminuir los mismos es de interés de la dirección y de los trabajadores a partir de que el ahorro energético se puede revertir en utilidades que después son distribuidas entre todos. Las limitadas posibilidades que tiene el SEN hoy y los bajos niveles de combustible de que se disponen, hace que se dicten medidas por los organismos rectores, difíciles de cumplir en todas las instancias y requiere constancia por parte de los implicados en las exigencias para lograrlas. </w:t>
      </w:r>
    </w:p>
    <w:p w:rsidR="00B47CC7" w:rsidRPr="00B47CC7" w:rsidRDefault="00B47CC7" w:rsidP="00B47CC7">
      <w:pPr>
        <w:spacing w:line="360" w:lineRule="auto"/>
        <w:jc w:val="both"/>
        <w:rPr>
          <w:rFonts w:ascii="Times New Roman" w:hAnsi="Times New Roman" w:cs="Times New Roman"/>
          <w:sz w:val="24"/>
          <w:szCs w:val="24"/>
        </w:rPr>
      </w:pPr>
      <w:r w:rsidRPr="00B47CC7">
        <w:rPr>
          <w:rFonts w:ascii="Times New Roman" w:hAnsi="Times New Roman" w:cs="Times New Roman"/>
          <w:sz w:val="24"/>
          <w:szCs w:val="24"/>
        </w:rPr>
        <w:t xml:space="preserve">El objetivo del trabajo realizado fue Implementar un sistema de gestión energético que fortalezca la cultura energética de la organización, considerando que la empresa tiene aplicado y certificado su SGC según la NC ISO 9001:2015, existe una tradición de análisis energético reconocida por sus directivos y el apoyo de la ONURE con el curso de aplicación de las NC ISO 50001:2018. Para ello se realizó la revisión de la norma, análisis de la situación de los datos energéticos y trabajos de grupo demostrándose que era posible establecer la norma y realizar la revisión energética publicando los potenciales de ahorro, el comportamiento de los </w:t>
      </w:r>
      <w:r w:rsidRPr="00B47CC7">
        <w:rPr>
          <w:rFonts w:ascii="Times New Roman" w:hAnsi="Times New Roman" w:cs="Times New Roman"/>
          <w:sz w:val="24"/>
          <w:szCs w:val="24"/>
        </w:rPr>
        <w:lastRenderedPageBreak/>
        <w:t xml:space="preserve">IDEn, las áreas mayores consumidoras y los requisitos imprescindibles, a consideración de los autores, para poder aplicar este Sistema. Se concluye que es posible certificar la NC ISO 50001 como una herramienta para disminuir los costos, cuando se trabaja con constancia, exigencia, en grupo y con personal calificado e interesado en su trabajo. </w:t>
      </w:r>
    </w:p>
    <w:p w:rsidR="009061A5" w:rsidRDefault="009061A5" w:rsidP="00FF3346">
      <w:pPr>
        <w:spacing w:after="0" w:line="360" w:lineRule="auto"/>
        <w:jc w:val="both"/>
        <w:rPr>
          <w:rFonts w:ascii="Times New Roman" w:hAnsi="Times New Roman" w:cs="Times New Roman"/>
          <w:sz w:val="24"/>
          <w:szCs w:val="24"/>
        </w:rPr>
      </w:pPr>
    </w:p>
    <w:p w:rsidR="009061A5" w:rsidRPr="008203B7" w:rsidRDefault="009061A5" w:rsidP="00FF3346">
      <w:pPr>
        <w:spacing w:after="0" w:line="360" w:lineRule="auto"/>
        <w:jc w:val="both"/>
        <w:rPr>
          <w:rFonts w:ascii="Times New Roman" w:hAnsi="Times New Roman" w:cs="Times New Roman"/>
          <w:b/>
          <w:i/>
          <w:sz w:val="24"/>
          <w:szCs w:val="24"/>
          <w:lang w:val="en-US"/>
        </w:rPr>
      </w:pPr>
      <w:r w:rsidRPr="008203B7">
        <w:rPr>
          <w:rFonts w:ascii="Times New Roman" w:hAnsi="Times New Roman" w:cs="Times New Roman"/>
          <w:b/>
          <w:i/>
          <w:sz w:val="24"/>
          <w:szCs w:val="24"/>
          <w:lang w:val="en-US"/>
        </w:rPr>
        <w:t>Abstract:</w:t>
      </w:r>
    </w:p>
    <w:p w:rsidR="00B47CC7" w:rsidRPr="00B47CC7" w:rsidRDefault="00B47CC7" w:rsidP="00B47CC7">
      <w:pPr>
        <w:spacing w:line="360" w:lineRule="auto"/>
        <w:jc w:val="both"/>
        <w:rPr>
          <w:rFonts w:ascii="Times New Roman" w:hAnsi="Times New Roman" w:cs="Times New Roman"/>
          <w:i/>
          <w:sz w:val="24"/>
          <w:szCs w:val="24"/>
          <w:lang w:val="en-US"/>
        </w:rPr>
      </w:pPr>
      <w:r w:rsidRPr="00B47CC7">
        <w:rPr>
          <w:rFonts w:ascii="Times New Roman" w:hAnsi="Times New Roman" w:cs="Times New Roman"/>
          <w:i/>
          <w:sz w:val="24"/>
          <w:szCs w:val="24"/>
          <w:lang w:val="en-US"/>
        </w:rPr>
        <w:t>TEXVI's energy costs represent more than 15% of the total cost, so reducing them is in the interest of management and workers since energy savings can be reversed in profits that are later distributed among all. The limited possibilities that the SEN has today and the low levels of fuel that are available mean that a measure are issued by the governing bodies, difficult to comply with in all instances and requires perseverance on the part of those involved in the demands to achieve them.</w:t>
      </w:r>
    </w:p>
    <w:p w:rsidR="00B47CC7" w:rsidRPr="00B47CC7" w:rsidRDefault="00B47CC7" w:rsidP="00B47CC7">
      <w:pPr>
        <w:spacing w:line="360" w:lineRule="auto"/>
        <w:jc w:val="both"/>
        <w:rPr>
          <w:rFonts w:ascii="Times New Roman" w:hAnsi="Times New Roman" w:cs="Times New Roman"/>
          <w:i/>
          <w:sz w:val="24"/>
          <w:szCs w:val="24"/>
          <w:lang w:val="en-US"/>
        </w:rPr>
      </w:pPr>
      <w:r w:rsidRPr="00B47CC7">
        <w:rPr>
          <w:rFonts w:ascii="Times New Roman" w:hAnsi="Times New Roman" w:cs="Times New Roman"/>
          <w:i/>
          <w:sz w:val="24"/>
          <w:szCs w:val="24"/>
          <w:lang w:val="en-US"/>
        </w:rPr>
        <w:t xml:space="preserve">The objective of the work carried out was to implement an energy management system that strengthens the organization's energy culture, considering that the company has applied and certified </w:t>
      </w:r>
      <w:r w:rsidR="00531AF2" w:rsidRPr="00B47CC7">
        <w:rPr>
          <w:rFonts w:ascii="Times New Roman" w:hAnsi="Times New Roman" w:cs="Times New Roman"/>
          <w:i/>
          <w:sz w:val="24"/>
          <w:szCs w:val="24"/>
          <w:lang w:val="en-US"/>
        </w:rPr>
        <w:t>it’s</w:t>
      </w:r>
      <w:r w:rsidRPr="00B47CC7">
        <w:rPr>
          <w:rFonts w:ascii="Times New Roman" w:hAnsi="Times New Roman" w:cs="Times New Roman"/>
          <w:i/>
          <w:sz w:val="24"/>
          <w:szCs w:val="24"/>
          <w:lang w:val="en-US"/>
        </w:rPr>
        <w:t xml:space="preserve"> QMS according to NC ISO 9001:2015, there is a tradition of energy analysis recognized by its managers and the support of ONURE with the application course of the NC ISO 50001:2018. To this end, a review of the standard was carried out, analysis of the situation of the energy data and group work, demonstrating that it was possible to establish the standard and carry out an energy review by publishing the potential savings, the behavior of the IDEn, the largest consuming areas. and the essential requirements, to the consideration of the authors, to be able to apply this System. It is concluded that it is possible to certify the NC ISO 50001 as a tool to reduce costs, when working with perseverance, demand, in a group and with qualified personnel interested in their work.</w:t>
      </w:r>
    </w:p>
    <w:p w:rsidR="00C20F59"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bookmarkStart w:id="0" w:name="_GoBack"/>
      <w:r w:rsidR="00C20F59">
        <w:rPr>
          <w:rFonts w:ascii="Times New Roman" w:hAnsi="Times New Roman" w:cs="Times New Roman"/>
          <w:sz w:val="24"/>
          <w:szCs w:val="24"/>
        </w:rPr>
        <w:t>Eficiencia Energética; NC ISO 50001:201</w:t>
      </w:r>
      <w:r w:rsidR="008608CE">
        <w:rPr>
          <w:rFonts w:ascii="Times New Roman" w:hAnsi="Times New Roman" w:cs="Times New Roman"/>
          <w:sz w:val="24"/>
          <w:szCs w:val="24"/>
        </w:rPr>
        <w:t>9</w:t>
      </w:r>
      <w:r w:rsidR="00C20F59">
        <w:rPr>
          <w:rFonts w:ascii="Times New Roman" w:hAnsi="Times New Roman" w:cs="Times New Roman"/>
          <w:sz w:val="24"/>
          <w:szCs w:val="24"/>
        </w:rPr>
        <w:t xml:space="preserve"> TEXVI</w:t>
      </w:r>
      <w:bookmarkEnd w:id="0"/>
    </w:p>
    <w:p w:rsidR="009061A5" w:rsidRDefault="009061A5" w:rsidP="00FF3346">
      <w:pPr>
        <w:spacing w:after="0" w:line="360" w:lineRule="auto"/>
        <w:jc w:val="both"/>
        <w:rPr>
          <w:rFonts w:ascii="Times New Roman" w:hAnsi="Times New Roman" w:cs="Times New Roman"/>
          <w:sz w:val="24"/>
          <w:szCs w:val="24"/>
        </w:rPr>
      </w:pPr>
    </w:p>
    <w:p w:rsidR="00B47CC7" w:rsidRPr="008203B7" w:rsidRDefault="009061A5" w:rsidP="00B47CC7">
      <w:pPr>
        <w:pStyle w:val="HTMLconformatoprevio"/>
        <w:rPr>
          <w:rFonts w:ascii="Times New Roman" w:eastAsiaTheme="minorHAnsi" w:hAnsi="Times New Roman" w:cs="Times New Roman"/>
          <w:i/>
          <w:sz w:val="24"/>
          <w:szCs w:val="24"/>
          <w:lang w:val="en-US" w:eastAsia="en-US"/>
        </w:rPr>
      </w:pPr>
      <w:r w:rsidRPr="00B47CC7">
        <w:rPr>
          <w:rFonts w:ascii="Times New Roman" w:hAnsi="Times New Roman" w:cs="Times New Roman"/>
          <w:b/>
          <w:i/>
          <w:sz w:val="24"/>
          <w:szCs w:val="24"/>
          <w:lang w:val="en-US"/>
        </w:rPr>
        <w:t>Keywords:</w:t>
      </w:r>
      <w:r w:rsidRPr="00B47CC7">
        <w:rPr>
          <w:rFonts w:ascii="Times New Roman" w:hAnsi="Times New Roman" w:cs="Times New Roman"/>
          <w:sz w:val="24"/>
          <w:szCs w:val="24"/>
          <w:lang w:val="en-US"/>
        </w:rPr>
        <w:t xml:space="preserve"> </w:t>
      </w:r>
      <w:r w:rsidR="00B47CC7" w:rsidRPr="008203B7">
        <w:rPr>
          <w:rFonts w:ascii="Times New Roman" w:eastAsiaTheme="minorHAnsi" w:hAnsi="Times New Roman" w:cs="Times New Roman"/>
          <w:i/>
          <w:sz w:val="24"/>
          <w:szCs w:val="24"/>
          <w:lang w:val="en-US" w:eastAsia="en-US"/>
        </w:rPr>
        <w:t>Energy efficiency; NC ISO 50001:201</w:t>
      </w:r>
      <w:r w:rsidR="008608CE">
        <w:rPr>
          <w:rFonts w:ascii="Times New Roman" w:eastAsiaTheme="minorHAnsi" w:hAnsi="Times New Roman" w:cs="Times New Roman"/>
          <w:i/>
          <w:sz w:val="24"/>
          <w:szCs w:val="24"/>
          <w:lang w:val="en-US" w:eastAsia="en-US"/>
        </w:rPr>
        <w:t>9</w:t>
      </w:r>
      <w:r w:rsidR="00B47CC7" w:rsidRPr="008203B7">
        <w:rPr>
          <w:rFonts w:ascii="Times New Roman" w:eastAsiaTheme="minorHAnsi" w:hAnsi="Times New Roman" w:cs="Times New Roman"/>
          <w:i/>
          <w:sz w:val="24"/>
          <w:szCs w:val="24"/>
          <w:lang w:val="en-US" w:eastAsia="en-US"/>
        </w:rPr>
        <w:t xml:space="preserve"> TEXVI</w:t>
      </w:r>
    </w:p>
    <w:p w:rsidR="009061A5" w:rsidRPr="00B47CC7" w:rsidRDefault="009061A5" w:rsidP="00FF3346">
      <w:pPr>
        <w:spacing w:after="0" w:line="360" w:lineRule="auto"/>
        <w:jc w:val="both"/>
        <w:rPr>
          <w:rFonts w:ascii="Times New Roman" w:hAnsi="Times New Roman" w:cs="Times New Roman"/>
          <w:sz w:val="24"/>
          <w:szCs w:val="24"/>
          <w:lang w:val="en-US"/>
        </w:rPr>
      </w:pPr>
    </w:p>
    <w:p w:rsidR="00AB12DE" w:rsidRDefault="00AB12DE"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21A1F" w:rsidRPr="00B47CC7" w:rsidRDefault="00A21A1F" w:rsidP="00FF3346">
      <w:pPr>
        <w:spacing w:after="0" w:line="360" w:lineRule="auto"/>
        <w:jc w:val="both"/>
        <w:rPr>
          <w:rFonts w:ascii="Times New Roman" w:hAnsi="Times New Roman" w:cs="Times New Roman"/>
          <w:sz w:val="24"/>
          <w:szCs w:val="24"/>
          <w:lang w:val="en-US"/>
        </w:rPr>
      </w:pPr>
    </w:p>
    <w:p w:rsidR="00A21A1F" w:rsidRPr="00E2512D" w:rsidRDefault="00A21A1F" w:rsidP="00E2512D">
      <w:pPr>
        <w:pStyle w:val="Ttulo1"/>
        <w:spacing w:before="0" w:beforeAutospacing="0" w:after="0" w:afterAutospacing="0" w:line="360" w:lineRule="auto"/>
        <w:rPr>
          <w:sz w:val="24"/>
          <w:szCs w:val="24"/>
        </w:rPr>
      </w:pPr>
      <w:r w:rsidRPr="00E2512D">
        <w:rPr>
          <w:sz w:val="24"/>
          <w:szCs w:val="24"/>
        </w:rPr>
        <w:t>1. Introducción</w:t>
      </w:r>
    </w:p>
    <w:p w:rsidR="00505B78" w:rsidRDefault="00505B78" w:rsidP="00E251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Gestionar la energía hoy es una necesidad imperiosa para todas las organizaciones altas consumidoras del país y el mundo. La crisis económica existente implica también una crisis energética que ha llevado a costos impensables para los energéticos. Es por ello que muchos países han implementado los SGEn a través de la ISO 50001:201</w:t>
      </w:r>
      <w:r w:rsidR="00C330F5">
        <w:rPr>
          <w:rFonts w:ascii="Times New Roman" w:hAnsi="Times New Roman" w:cs="Times New Roman"/>
          <w:sz w:val="24"/>
          <w:szCs w:val="24"/>
        </w:rPr>
        <w:t>8</w:t>
      </w:r>
      <w:r>
        <w:rPr>
          <w:rFonts w:ascii="Times New Roman" w:hAnsi="Times New Roman" w:cs="Times New Roman"/>
          <w:sz w:val="24"/>
          <w:szCs w:val="24"/>
        </w:rPr>
        <w:t xml:space="preserve"> en sus empresas. Cuba asumió esta ISO en el año 2019. </w:t>
      </w:r>
    </w:p>
    <w:p w:rsidR="00987D4E" w:rsidRDefault="00987D4E"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Gestión energética puede concebirse como un esfuerzo organizado y estructurado para conseguir la máxima eficiencia en el suministro, conversión y utilización de los recursos energéticos. (Sornoza Bravo, J</w:t>
      </w:r>
      <w:r w:rsidR="00D41EB8">
        <w:rPr>
          <w:rFonts w:ascii="Times New Roman" w:hAnsi="Times New Roman" w:cs="Times New Roman"/>
          <w:sz w:val="24"/>
          <w:szCs w:val="24"/>
        </w:rPr>
        <w:t>.</w:t>
      </w:r>
      <w:r>
        <w:rPr>
          <w:rFonts w:ascii="Times New Roman" w:hAnsi="Times New Roman" w:cs="Times New Roman"/>
          <w:sz w:val="24"/>
          <w:szCs w:val="24"/>
        </w:rPr>
        <w:t xml:space="preserve"> C</w:t>
      </w:r>
      <w:r w:rsidR="00D41EB8">
        <w:rPr>
          <w:rFonts w:ascii="Times New Roman" w:hAnsi="Times New Roman" w:cs="Times New Roman"/>
          <w:sz w:val="24"/>
          <w:szCs w:val="24"/>
        </w:rPr>
        <w:t>.</w:t>
      </w:r>
      <w:r>
        <w:rPr>
          <w:rFonts w:ascii="Times New Roman" w:hAnsi="Times New Roman" w:cs="Times New Roman"/>
          <w:sz w:val="24"/>
          <w:szCs w:val="24"/>
        </w:rPr>
        <w:t>; 2021)</w:t>
      </w:r>
      <w:r w:rsidR="00F31ECB">
        <w:rPr>
          <w:rFonts w:ascii="Times New Roman" w:hAnsi="Times New Roman" w:cs="Times New Roman"/>
          <w:sz w:val="24"/>
          <w:szCs w:val="24"/>
        </w:rPr>
        <w:t xml:space="preserve">. Implica seguimiento y análisis de los datos energéticos de la entidad a todos los niveles y como todo sistema requiere de documentación que permita estandarizar todas las acciones para lograr las metas. </w:t>
      </w:r>
    </w:p>
    <w:p w:rsidR="00D41EB8" w:rsidRDefault="00D41EB8" w:rsidP="00FF3346">
      <w:pPr>
        <w:spacing w:after="0" w:line="360" w:lineRule="auto"/>
        <w:jc w:val="both"/>
        <w:rPr>
          <w:rFonts w:ascii="Times New Roman" w:hAnsi="Times New Roman" w:cs="Times New Roman"/>
          <w:sz w:val="24"/>
          <w:szCs w:val="24"/>
        </w:rPr>
      </w:pPr>
      <w:r w:rsidRPr="00D41EB8">
        <w:rPr>
          <w:rFonts w:ascii="Times New Roman" w:hAnsi="Times New Roman" w:cs="Times New Roman"/>
          <w:sz w:val="24"/>
          <w:szCs w:val="24"/>
        </w:rPr>
        <w:t>La existencia de elementos comunes entre las normas ISO 9001</w:t>
      </w:r>
      <w:r w:rsidR="00F31ECB">
        <w:rPr>
          <w:rFonts w:ascii="Times New Roman" w:hAnsi="Times New Roman" w:cs="Times New Roman"/>
          <w:sz w:val="24"/>
          <w:szCs w:val="24"/>
        </w:rPr>
        <w:t xml:space="preserve"> </w:t>
      </w:r>
      <w:r w:rsidR="00C330F5">
        <w:rPr>
          <w:rFonts w:ascii="Times New Roman" w:hAnsi="Times New Roman" w:cs="Times New Roman"/>
          <w:sz w:val="24"/>
          <w:szCs w:val="24"/>
        </w:rPr>
        <w:t>e</w:t>
      </w:r>
      <w:r w:rsidRPr="00D41EB8">
        <w:rPr>
          <w:rFonts w:ascii="Times New Roman" w:hAnsi="Times New Roman" w:cs="Times New Roman"/>
          <w:sz w:val="24"/>
          <w:szCs w:val="24"/>
        </w:rPr>
        <w:t xml:space="preserve"> ISO 50001, que promueven el sistema de gestión de la calidad (SGC) y el sistema de gestión de la energía (SGEn), favorece la integración de estos sistemas</w:t>
      </w:r>
      <w:r>
        <w:rPr>
          <w:rFonts w:ascii="Times New Roman" w:hAnsi="Times New Roman" w:cs="Times New Roman"/>
          <w:sz w:val="24"/>
          <w:szCs w:val="24"/>
        </w:rPr>
        <w:t xml:space="preserve"> (</w:t>
      </w:r>
      <w:r w:rsidR="00F31ECB" w:rsidRPr="00D41EB8">
        <w:rPr>
          <w:rFonts w:ascii="Times New Roman" w:hAnsi="Times New Roman" w:cs="Times New Roman"/>
          <w:sz w:val="24"/>
          <w:szCs w:val="24"/>
        </w:rPr>
        <w:t>Cañizares-Pentón, G., Rivero, M</w:t>
      </w:r>
      <w:r w:rsidR="00F31ECB">
        <w:rPr>
          <w:rFonts w:ascii="Times New Roman" w:hAnsi="Times New Roman" w:cs="Times New Roman"/>
          <w:sz w:val="24"/>
          <w:szCs w:val="24"/>
        </w:rPr>
        <w:t xml:space="preserve">.F., Pérez, R., &amp; González, E. </w:t>
      </w:r>
      <w:r w:rsidR="00F31ECB" w:rsidRPr="00D41EB8">
        <w:rPr>
          <w:rFonts w:ascii="Times New Roman" w:hAnsi="Times New Roman" w:cs="Times New Roman"/>
          <w:sz w:val="24"/>
          <w:szCs w:val="24"/>
        </w:rPr>
        <w:t>2015</w:t>
      </w:r>
      <w:r w:rsidR="00F31ECB">
        <w:rPr>
          <w:rFonts w:ascii="Times New Roman" w:hAnsi="Times New Roman" w:cs="Times New Roman"/>
          <w:sz w:val="24"/>
          <w:szCs w:val="24"/>
        </w:rPr>
        <w:t xml:space="preserve">). Es por ello que,  teniendo en cuenta </w:t>
      </w:r>
      <w:r w:rsidR="00F31ECB" w:rsidRPr="00B47CC7">
        <w:rPr>
          <w:rFonts w:ascii="Times New Roman" w:hAnsi="Times New Roman" w:cs="Times New Roman"/>
          <w:sz w:val="24"/>
          <w:szCs w:val="24"/>
        </w:rPr>
        <w:t>que la empresa tiene aplicado y certificado su SGC según la NC ISO 9001:2015, existe una tradición de análisis energético reconocida por sus directivos y el apoyo de la ONURE con el curso de aplicación de las NC ISO 50001:201</w:t>
      </w:r>
      <w:r w:rsidR="008608CE">
        <w:rPr>
          <w:rFonts w:ascii="Times New Roman" w:hAnsi="Times New Roman" w:cs="Times New Roman"/>
          <w:sz w:val="24"/>
          <w:szCs w:val="24"/>
        </w:rPr>
        <w:t>9</w:t>
      </w:r>
      <w:r w:rsidR="00C330F5">
        <w:rPr>
          <w:rFonts w:ascii="Times New Roman" w:hAnsi="Times New Roman" w:cs="Times New Roman"/>
          <w:sz w:val="24"/>
          <w:szCs w:val="24"/>
        </w:rPr>
        <w:t>,</w:t>
      </w:r>
      <w:r w:rsidR="00F31ECB">
        <w:rPr>
          <w:rFonts w:ascii="Times New Roman" w:hAnsi="Times New Roman" w:cs="Times New Roman"/>
          <w:sz w:val="24"/>
          <w:szCs w:val="24"/>
        </w:rPr>
        <w:t xml:space="preserve"> se considera oportuno aplicar esta norma</w:t>
      </w:r>
      <w:r w:rsidR="00C330F5">
        <w:rPr>
          <w:rFonts w:ascii="Times New Roman" w:hAnsi="Times New Roman" w:cs="Times New Roman"/>
          <w:sz w:val="24"/>
          <w:szCs w:val="24"/>
        </w:rPr>
        <w:t>,</w:t>
      </w:r>
      <w:r w:rsidR="00F31ECB">
        <w:rPr>
          <w:rFonts w:ascii="Times New Roman" w:hAnsi="Times New Roman" w:cs="Times New Roman"/>
          <w:sz w:val="24"/>
          <w:szCs w:val="24"/>
        </w:rPr>
        <w:t xml:space="preserve"> que permitirá llegar a toda la organización</w:t>
      </w:r>
      <w:r w:rsidR="00041D96">
        <w:rPr>
          <w:rFonts w:ascii="Times New Roman" w:hAnsi="Times New Roman" w:cs="Times New Roman"/>
          <w:sz w:val="24"/>
          <w:szCs w:val="24"/>
        </w:rPr>
        <w:t>, visibilizar las metas energéticas, evaluar periódicamente las condiciones de ahorro y el comportamiento de los IDEn.</w:t>
      </w:r>
    </w:p>
    <w:p w:rsidR="003555C6" w:rsidRPr="003555C6" w:rsidRDefault="003555C6" w:rsidP="003555C6">
      <w:pPr>
        <w:spacing w:after="0" w:line="360" w:lineRule="auto"/>
        <w:jc w:val="both"/>
        <w:rPr>
          <w:rFonts w:ascii="Times New Roman" w:hAnsi="Times New Roman" w:cs="Times New Roman"/>
          <w:sz w:val="24"/>
          <w:szCs w:val="24"/>
        </w:rPr>
      </w:pPr>
      <w:r w:rsidRPr="003555C6">
        <w:rPr>
          <w:rFonts w:ascii="Times New Roman" w:hAnsi="Times New Roman" w:cs="Times New Roman"/>
          <w:sz w:val="24"/>
          <w:szCs w:val="24"/>
        </w:rPr>
        <w:t xml:space="preserve">La Empresa Textil Desembarco del Granma es una empresa industrial que clasifica como grande según su tamaño y está integrada por 3 unidades básicas productivas, 3 unidades básicas de servicio  y una Oficina Central, sus instalaciones están ubicadas en la Carretera a Camajuani km 3, No. 191 B, de Santa Clara, Villa Clara. </w:t>
      </w:r>
    </w:p>
    <w:p w:rsidR="003555C6" w:rsidRDefault="003555C6" w:rsidP="003555C6">
      <w:pPr>
        <w:spacing w:after="0" w:line="360" w:lineRule="auto"/>
        <w:jc w:val="both"/>
        <w:rPr>
          <w:rFonts w:ascii="Times New Roman" w:hAnsi="Times New Roman" w:cs="Times New Roman"/>
          <w:sz w:val="24"/>
          <w:szCs w:val="24"/>
        </w:rPr>
      </w:pPr>
      <w:r w:rsidRPr="003555C6">
        <w:rPr>
          <w:rFonts w:ascii="Times New Roman" w:hAnsi="Times New Roman" w:cs="Times New Roman"/>
          <w:sz w:val="24"/>
          <w:szCs w:val="24"/>
        </w:rPr>
        <w:t>Clasifica como industria de economía de escala por ser sus producciones de alto nivel de consumo, tanto por la población como por el sector industrial, son productos de carácter homogéneo partiendo de sus estructuras y composición, con alta participación en el encadenamiento productivo.</w:t>
      </w:r>
      <w:r>
        <w:rPr>
          <w:rFonts w:ascii="Times New Roman" w:hAnsi="Times New Roman" w:cs="Times New Roman"/>
          <w:sz w:val="24"/>
          <w:szCs w:val="24"/>
        </w:rPr>
        <w:t xml:space="preserve"> Es reconocida como una de las empresas altas consumidoras de Villa Clara por lo que gestionar la energía es para la misma una obligación. Sus gastos energéticos son más del 15 % de los gastos totales.</w:t>
      </w:r>
      <w:r w:rsidR="00C330F5">
        <w:rPr>
          <w:rFonts w:ascii="Times New Roman" w:hAnsi="Times New Roman" w:cs="Times New Roman"/>
          <w:sz w:val="24"/>
          <w:szCs w:val="24"/>
        </w:rPr>
        <w:t xml:space="preserve"> Utiliza para su correcto funcionamiento </w:t>
      </w:r>
      <w:r w:rsidR="00C330F5">
        <w:rPr>
          <w:rFonts w:ascii="Times New Roman" w:hAnsi="Times New Roman" w:cs="Times New Roman"/>
          <w:sz w:val="24"/>
          <w:szCs w:val="24"/>
        </w:rPr>
        <w:lastRenderedPageBreak/>
        <w:t>electricidad, vapor, aceite caliente, aire comprimido, agua fría, agua suave y filtrada, todos de suma importancia en su correcto uso para el país.</w:t>
      </w:r>
    </w:p>
    <w:p w:rsidR="005374BC" w:rsidRDefault="005374BC" w:rsidP="003555C6">
      <w:pPr>
        <w:spacing w:after="0" w:line="360" w:lineRule="auto"/>
        <w:jc w:val="both"/>
        <w:rPr>
          <w:rFonts w:ascii="Times New Roman" w:hAnsi="Times New Roman" w:cs="Times New Roman"/>
          <w:b/>
          <w:sz w:val="24"/>
          <w:szCs w:val="24"/>
        </w:rPr>
      </w:pPr>
    </w:p>
    <w:p w:rsidR="003555C6" w:rsidRPr="003555C6" w:rsidRDefault="003555C6" w:rsidP="003555C6">
      <w:pPr>
        <w:spacing w:after="0" w:line="360" w:lineRule="auto"/>
        <w:jc w:val="both"/>
        <w:rPr>
          <w:rFonts w:ascii="Times New Roman" w:hAnsi="Times New Roman" w:cs="Times New Roman"/>
          <w:b/>
          <w:sz w:val="24"/>
          <w:szCs w:val="24"/>
        </w:rPr>
      </w:pPr>
      <w:r w:rsidRPr="003555C6">
        <w:rPr>
          <w:rFonts w:ascii="Times New Roman" w:hAnsi="Times New Roman" w:cs="Times New Roman"/>
          <w:b/>
          <w:sz w:val="24"/>
          <w:szCs w:val="24"/>
        </w:rPr>
        <w:t>Situación problemática:</w:t>
      </w:r>
    </w:p>
    <w:p w:rsidR="003555C6" w:rsidRDefault="003555C6" w:rsidP="003555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pesar de ser una industria alta consumidora, con una cultura en el ahorro y uso eficiente de los portadores energéticos, la empresa no tiene un sistema de gestión implantado y/o certificado según la NC ISO 50001:2019.</w:t>
      </w:r>
    </w:p>
    <w:p w:rsidR="009F0EE2" w:rsidRDefault="003555C6"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Es por ello que e</w:t>
      </w:r>
      <w:r w:rsidR="0099676B">
        <w:rPr>
          <w:rFonts w:ascii="Times New Roman" w:hAnsi="Times New Roman" w:cs="Times New Roman"/>
          <w:sz w:val="24"/>
          <w:szCs w:val="24"/>
        </w:rPr>
        <w:t xml:space="preserve">l </w:t>
      </w:r>
      <w:r>
        <w:rPr>
          <w:rFonts w:ascii="Times New Roman" w:hAnsi="Times New Roman" w:cs="Times New Roman"/>
          <w:sz w:val="24"/>
          <w:szCs w:val="24"/>
        </w:rPr>
        <w:t xml:space="preserve">presente </w:t>
      </w:r>
      <w:r w:rsidR="0099676B">
        <w:rPr>
          <w:rFonts w:ascii="Times New Roman" w:hAnsi="Times New Roman" w:cs="Times New Roman"/>
          <w:sz w:val="24"/>
          <w:szCs w:val="24"/>
        </w:rPr>
        <w:t xml:space="preserve">trabajo tiene como </w:t>
      </w:r>
      <w:r w:rsidR="0099676B" w:rsidRPr="003555C6">
        <w:rPr>
          <w:rFonts w:ascii="Times New Roman" w:hAnsi="Times New Roman" w:cs="Times New Roman"/>
          <w:b/>
          <w:sz w:val="24"/>
          <w:szCs w:val="24"/>
        </w:rPr>
        <w:t>objetivo</w:t>
      </w:r>
      <w:r w:rsidR="0099676B">
        <w:rPr>
          <w:rFonts w:ascii="Times New Roman" w:hAnsi="Times New Roman" w:cs="Times New Roman"/>
          <w:sz w:val="24"/>
          <w:szCs w:val="24"/>
        </w:rPr>
        <w:t xml:space="preserve"> </w:t>
      </w:r>
      <w:r w:rsidR="009F0EE2">
        <w:rPr>
          <w:rFonts w:ascii="Times New Roman" w:hAnsi="Times New Roman" w:cs="Times New Roman"/>
          <w:sz w:val="24"/>
          <w:szCs w:val="24"/>
        </w:rPr>
        <w:t>el siguiente:</w:t>
      </w:r>
    </w:p>
    <w:p w:rsidR="00A21A1F" w:rsidRDefault="0099676B"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Implementar un sistema de gestión energético en la Empresa Textil Desembarco del Granma que fortalezca la cultura energética ya existente en la organización</w:t>
      </w:r>
      <w:r w:rsidR="009F0EE2">
        <w:rPr>
          <w:rFonts w:ascii="Times New Roman" w:hAnsi="Times New Roman" w:cs="Times New Roman"/>
          <w:sz w:val="24"/>
          <w:szCs w:val="24"/>
        </w:rPr>
        <w:t xml:space="preserve"> según la NC ISO 50001:2019</w:t>
      </w:r>
      <w:r>
        <w:rPr>
          <w:rFonts w:ascii="Times New Roman" w:hAnsi="Times New Roman" w:cs="Times New Roman"/>
          <w:sz w:val="24"/>
          <w:szCs w:val="24"/>
        </w:rPr>
        <w:t>.</w:t>
      </w:r>
      <w:r w:rsidR="00A21A1F">
        <w:rPr>
          <w:rFonts w:ascii="Times New Roman" w:hAnsi="Times New Roman" w:cs="Times New Roman"/>
          <w:sz w:val="24"/>
          <w:szCs w:val="24"/>
        </w:rPr>
        <w:t xml:space="preserve"> </w:t>
      </w:r>
    </w:p>
    <w:p w:rsidR="00A21A1F" w:rsidRDefault="00A21A1F" w:rsidP="00FF3346">
      <w:pPr>
        <w:spacing w:after="0" w:line="360" w:lineRule="auto"/>
        <w:jc w:val="both"/>
        <w:rPr>
          <w:rFonts w:ascii="Times New Roman" w:hAnsi="Times New Roman" w:cs="Times New Roman"/>
          <w:sz w:val="24"/>
          <w:szCs w:val="24"/>
        </w:rPr>
      </w:pPr>
    </w:p>
    <w:p w:rsidR="00A21A1F" w:rsidRPr="00E2512D" w:rsidRDefault="00A21A1F" w:rsidP="00E2512D">
      <w:pPr>
        <w:pStyle w:val="Ttulo1"/>
        <w:spacing w:before="0" w:beforeAutospacing="0" w:after="0" w:afterAutospacing="0" w:line="360" w:lineRule="auto"/>
        <w:rPr>
          <w:sz w:val="24"/>
          <w:szCs w:val="24"/>
        </w:rPr>
      </w:pPr>
      <w:r w:rsidRPr="00A21A1F">
        <w:rPr>
          <w:sz w:val="24"/>
          <w:szCs w:val="24"/>
        </w:rPr>
        <w:t>2. Metodología</w:t>
      </w:r>
    </w:p>
    <w:p w:rsidR="000A1FA9" w:rsidRDefault="000A1FA9" w:rsidP="00C75D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aplicar la norma en la empresa se </w:t>
      </w:r>
      <w:r w:rsidRPr="00B47CC7">
        <w:rPr>
          <w:rFonts w:ascii="Times New Roman" w:hAnsi="Times New Roman" w:cs="Times New Roman"/>
          <w:sz w:val="24"/>
          <w:szCs w:val="24"/>
        </w:rPr>
        <w:t>realizó la</w:t>
      </w:r>
      <w:r>
        <w:rPr>
          <w:rFonts w:ascii="Times New Roman" w:hAnsi="Times New Roman" w:cs="Times New Roman"/>
          <w:sz w:val="24"/>
          <w:szCs w:val="24"/>
        </w:rPr>
        <w:t xml:space="preserve"> capacitación y</w:t>
      </w:r>
      <w:r w:rsidRPr="00B47CC7">
        <w:rPr>
          <w:rFonts w:ascii="Times New Roman" w:hAnsi="Times New Roman" w:cs="Times New Roman"/>
          <w:sz w:val="24"/>
          <w:szCs w:val="24"/>
        </w:rPr>
        <w:t xml:space="preserve"> revisión de la norma</w:t>
      </w:r>
      <w:r>
        <w:rPr>
          <w:rFonts w:ascii="Times New Roman" w:hAnsi="Times New Roman" w:cs="Times New Roman"/>
          <w:sz w:val="24"/>
          <w:szCs w:val="24"/>
        </w:rPr>
        <w:t xml:space="preserve"> actual</w:t>
      </w:r>
      <w:r w:rsidRPr="00B47CC7">
        <w:rPr>
          <w:rFonts w:ascii="Times New Roman" w:hAnsi="Times New Roman" w:cs="Times New Roman"/>
          <w:sz w:val="24"/>
          <w:szCs w:val="24"/>
        </w:rPr>
        <w:t xml:space="preserve">, </w:t>
      </w:r>
      <w:r>
        <w:rPr>
          <w:rFonts w:ascii="Times New Roman" w:hAnsi="Times New Roman" w:cs="Times New Roman"/>
          <w:sz w:val="24"/>
          <w:szCs w:val="24"/>
        </w:rPr>
        <w:t xml:space="preserve">el </w:t>
      </w:r>
      <w:r w:rsidRPr="00B47CC7">
        <w:rPr>
          <w:rFonts w:ascii="Times New Roman" w:hAnsi="Times New Roman" w:cs="Times New Roman"/>
          <w:sz w:val="24"/>
          <w:szCs w:val="24"/>
        </w:rPr>
        <w:t xml:space="preserve">análisis de la situación de los datos energéticos </w:t>
      </w:r>
      <w:r>
        <w:rPr>
          <w:rFonts w:ascii="Times New Roman" w:hAnsi="Times New Roman" w:cs="Times New Roman"/>
          <w:sz w:val="24"/>
          <w:szCs w:val="24"/>
        </w:rPr>
        <w:t xml:space="preserve">con sus distintos métodos de medición </w:t>
      </w:r>
      <w:r w:rsidRPr="00B47CC7">
        <w:rPr>
          <w:rFonts w:ascii="Times New Roman" w:hAnsi="Times New Roman" w:cs="Times New Roman"/>
          <w:sz w:val="24"/>
          <w:szCs w:val="24"/>
        </w:rPr>
        <w:t xml:space="preserve">y </w:t>
      </w:r>
      <w:r>
        <w:rPr>
          <w:rFonts w:ascii="Times New Roman" w:hAnsi="Times New Roman" w:cs="Times New Roman"/>
          <w:sz w:val="24"/>
          <w:szCs w:val="24"/>
        </w:rPr>
        <w:t xml:space="preserve">se realizaron </w:t>
      </w:r>
      <w:r w:rsidRPr="00B47CC7">
        <w:rPr>
          <w:rFonts w:ascii="Times New Roman" w:hAnsi="Times New Roman" w:cs="Times New Roman"/>
          <w:sz w:val="24"/>
          <w:szCs w:val="24"/>
        </w:rPr>
        <w:t>trabajos de grupo</w:t>
      </w:r>
      <w:r>
        <w:rPr>
          <w:rFonts w:ascii="Times New Roman" w:hAnsi="Times New Roman" w:cs="Times New Roman"/>
          <w:sz w:val="24"/>
          <w:szCs w:val="24"/>
        </w:rPr>
        <w:t xml:space="preserve"> para escoger el mejor camino en la integración con el SGC. Se realizó el examen de la  documentación existente del SGC buscando como utilizar los mismos para el SGEn y minimizar los documentos a realizar.  </w:t>
      </w:r>
    </w:p>
    <w:p w:rsidR="00A21A1F" w:rsidRDefault="00A21A1F" w:rsidP="00FF3346">
      <w:pPr>
        <w:spacing w:after="0" w:line="360" w:lineRule="auto"/>
        <w:jc w:val="both"/>
        <w:rPr>
          <w:rFonts w:ascii="Times New Roman" w:hAnsi="Times New Roman" w:cs="Times New Roman"/>
          <w:sz w:val="24"/>
          <w:szCs w:val="24"/>
        </w:rPr>
      </w:pPr>
    </w:p>
    <w:p w:rsidR="00A21A1F" w:rsidRPr="00E2512D" w:rsidRDefault="00A21A1F" w:rsidP="00E2512D">
      <w:pPr>
        <w:pStyle w:val="Ttulo1"/>
        <w:spacing w:before="0" w:beforeAutospacing="0" w:after="0" w:afterAutospacing="0" w:line="360" w:lineRule="auto"/>
        <w:rPr>
          <w:sz w:val="24"/>
          <w:szCs w:val="24"/>
        </w:rPr>
      </w:pPr>
      <w:r w:rsidRPr="009D5E02">
        <w:rPr>
          <w:sz w:val="24"/>
          <w:szCs w:val="24"/>
        </w:rPr>
        <w:t>3. Resultados y discusión</w:t>
      </w:r>
    </w:p>
    <w:p w:rsidR="00AC2C1E" w:rsidRDefault="00AC2C1E" w:rsidP="000A1F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trabajo se realiza analizando la NC ISO 9001:2015 y la NC ISO 50001:2019 de manera conjunta, buscando las similitudes y diferencias teniendo el apoyo de los materiales diseñados para la Red de aprendizaje de Sistemas de Gestión de la Energía de la ONURE VC. Se realizaron los siguientes pasos:</w:t>
      </w:r>
    </w:p>
    <w:p w:rsidR="003F6AE1" w:rsidRDefault="003F6AE1" w:rsidP="00AC2C1E">
      <w:pPr>
        <w:pStyle w:val="Prrafode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Comparar los documentos existentes para la aplicación de la NC ISO 9001:2015 con los necesarios para la NC ISO 50001:2019. Establecer el procedimiento para la Gestión de la energía en la empresa. </w:t>
      </w:r>
      <w:r w:rsidR="00622341">
        <w:rPr>
          <w:rFonts w:ascii="Times New Roman" w:hAnsi="Times New Roman" w:cs="Times New Roman"/>
          <w:sz w:val="24"/>
          <w:szCs w:val="24"/>
        </w:rPr>
        <w:t>(PG-06-08 Gestión de la energía)</w:t>
      </w:r>
    </w:p>
    <w:p w:rsidR="00AC2C1E" w:rsidRDefault="00AC2C1E" w:rsidP="00AC2C1E">
      <w:pPr>
        <w:pStyle w:val="Prrafode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revisa y actualiza el análisis estratégico de la empresa. Se analiza la matriz DAFO. </w:t>
      </w:r>
    </w:p>
    <w:p w:rsidR="0045438B" w:rsidRDefault="00AC2C1E" w:rsidP="00AC2C1E">
      <w:pPr>
        <w:pStyle w:val="Prrafode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lleva a aprobación </w:t>
      </w:r>
      <w:r w:rsidR="0045438B">
        <w:rPr>
          <w:rFonts w:ascii="Times New Roman" w:hAnsi="Times New Roman" w:cs="Times New Roman"/>
          <w:sz w:val="24"/>
          <w:szCs w:val="24"/>
        </w:rPr>
        <w:t xml:space="preserve"> al consejo de dirección los resultados finales de este análisis.</w:t>
      </w:r>
    </w:p>
    <w:p w:rsidR="0045438B" w:rsidRDefault="0045438B" w:rsidP="00AC2C1E">
      <w:pPr>
        <w:pStyle w:val="Prrafode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definen las partes interesadas externas e internas en el nuevo contexto de aplicación de la norma NC ISO 50001:2019.</w:t>
      </w:r>
    </w:p>
    <w:p w:rsidR="00AC2C1E" w:rsidRDefault="0045438B" w:rsidP="00AC2C1E">
      <w:pPr>
        <w:pStyle w:val="Prrafode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 actualiza la base legislativa y </w:t>
      </w:r>
      <w:r w:rsidR="00DA2398">
        <w:rPr>
          <w:rFonts w:ascii="Times New Roman" w:hAnsi="Times New Roman" w:cs="Times New Roman"/>
          <w:sz w:val="24"/>
          <w:szCs w:val="24"/>
        </w:rPr>
        <w:t>los requisitos legales correspondientes</w:t>
      </w:r>
      <w:r>
        <w:rPr>
          <w:rFonts w:ascii="Times New Roman" w:hAnsi="Times New Roman" w:cs="Times New Roman"/>
          <w:sz w:val="24"/>
          <w:szCs w:val="24"/>
        </w:rPr>
        <w:t xml:space="preserve"> para el sistema de gestión (Identificación, actualización, chequeos, auditorias, rendir cuenta de su cumplimiento en los Consejos de Dirección). </w:t>
      </w:r>
      <w:r w:rsidR="00AC2C1E">
        <w:rPr>
          <w:rFonts w:ascii="Times New Roman" w:hAnsi="Times New Roman" w:cs="Times New Roman"/>
          <w:sz w:val="24"/>
          <w:szCs w:val="24"/>
        </w:rPr>
        <w:t xml:space="preserve"> </w:t>
      </w:r>
    </w:p>
    <w:p w:rsidR="0045438B" w:rsidRDefault="00DA2398" w:rsidP="00AC2C1E">
      <w:pPr>
        <w:pStyle w:val="Prrafode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precisó el alcance del SGEn llegando a todos los procesos y áreas de la empresa. Se modificó el Mapa de procesos en correspondencia con la nueva norma.</w:t>
      </w:r>
    </w:p>
    <w:p w:rsidR="00DA2398" w:rsidRDefault="00DA2398" w:rsidP="00AC2C1E">
      <w:pPr>
        <w:pStyle w:val="Prrafode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definió y aprobó la política integrada de la empresa.</w:t>
      </w:r>
    </w:p>
    <w:p w:rsidR="00DA2398" w:rsidRDefault="00DA2398" w:rsidP="00AC2C1E">
      <w:pPr>
        <w:pStyle w:val="Prrafode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asignan la autoridad y responsabilidad en correspondencia con el sistema. </w:t>
      </w:r>
    </w:p>
    <w:p w:rsidR="00DA2398" w:rsidRDefault="00DA2398" w:rsidP="00DA2398">
      <w:pPr>
        <w:pStyle w:val="Prrafodelista"/>
        <w:numPr>
          <w:ilvl w:val="0"/>
          <w:numId w:val="3"/>
        </w:numPr>
        <w:spacing w:after="0" w:line="360" w:lineRule="auto"/>
        <w:ind w:left="708"/>
        <w:jc w:val="both"/>
        <w:rPr>
          <w:rFonts w:ascii="Times New Roman" w:hAnsi="Times New Roman" w:cs="Times New Roman"/>
          <w:sz w:val="24"/>
          <w:szCs w:val="24"/>
        </w:rPr>
      </w:pPr>
      <w:r w:rsidRPr="00DA2398">
        <w:rPr>
          <w:rFonts w:ascii="Times New Roman" w:hAnsi="Times New Roman" w:cs="Times New Roman"/>
          <w:sz w:val="24"/>
          <w:szCs w:val="24"/>
        </w:rPr>
        <w:t xml:space="preserve">Se crea por resolución el consejo energético. Lo integran el consejo de dirección y especialistas preparados en el tema. </w:t>
      </w:r>
    </w:p>
    <w:p w:rsidR="000A1FA9" w:rsidRPr="00DA2398" w:rsidRDefault="000A1FA9" w:rsidP="00DA2398">
      <w:pPr>
        <w:pStyle w:val="Prrafodelista"/>
        <w:spacing w:after="0" w:line="360" w:lineRule="auto"/>
        <w:ind w:left="708"/>
        <w:jc w:val="both"/>
        <w:rPr>
          <w:rFonts w:ascii="Times New Roman" w:hAnsi="Times New Roman" w:cs="Times New Roman"/>
          <w:sz w:val="24"/>
          <w:szCs w:val="24"/>
        </w:rPr>
      </w:pPr>
      <w:r w:rsidRPr="00DA2398">
        <w:rPr>
          <w:rFonts w:ascii="Times New Roman" w:hAnsi="Times New Roman" w:cs="Times New Roman"/>
          <w:sz w:val="24"/>
          <w:szCs w:val="24"/>
        </w:rPr>
        <w:t>Para la creación de equipo de gestión de la energía se debe asignar un representante del</w:t>
      </w:r>
      <w:r w:rsidR="00DA2398" w:rsidRPr="00DA2398">
        <w:rPr>
          <w:rFonts w:ascii="Times New Roman" w:hAnsi="Times New Roman" w:cs="Times New Roman"/>
          <w:sz w:val="24"/>
          <w:szCs w:val="24"/>
        </w:rPr>
        <w:t xml:space="preserve"> </w:t>
      </w:r>
      <w:r w:rsidRPr="00DA2398">
        <w:rPr>
          <w:rFonts w:ascii="Times New Roman" w:hAnsi="Times New Roman" w:cs="Times New Roman"/>
          <w:sz w:val="24"/>
          <w:szCs w:val="24"/>
        </w:rPr>
        <w:t xml:space="preserve">mismo que demuestre los resultados que se están obteniendo (Alvarez Cancio-Bello, R. R: Montelier Hernández, S; Oviedo Regojo, A; 2021). Esto es vital para el desempeño y sostenibilidad del sistema. Precisa de personas entrenadas, con deseos de trabajar, con capacidad de análisis  y persistentes. </w:t>
      </w:r>
    </w:p>
    <w:p w:rsidR="00DA2398" w:rsidRDefault="00DA2398" w:rsidP="00DA2398">
      <w:pPr>
        <w:pStyle w:val="Prrafodelista"/>
        <w:numPr>
          <w:ilvl w:val="0"/>
          <w:numId w:val="3"/>
        </w:numPr>
        <w:spacing w:after="0" w:line="360" w:lineRule="auto"/>
        <w:ind w:left="708"/>
        <w:jc w:val="both"/>
        <w:rPr>
          <w:rFonts w:ascii="Times New Roman" w:hAnsi="Times New Roman" w:cs="Times New Roman"/>
          <w:sz w:val="24"/>
          <w:szCs w:val="24"/>
        </w:rPr>
      </w:pPr>
      <w:r w:rsidRPr="00DA2398">
        <w:rPr>
          <w:rFonts w:ascii="Times New Roman" w:hAnsi="Times New Roman" w:cs="Times New Roman"/>
          <w:sz w:val="24"/>
          <w:szCs w:val="24"/>
        </w:rPr>
        <w:t xml:space="preserve">Se </w:t>
      </w:r>
      <w:r>
        <w:rPr>
          <w:rFonts w:ascii="Times New Roman" w:hAnsi="Times New Roman" w:cs="Times New Roman"/>
          <w:sz w:val="24"/>
          <w:szCs w:val="24"/>
        </w:rPr>
        <w:t>designa la Directora técnica y de mantenimiento como máxima representante del sistema</w:t>
      </w:r>
      <w:r w:rsidRPr="00DA2398">
        <w:rPr>
          <w:rFonts w:ascii="Times New Roman" w:hAnsi="Times New Roman" w:cs="Times New Roman"/>
          <w:sz w:val="24"/>
          <w:szCs w:val="24"/>
        </w:rPr>
        <w:t xml:space="preserve">. </w:t>
      </w:r>
    </w:p>
    <w:p w:rsidR="004035A0" w:rsidRDefault="004035A0" w:rsidP="00DA2398">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Las acciones para abordar los riesgos se revisan en lo que se tenía por la Resolución 60:2011, ajustando según necesidad a la nueva situación. </w:t>
      </w:r>
    </w:p>
    <w:p w:rsidR="004035A0" w:rsidRDefault="004035A0" w:rsidP="004035A0">
      <w:pPr>
        <w:pStyle w:val="Prrafodelista"/>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Muchos de los temas energéticos y el correcto uso del combustible, ya estaban en la documentación del Control interno de la empresa,  por lo que las modificaciones fueron pequeñas. No ocurre así con la planificación para abordar las oportunidades que requirió de ajustes en el análisis estratégico. </w:t>
      </w:r>
    </w:p>
    <w:p w:rsidR="004035A0" w:rsidRDefault="007D3170" w:rsidP="004035A0">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Definición de las medidas para aprovechar las oportunidades.</w:t>
      </w:r>
    </w:p>
    <w:p w:rsidR="00046E0A" w:rsidRDefault="00046E0A" w:rsidP="004035A0">
      <w:pPr>
        <w:pStyle w:val="Prrafodelista"/>
        <w:numPr>
          <w:ilvl w:val="0"/>
          <w:numId w:val="3"/>
        </w:numPr>
        <w:spacing w:after="0" w:line="360" w:lineRule="auto"/>
        <w:ind w:left="708"/>
        <w:jc w:val="both"/>
        <w:rPr>
          <w:rFonts w:ascii="Times New Roman" w:hAnsi="Times New Roman" w:cs="Times New Roman"/>
          <w:sz w:val="24"/>
          <w:szCs w:val="24"/>
        </w:rPr>
      </w:pPr>
      <w:r w:rsidRPr="00046E0A">
        <w:rPr>
          <w:rFonts w:ascii="Times New Roman" w:hAnsi="Times New Roman" w:cs="Times New Roman"/>
          <w:sz w:val="24"/>
          <w:szCs w:val="24"/>
        </w:rPr>
        <w:t xml:space="preserve">Los objetivos de trabajo se planifican anualmente y se evalúan todos los meses. Se aprueban por el director general y están en correspondencia con los objetivos generales </w:t>
      </w:r>
      <w:r>
        <w:rPr>
          <w:rFonts w:ascii="Times New Roman" w:hAnsi="Times New Roman" w:cs="Times New Roman"/>
          <w:sz w:val="24"/>
          <w:szCs w:val="24"/>
        </w:rPr>
        <w:t xml:space="preserve">del OSDE excepto los energéticos que no son reconocidos como criterios de medida del OSDE o del MINDUS. Estos objetivos energéticos están </w:t>
      </w:r>
      <w:r w:rsidR="00C831AA">
        <w:rPr>
          <w:rFonts w:ascii="Times New Roman" w:hAnsi="Times New Roman" w:cs="Times New Roman"/>
          <w:sz w:val="24"/>
          <w:szCs w:val="24"/>
        </w:rPr>
        <w:t xml:space="preserve">en la Dirección técnica y de mantenimiento, en las UEB y  en los objetivos de la empresa. </w:t>
      </w:r>
      <w:r>
        <w:rPr>
          <w:rFonts w:ascii="Times New Roman" w:hAnsi="Times New Roman" w:cs="Times New Roman"/>
          <w:sz w:val="24"/>
          <w:szCs w:val="24"/>
        </w:rPr>
        <w:t xml:space="preserve">Su cumplimiento se chequea trimestralmente a nivel de consejo. </w:t>
      </w:r>
    </w:p>
    <w:p w:rsidR="00622341" w:rsidRDefault="00622341" w:rsidP="004035A0">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Las metas energéticas fueron definidas y aprobadas a nivel de consejo con 7 metas y 21 acciones para lograr las mismas. Estas se chequean periódicamente a nivel de consejo. </w:t>
      </w:r>
    </w:p>
    <w:p w:rsidR="003F6AE1" w:rsidRDefault="003F6AE1" w:rsidP="004035A0">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lastRenderedPageBreak/>
        <w:t xml:space="preserve">Realizar y actualizar la Revisión energética según se concibió en el procedimiento para el SGEn. </w:t>
      </w:r>
    </w:p>
    <w:p w:rsidR="003F6AE1" w:rsidRPr="005B7B8C" w:rsidRDefault="003F6AE1" w:rsidP="003F6AE1">
      <w:pPr>
        <w:pStyle w:val="Prrafodelista"/>
        <w:spacing w:after="0" w:line="360" w:lineRule="auto"/>
        <w:ind w:left="708"/>
        <w:jc w:val="both"/>
        <w:rPr>
          <w:rFonts w:ascii="Times New Roman" w:hAnsi="Times New Roman" w:cs="Times New Roman"/>
          <w:sz w:val="24"/>
          <w:szCs w:val="24"/>
        </w:rPr>
      </w:pPr>
      <w:r w:rsidRPr="005B7B8C">
        <w:rPr>
          <w:rFonts w:ascii="Times New Roman" w:hAnsi="Times New Roman" w:cs="Times New Roman"/>
          <w:sz w:val="24"/>
          <w:szCs w:val="24"/>
        </w:rPr>
        <w:t>Esta</w:t>
      </w:r>
      <w:r w:rsidR="00B64764" w:rsidRPr="005B7B8C">
        <w:rPr>
          <w:rFonts w:ascii="Times New Roman" w:hAnsi="Times New Roman" w:cs="Times New Roman"/>
          <w:sz w:val="24"/>
          <w:szCs w:val="24"/>
        </w:rPr>
        <w:t>, para el 2022,</w:t>
      </w:r>
      <w:r w:rsidRPr="005B7B8C">
        <w:rPr>
          <w:rFonts w:ascii="Times New Roman" w:hAnsi="Times New Roman" w:cs="Times New Roman"/>
          <w:sz w:val="24"/>
          <w:szCs w:val="24"/>
        </w:rPr>
        <w:t xml:space="preserve"> demostró lo siguiente:</w:t>
      </w:r>
    </w:p>
    <w:p w:rsidR="00B64764" w:rsidRPr="005B7B8C" w:rsidRDefault="00B64764" w:rsidP="00B64764">
      <w:pPr>
        <w:pStyle w:val="Prrafodelista"/>
        <w:numPr>
          <w:ilvl w:val="0"/>
          <w:numId w:val="5"/>
        </w:numPr>
        <w:spacing w:after="0" w:line="360" w:lineRule="auto"/>
        <w:jc w:val="both"/>
        <w:rPr>
          <w:rFonts w:ascii="Times New Roman" w:hAnsi="Times New Roman" w:cs="Times New Roman"/>
          <w:sz w:val="24"/>
          <w:szCs w:val="24"/>
        </w:rPr>
      </w:pPr>
      <w:r w:rsidRPr="005B7B8C">
        <w:rPr>
          <w:rFonts w:ascii="Times New Roman" w:hAnsi="Times New Roman" w:cs="Times New Roman"/>
          <w:sz w:val="24"/>
          <w:szCs w:val="24"/>
        </w:rPr>
        <w:t>La empresa tiene como energéticos la electricidad, Fuel Oíl, Diesel, Gasolina, Gas licuado del petróleo, Vapor, aceite caliente, aire comprimido, agua fría, agua suave, agua filtrada.</w:t>
      </w:r>
    </w:p>
    <w:p w:rsidR="00B64764" w:rsidRPr="005B7B8C" w:rsidRDefault="00B64764" w:rsidP="00B64764">
      <w:pPr>
        <w:pStyle w:val="Prrafodelista"/>
        <w:numPr>
          <w:ilvl w:val="0"/>
          <w:numId w:val="5"/>
        </w:numPr>
        <w:spacing w:after="0" w:line="360" w:lineRule="auto"/>
        <w:jc w:val="both"/>
        <w:rPr>
          <w:rFonts w:ascii="Times New Roman" w:hAnsi="Times New Roman" w:cs="Times New Roman"/>
          <w:sz w:val="24"/>
          <w:szCs w:val="24"/>
        </w:rPr>
      </w:pPr>
      <w:r w:rsidRPr="005B7B8C">
        <w:rPr>
          <w:rFonts w:ascii="Times New Roman" w:hAnsi="Times New Roman" w:cs="Times New Roman"/>
          <w:sz w:val="24"/>
          <w:szCs w:val="24"/>
        </w:rPr>
        <w:t>Todos los portadores se comportaron por debajo de su plan.</w:t>
      </w:r>
    </w:p>
    <w:p w:rsidR="00EA0226" w:rsidRPr="005B7B8C" w:rsidRDefault="009F5966" w:rsidP="00B64764">
      <w:pPr>
        <w:pStyle w:val="Prrafodelista"/>
        <w:numPr>
          <w:ilvl w:val="0"/>
          <w:numId w:val="5"/>
        </w:numPr>
        <w:spacing w:after="0" w:line="360" w:lineRule="auto"/>
        <w:jc w:val="both"/>
        <w:rPr>
          <w:rFonts w:ascii="Times New Roman" w:hAnsi="Times New Roman" w:cs="Times New Roman"/>
          <w:sz w:val="24"/>
          <w:szCs w:val="24"/>
        </w:rPr>
      </w:pPr>
      <w:r w:rsidRPr="005B7B8C">
        <w:rPr>
          <w:rFonts w:ascii="Times New Roman" w:hAnsi="Times New Roman" w:cs="Times New Roman"/>
          <w:sz w:val="24"/>
          <w:szCs w:val="24"/>
        </w:rPr>
        <w:t>El comportamiento anual está en correspondencia con los niveles productivos y no se puede hablar de una tendencia a la disminución por lo deprimida que está la industria.</w:t>
      </w:r>
    </w:p>
    <w:p w:rsidR="00EA0226" w:rsidRPr="005B7B8C" w:rsidRDefault="00EA0226" w:rsidP="00B64764">
      <w:pPr>
        <w:pStyle w:val="Prrafodelista"/>
        <w:numPr>
          <w:ilvl w:val="0"/>
          <w:numId w:val="5"/>
        </w:numPr>
        <w:spacing w:after="0" w:line="360" w:lineRule="auto"/>
        <w:jc w:val="both"/>
        <w:rPr>
          <w:rFonts w:ascii="Times New Roman" w:hAnsi="Times New Roman" w:cs="Times New Roman"/>
          <w:sz w:val="24"/>
          <w:szCs w:val="24"/>
        </w:rPr>
      </w:pPr>
      <w:r w:rsidRPr="005B7B8C">
        <w:rPr>
          <w:rFonts w:ascii="Times New Roman" w:hAnsi="Times New Roman" w:cs="Times New Roman"/>
          <w:sz w:val="24"/>
          <w:szCs w:val="24"/>
        </w:rPr>
        <w:t>Se identifican los USE</w:t>
      </w:r>
      <w:r w:rsidR="0046719E" w:rsidRPr="005B7B8C">
        <w:rPr>
          <w:rFonts w:ascii="Times New Roman" w:hAnsi="Times New Roman" w:cs="Times New Roman"/>
          <w:sz w:val="24"/>
          <w:szCs w:val="24"/>
        </w:rPr>
        <w:t xml:space="preserve"> y se presentan en la figura 1.</w:t>
      </w:r>
      <w:r w:rsidR="00F70E71" w:rsidRPr="005B7B8C">
        <w:rPr>
          <w:rFonts w:ascii="Times New Roman" w:hAnsi="Times New Roman" w:cs="Times New Roman"/>
          <w:sz w:val="24"/>
          <w:szCs w:val="24"/>
        </w:rPr>
        <w:t xml:space="preserve"> </w:t>
      </w:r>
      <w:r w:rsidR="0046719E" w:rsidRPr="005B7B8C">
        <w:rPr>
          <w:rFonts w:ascii="Times New Roman" w:hAnsi="Times New Roman" w:cs="Times New Roman"/>
          <w:sz w:val="24"/>
          <w:szCs w:val="24"/>
        </w:rPr>
        <w:t>El combustible Fuel Oíl y la electricidad representan el 96 % del total de los portadores.</w:t>
      </w:r>
    </w:p>
    <w:p w:rsidR="0046719E" w:rsidRPr="005B7B8C" w:rsidRDefault="00EA0226" w:rsidP="0046719E">
      <w:pPr>
        <w:spacing w:after="0" w:line="360" w:lineRule="auto"/>
        <w:jc w:val="center"/>
        <w:rPr>
          <w:rFonts w:ascii="Times New Roman" w:hAnsi="Times New Roman" w:cs="Times New Roman"/>
          <w:sz w:val="24"/>
          <w:szCs w:val="24"/>
        </w:rPr>
      </w:pPr>
      <w:r w:rsidRPr="005B7B8C">
        <w:rPr>
          <w:noProof/>
          <w:lang w:val="es-US" w:eastAsia="es-US"/>
        </w:rPr>
        <w:drawing>
          <wp:inline distT="0" distB="0" distL="0" distR="0" wp14:anchorId="0C44C9E3" wp14:editId="4601C329">
            <wp:extent cx="5238044" cy="3025422"/>
            <wp:effectExtent l="0" t="0" r="20320" b="2286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9F5966" w:rsidRPr="005B7B8C">
        <w:rPr>
          <w:rFonts w:ascii="Times New Roman" w:hAnsi="Times New Roman" w:cs="Times New Roman"/>
          <w:sz w:val="24"/>
          <w:szCs w:val="24"/>
        </w:rPr>
        <w:t xml:space="preserve"> </w:t>
      </w:r>
    </w:p>
    <w:p w:rsidR="0046719E" w:rsidRPr="005B7B8C" w:rsidRDefault="0046719E" w:rsidP="0046719E">
      <w:pPr>
        <w:spacing w:after="0" w:line="360" w:lineRule="auto"/>
        <w:jc w:val="center"/>
        <w:rPr>
          <w:rFonts w:ascii="Times New Roman" w:hAnsi="Times New Roman" w:cs="Times New Roman"/>
          <w:sz w:val="20"/>
        </w:rPr>
      </w:pPr>
      <w:r w:rsidRPr="005B7B8C">
        <w:rPr>
          <w:rFonts w:ascii="Times New Roman" w:hAnsi="Times New Roman" w:cs="Times New Roman"/>
          <w:sz w:val="20"/>
        </w:rPr>
        <w:t>Figura 1. USE de la Empresa Textil en el 2022</w:t>
      </w:r>
    </w:p>
    <w:p w:rsidR="0046719E" w:rsidRPr="005B7B8C" w:rsidRDefault="0046719E" w:rsidP="0046719E">
      <w:pPr>
        <w:spacing w:after="0" w:line="360" w:lineRule="auto"/>
        <w:jc w:val="center"/>
        <w:rPr>
          <w:rFonts w:ascii="Times New Roman" w:hAnsi="Times New Roman" w:cs="Times New Roman"/>
          <w:sz w:val="20"/>
        </w:rPr>
      </w:pPr>
      <w:r w:rsidRPr="005B7B8C">
        <w:rPr>
          <w:rFonts w:ascii="Times New Roman" w:hAnsi="Times New Roman" w:cs="Times New Roman"/>
          <w:sz w:val="20"/>
        </w:rPr>
        <w:t>Fuente: Elaboración propia.</w:t>
      </w:r>
    </w:p>
    <w:p w:rsidR="00F70E71" w:rsidRPr="005B7B8C" w:rsidRDefault="00F70E71" w:rsidP="00F70E71">
      <w:pPr>
        <w:pStyle w:val="Prrafodelista"/>
        <w:numPr>
          <w:ilvl w:val="0"/>
          <w:numId w:val="5"/>
        </w:numPr>
        <w:spacing w:after="0" w:line="360" w:lineRule="auto"/>
        <w:jc w:val="both"/>
        <w:rPr>
          <w:rFonts w:ascii="Times New Roman" w:hAnsi="Times New Roman" w:cs="Times New Roman"/>
          <w:sz w:val="24"/>
          <w:szCs w:val="24"/>
        </w:rPr>
      </w:pPr>
      <w:r w:rsidRPr="005B7B8C">
        <w:rPr>
          <w:rFonts w:ascii="Times New Roman" w:hAnsi="Times New Roman" w:cs="Times New Roman"/>
          <w:sz w:val="24"/>
          <w:szCs w:val="24"/>
        </w:rPr>
        <w:t xml:space="preserve">Para cada USE se determinan las áreas </w:t>
      </w:r>
      <w:r w:rsidR="00DE0377" w:rsidRPr="005B7B8C">
        <w:rPr>
          <w:rFonts w:ascii="Times New Roman" w:hAnsi="Times New Roman" w:cs="Times New Roman"/>
          <w:sz w:val="24"/>
          <w:szCs w:val="24"/>
        </w:rPr>
        <w:t>más</w:t>
      </w:r>
      <w:r w:rsidRPr="005B7B8C">
        <w:rPr>
          <w:rFonts w:ascii="Times New Roman" w:hAnsi="Times New Roman" w:cs="Times New Roman"/>
          <w:sz w:val="24"/>
          <w:szCs w:val="24"/>
        </w:rPr>
        <w:t xml:space="preserve"> representativas</w:t>
      </w:r>
      <w:r w:rsidR="00A9502F" w:rsidRPr="005B7B8C">
        <w:rPr>
          <w:rFonts w:ascii="Times New Roman" w:hAnsi="Times New Roman" w:cs="Times New Roman"/>
          <w:sz w:val="24"/>
          <w:szCs w:val="24"/>
        </w:rPr>
        <w:t>. S</w:t>
      </w:r>
      <w:r w:rsidRPr="005B7B8C">
        <w:rPr>
          <w:rFonts w:ascii="Times New Roman" w:hAnsi="Times New Roman" w:cs="Times New Roman"/>
          <w:sz w:val="24"/>
          <w:szCs w:val="24"/>
        </w:rPr>
        <w:t>e presentan en la figura 2</w:t>
      </w:r>
      <w:r w:rsidR="00A9502F" w:rsidRPr="005B7B8C">
        <w:rPr>
          <w:rFonts w:ascii="Times New Roman" w:hAnsi="Times New Roman" w:cs="Times New Roman"/>
          <w:sz w:val="24"/>
          <w:szCs w:val="24"/>
        </w:rPr>
        <w:t xml:space="preserve"> que l</w:t>
      </w:r>
      <w:r w:rsidRPr="005B7B8C">
        <w:rPr>
          <w:rFonts w:ascii="Times New Roman" w:hAnsi="Times New Roman" w:cs="Times New Roman"/>
          <w:sz w:val="24"/>
          <w:szCs w:val="24"/>
        </w:rPr>
        <w:t>a UEB de Acabado es el 76 % del consumo total de FO en el año 2022.</w:t>
      </w:r>
    </w:p>
    <w:p w:rsidR="00F70E71" w:rsidRPr="005B7B8C" w:rsidRDefault="00F70E71" w:rsidP="0046719E">
      <w:pPr>
        <w:spacing w:after="0" w:line="360" w:lineRule="auto"/>
        <w:jc w:val="center"/>
        <w:rPr>
          <w:rFonts w:ascii="Times New Roman" w:hAnsi="Times New Roman" w:cs="Times New Roman"/>
          <w:sz w:val="20"/>
        </w:rPr>
      </w:pPr>
      <w:r w:rsidRPr="005B7B8C">
        <w:rPr>
          <w:noProof/>
          <w:lang w:val="es-US" w:eastAsia="es-US"/>
        </w:rPr>
        <w:lastRenderedPageBreak/>
        <w:drawing>
          <wp:inline distT="0" distB="0" distL="0" distR="0" wp14:anchorId="4403A35D" wp14:editId="5A9F08CA">
            <wp:extent cx="5170311" cy="2788355"/>
            <wp:effectExtent l="0" t="0" r="11430"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70E71" w:rsidRPr="005B7B8C" w:rsidRDefault="00F70E71" w:rsidP="00F70E71">
      <w:pPr>
        <w:spacing w:after="0" w:line="360" w:lineRule="auto"/>
        <w:jc w:val="center"/>
        <w:rPr>
          <w:rFonts w:ascii="Times New Roman" w:hAnsi="Times New Roman" w:cs="Times New Roman"/>
          <w:sz w:val="20"/>
        </w:rPr>
      </w:pPr>
      <w:r w:rsidRPr="005B7B8C">
        <w:rPr>
          <w:rFonts w:ascii="Times New Roman" w:hAnsi="Times New Roman" w:cs="Times New Roman"/>
          <w:sz w:val="20"/>
        </w:rPr>
        <w:t>Figura 2. USE del FO en la Empresa Textil en el 2022</w:t>
      </w:r>
    </w:p>
    <w:p w:rsidR="00F70E71" w:rsidRPr="005B7B8C" w:rsidRDefault="00F70E71" w:rsidP="00F70E71">
      <w:pPr>
        <w:spacing w:after="0" w:line="360" w:lineRule="auto"/>
        <w:jc w:val="center"/>
        <w:rPr>
          <w:rFonts w:ascii="Times New Roman" w:hAnsi="Times New Roman" w:cs="Times New Roman"/>
          <w:sz w:val="20"/>
        </w:rPr>
      </w:pPr>
      <w:r w:rsidRPr="005B7B8C">
        <w:rPr>
          <w:rFonts w:ascii="Times New Roman" w:hAnsi="Times New Roman" w:cs="Times New Roman"/>
          <w:sz w:val="20"/>
        </w:rPr>
        <w:t>Fuente: Elaboración propia.</w:t>
      </w:r>
    </w:p>
    <w:p w:rsidR="00DE0377" w:rsidRDefault="00DE0377" w:rsidP="00DE0377">
      <w:pPr>
        <w:pStyle w:val="Prrafodelista"/>
        <w:numPr>
          <w:ilvl w:val="0"/>
          <w:numId w:val="5"/>
        </w:numPr>
        <w:spacing w:after="0" w:line="360" w:lineRule="auto"/>
        <w:jc w:val="both"/>
        <w:rPr>
          <w:rFonts w:ascii="Times New Roman" w:hAnsi="Times New Roman" w:cs="Times New Roman"/>
          <w:sz w:val="24"/>
          <w:szCs w:val="24"/>
        </w:rPr>
      </w:pPr>
      <w:r w:rsidRPr="005B7B8C">
        <w:rPr>
          <w:rFonts w:ascii="Times New Roman" w:hAnsi="Times New Roman" w:cs="Times New Roman"/>
          <w:sz w:val="24"/>
          <w:szCs w:val="24"/>
        </w:rPr>
        <w:t>Para cada USE se identificaron los operadores que afectarían de manera significativa el USE, en este caso para el FO, son los operadores de las Calderas de Vapor, la línea de Blanqueo, línea MEW, líneas de teñido, Autoclaves y Secadoras.</w:t>
      </w:r>
    </w:p>
    <w:p w:rsidR="00246AFB" w:rsidRPr="0039464F" w:rsidRDefault="00246AFB" w:rsidP="00DE0377">
      <w:pPr>
        <w:pStyle w:val="Prrafodelista"/>
        <w:numPr>
          <w:ilvl w:val="0"/>
          <w:numId w:val="5"/>
        </w:numPr>
        <w:spacing w:after="0" w:line="360" w:lineRule="auto"/>
        <w:jc w:val="both"/>
        <w:rPr>
          <w:rFonts w:ascii="Times New Roman" w:hAnsi="Times New Roman" w:cs="Times New Roman"/>
          <w:sz w:val="24"/>
          <w:szCs w:val="24"/>
        </w:rPr>
      </w:pPr>
      <w:r w:rsidRPr="0039464F">
        <w:rPr>
          <w:rFonts w:ascii="Times New Roman" w:hAnsi="Times New Roman" w:cs="Times New Roman"/>
          <w:sz w:val="24"/>
          <w:szCs w:val="24"/>
        </w:rPr>
        <w:t xml:space="preserve">Se identificaron las oportunidades </w:t>
      </w:r>
      <w:r w:rsidR="009A75FF" w:rsidRPr="0039464F">
        <w:rPr>
          <w:rFonts w:ascii="Times New Roman" w:hAnsi="Times New Roman" w:cs="Times New Roman"/>
          <w:sz w:val="24"/>
          <w:szCs w:val="24"/>
        </w:rPr>
        <w:t xml:space="preserve">para mejorar el desempeño energético clasificándolas </w:t>
      </w:r>
      <w:r w:rsidRPr="0039464F">
        <w:rPr>
          <w:rFonts w:ascii="Times New Roman" w:hAnsi="Times New Roman" w:cs="Times New Roman"/>
          <w:sz w:val="24"/>
          <w:szCs w:val="24"/>
        </w:rPr>
        <w:t xml:space="preserve">en organizativas, de mantenimiento e inversión. </w:t>
      </w:r>
      <w:r w:rsidR="009A75FF" w:rsidRPr="0039464F">
        <w:rPr>
          <w:rFonts w:ascii="Times New Roman" w:hAnsi="Times New Roman" w:cs="Times New Roman"/>
          <w:sz w:val="24"/>
          <w:szCs w:val="24"/>
        </w:rPr>
        <w:t>En total se consideran 13 oportunidades que se resumen en la tabla No. 1.</w:t>
      </w:r>
    </w:p>
    <w:tbl>
      <w:tblPr>
        <w:tblW w:w="9042" w:type="dxa"/>
        <w:tblInd w:w="70" w:type="dxa"/>
        <w:tblCellMar>
          <w:left w:w="70" w:type="dxa"/>
          <w:right w:w="70" w:type="dxa"/>
        </w:tblCellMar>
        <w:tblLook w:val="04A0" w:firstRow="1" w:lastRow="0" w:firstColumn="1" w:lastColumn="0" w:noHBand="0" w:noVBand="1"/>
      </w:tblPr>
      <w:tblGrid>
        <w:gridCol w:w="2977"/>
        <w:gridCol w:w="1720"/>
        <w:gridCol w:w="1705"/>
        <w:gridCol w:w="1320"/>
        <w:gridCol w:w="1320"/>
      </w:tblGrid>
      <w:tr w:rsidR="009A75FF" w:rsidRPr="0039464F" w:rsidTr="00EA7A77">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rPr>
                <w:rFonts w:ascii="Arial" w:eastAsia="Times New Roman" w:hAnsi="Arial" w:cs="Arial"/>
                <w:b/>
                <w:bCs/>
                <w:lang w:eastAsia="es-ES"/>
              </w:rPr>
            </w:pPr>
            <w:r w:rsidRPr="0039464F">
              <w:rPr>
                <w:rFonts w:ascii="Arial" w:eastAsia="Times New Roman" w:hAnsi="Arial" w:cs="Arial"/>
                <w:b/>
                <w:bCs/>
                <w:lang w:eastAsia="es-ES"/>
              </w:rPr>
              <w:t xml:space="preserve">Oportunidades de mejoras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rPr>
                <w:rFonts w:ascii="Arial" w:eastAsia="Times New Roman" w:hAnsi="Arial" w:cs="Arial"/>
                <w:b/>
                <w:bCs/>
                <w:lang w:eastAsia="es-ES"/>
              </w:rPr>
            </w:pPr>
            <w:r w:rsidRPr="0039464F">
              <w:rPr>
                <w:rFonts w:ascii="Arial" w:eastAsia="Times New Roman" w:hAnsi="Arial" w:cs="Arial"/>
                <w:b/>
                <w:bCs/>
                <w:lang w:eastAsia="es-ES"/>
              </w:rPr>
              <w:t>Organizativas</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rPr>
                <w:rFonts w:ascii="Arial" w:eastAsia="Times New Roman" w:hAnsi="Arial" w:cs="Arial"/>
                <w:b/>
                <w:bCs/>
                <w:lang w:eastAsia="es-ES"/>
              </w:rPr>
            </w:pPr>
            <w:r w:rsidRPr="0039464F">
              <w:rPr>
                <w:rFonts w:ascii="Arial" w:eastAsia="Times New Roman" w:hAnsi="Arial" w:cs="Arial"/>
                <w:b/>
                <w:bCs/>
                <w:lang w:eastAsia="es-ES"/>
              </w:rPr>
              <w:t>Mantenimiento</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b/>
                <w:bCs/>
                <w:lang w:eastAsia="es-ES"/>
              </w:rPr>
            </w:pPr>
            <w:r w:rsidRPr="0039464F">
              <w:rPr>
                <w:rFonts w:ascii="Arial" w:eastAsia="Times New Roman" w:hAnsi="Arial" w:cs="Arial"/>
                <w:b/>
                <w:bCs/>
                <w:lang w:eastAsia="es-ES"/>
              </w:rPr>
              <w:t>Inversión</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b/>
                <w:bCs/>
                <w:lang w:eastAsia="es-ES"/>
              </w:rPr>
            </w:pPr>
            <w:r w:rsidRPr="0039464F">
              <w:rPr>
                <w:rFonts w:ascii="Arial" w:eastAsia="Times New Roman" w:hAnsi="Arial" w:cs="Arial"/>
                <w:b/>
                <w:bCs/>
                <w:lang w:eastAsia="es-ES"/>
              </w:rPr>
              <w:t>Sub total</w:t>
            </w:r>
          </w:p>
        </w:tc>
      </w:tr>
      <w:tr w:rsidR="009A75FF" w:rsidRPr="0039464F" w:rsidTr="00EA7A77">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rPr>
                <w:rFonts w:ascii="Arial" w:eastAsia="Times New Roman" w:hAnsi="Arial" w:cs="Arial"/>
                <w:lang w:eastAsia="es-ES"/>
              </w:rPr>
            </w:pPr>
            <w:r w:rsidRPr="0039464F">
              <w:rPr>
                <w:rFonts w:ascii="Arial" w:eastAsia="Times New Roman" w:hAnsi="Arial" w:cs="Arial"/>
                <w:lang w:eastAsia="es-ES"/>
              </w:rPr>
              <w:t>Medidas de eficiencia</w:t>
            </w:r>
          </w:p>
        </w:tc>
        <w:tc>
          <w:tcPr>
            <w:tcW w:w="1720"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lang w:eastAsia="es-ES"/>
              </w:rPr>
            </w:pPr>
            <w:r w:rsidRPr="0039464F">
              <w:rPr>
                <w:rFonts w:ascii="Arial" w:eastAsia="Times New Roman" w:hAnsi="Arial" w:cs="Arial"/>
                <w:lang w:eastAsia="es-ES"/>
              </w:rPr>
              <w:t>3</w:t>
            </w:r>
          </w:p>
        </w:tc>
        <w:tc>
          <w:tcPr>
            <w:tcW w:w="1705"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lang w:eastAsia="es-ES"/>
              </w:rPr>
            </w:pPr>
            <w:r w:rsidRPr="0039464F">
              <w:rPr>
                <w:rFonts w:ascii="Arial" w:eastAsia="Times New Roman" w:hAnsi="Arial" w:cs="Arial"/>
                <w:lang w:eastAsia="es-ES"/>
              </w:rPr>
              <w:t>4</w:t>
            </w:r>
          </w:p>
        </w:tc>
        <w:tc>
          <w:tcPr>
            <w:tcW w:w="1320"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lang w:eastAsia="es-ES"/>
              </w:rPr>
            </w:pPr>
            <w:r w:rsidRPr="0039464F">
              <w:rPr>
                <w:rFonts w:ascii="Arial" w:eastAsia="Times New Roman" w:hAnsi="Arial" w:cs="Arial"/>
                <w:lang w:eastAsia="es-ES"/>
              </w:rPr>
              <w:t>1</w:t>
            </w:r>
          </w:p>
        </w:tc>
        <w:tc>
          <w:tcPr>
            <w:tcW w:w="1320"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lang w:eastAsia="es-ES"/>
              </w:rPr>
            </w:pPr>
            <w:r w:rsidRPr="0039464F">
              <w:rPr>
                <w:rFonts w:ascii="Arial" w:eastAsia="Times New Roman" w:hAnsi="Arial" w:cs="Arial"/>
                <w:lang w:eastAsia="es-ES"/>
              </w:rPr>
              <w:t>8</w:t>
            </w:r>
          </w:p>
        </w:tc>
      </w:tr>
      <w:tr w:rsidR="0039464F" w:rsidRPr="0039464F" w:rsidTr="00EA7A77">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rPr>
                <w:rFonts w:ascii="Arial" w:eastAsia="Times New Roman" w:hAnsi="Arial" w:cs="Arial"/>
                <w:lang w:eastAsia="es-ES"/>
              </w:rPr>
            </w:pPr>
            <w:r w:rsidRPr="0039464F">
              <w:rPr>
                <w:rFonts w:ascii="Arial" w:eastAsia="Times New Roman" w:hAnsi="Arial" w:cs="Arial"/>
                <w:lang w:eastAsia="es-ES"/>
              </w:rPr>
              <w:t>Nuevas tecnologías</w:t>
            </w:r>
          </w:p>
        </w:tc>
        <w:tc>
          <w:tcPr>
            <w:tcW w:w="1720"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lang w:eastAsia="es-ES"/>
              </w:rPr>
            </w:pPr>
            <w:r w:rsidRPr="0039464F">
              <w:rPr>
                <w:rFonts w:ascii="Arial" w:eastAsia="Times New Roman" w:hAnsi="Arial" w:cs="Arial"/>
                <w:lang w:eastAsia="es-ES"/>
              </w:rPr>
              <w:t>0</w:t>
            </w:r>
          </w:p>
        </w:tc>
        <w:tc>
          <w:tcPr>
            <w:tcW w:w="1705"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lang w:eastAsia="es-ES"/>
              </w:rPr>
            </w:pPr>
            <w:r w:rsidRPr="0039464F">
              <w:rPr>
                <w:rFonts w:ascii="Arial" w:eastAsia="Times New Roman" w:hAnsi="Arial" w:cs="Arial"/>
                <w:lang w:eastAsia="es-ES"/>
              </w:rPr>
              <w:t>0</w:t>
            </w:r>
          </w:p>
        </w:tc>
        <w:tc>
          <w:tcPr>
            <w:tcW w:w="1320"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lang w:eastAsia="es-ES"/>
              </w:rPr>
            </w:pPr>
            <w:r w:rsidRPr="0039464F">
              <w:rPr>
                <w:rFonts w:ascii="Arial" w:eastAsia="Times New Roman" w:hAnsi="Arial" w:cs="Arial"/>
                <w:lang w:eastAsia="es-ES"/>
              </w:rPr>
              <w:t>4</w:t>
            </w:r>
          </w:p>
        </w:tc>
        <w:tc>
          <w:tcPr>
            <w:tcW w:w="1320"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lang w:eastAsia="es-ES"/>
              </w:rPr>
            </w:pPr>
            <w:r w:rsidRPr="0039464F">
              <w:rPr>
                <w:rFonts w:ascii="Arial" w:eastAsia="Times New Roman" w:hAnsi="Arial" w:cs="Arial"/>
                <w:lang w:eastAsia="es-ES"/>
              </w:rPr>
              <w:t>4</w:t>
            </w:r>
          </w:p>
        </w:tc>
      </w:tr>
      <w:tr w:rsidR="009A75FF" w:rsidRPr="0039464F" w:rsidTr="00EA7A77">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rPr>
                <w:rFonts w:ascii="Arial" w:eastAsia="Times New Roman" w:hAnsi="Arial" w:cs="Arial"/>
                <w:lang w:eastAsia="es-ES"/>
              </w:rPr>
            </w:pPr>
            <w:r w:rsidRPr="0039464F">
              <w:rPr>
                <w:rFonts w:ascii="Arial" w:eastAsia="Times New Roman" w:hAnsi="Arial" w:cs="Arial"/>
                <w:lang w:eastAsia="es-ES"/>
              </w:rPr>
              <w:t>FRE</w:t>
            </w:r>
          </w:p>
        </w:tc>
        <w:tc>
          <w:tcPr>
            <w:tcW w:w="1720"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lang w:eastAsia="es-ES"/>
              </w:rPr>
            </w:pPr>
            <w:r w:rsidRPr="0039464F">
              <w:rPr>
                <w:rFonts w:ascii="Arial" w:eastAsia="Times New Roman" w:hAnsi="Arial" w:cs="Arial"/>
                <w:lang w:eastAsia="es-ES"/>
              </w:rPr>
              <w:t>0</w:t>
            </w:r>
          </w:p>
        </w:tc>
        <w:tc>
          <w:tcPr>
            <w:tcW w:w="1705"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lang w:eastAsia="es-ES"/>
              </w:rPr>
            </w:pPr>
            <w:r w:rsidRPr="0039464F">
              <w:rPr>
                <w:rFonts w:ascii="Arial" w:eastAsia="Times New Roman" w:hAnsi="Arial" w:cs="Arial"/>
                <w:lang w:eastAsia="es-ES"/>
              </w:rPr>
              <w:t>0</w:t>
            </w:r>
          </w:p>
        </w:tc>
        <w:tc>
          <w:tcPr>
            <w:tcW w:w="1320"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lang w:eastAsia="es-ES"/>
              </w:rPr>
            </w:pPr>
            <w:r w:rsidRPr="0039464F">
              <w:rPr>
                <w:rFonts w:ascii="Arial" w:eastAsia="Times New Roman" w:hAnsi="Arial" w:cs="Arial"/>
                <w:lang w:eastAsia="es-ES"/>
              </w:rPr>
              <w:t>1</w:t>
            </w:r>
          </w:p>
        </w:tc>
        <w:tc>
          <w:tcPr>
            <w:tcW w:w="1320"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lang w:eastAsia="es-ES"/>
              </w:rPr>
            </w:pPr>
            <w:r w:rsidRPr="0039464F">
              <w:rPr>
                <w:rFonts w:ascii="Arial" w:eastAsia="Times New Roman" w:hAnsi="Arial" w:cs="Arial"/>
                <w:lang w:eastAsia="es-ES"/>
              </w:rPr>
              <w:t>1</w:t>
            </w:r>
          </w:p>
        </w:tc>
      </w:tr>
      <w:tr w:rsidR="0039464F" w:rsidRPr="0039464F" w:rsidTr="00EA7A77">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A75FF" w:rsidRPr="0039464F" w:rsidRDefault="0039464F" w:rsidP="00EA7A77">
            <w:pPr>
              <w:spacing w:after="0" w:line="240" w:lineRule="auto"/>
              <w:jc w:val="center"/>
              <w:rPr>
                <w:rFonts w:ascii="Arial" w:eastAsia="Times New Roman" w:hAnsi="Arial" w:cs="Arial"/>
                <w:b/>
                <w:bCs/>
                <w:lang w:eastAsia="es-ES"/>
              </w:rPr>
            </w:pPr>
            <w:r>
              <w:rPr>
                <w:rFonts w:ascii="Arial" w:eastAsia="Times New Roman" w:hAnsi="Arial" w:cs="Arial"/>
                <w:b/>
                <w:bCs/>
                <w:lang w:eastAsia="es-ES"/>
              </w:rPr>
              <w:t>T</w:t>
            </w:r>
            <w:r w:rsidR="009A75FF" w:rsidRPr="0039464F">
              <w:rPr>
                <w:rFonts w:ascii="Arial" w:eastAsia="Times New Roman" w:hAnsi="Arial" w:cs="Arial"/>
                <w:b/>
                <w:bCs/>
                <w:lang w:eastAsia="es-ES"/>
              </w:rPr>
              <w:t>otal</w:t>
            </w:r>
          </w:p>
        </w:tc>
        <w:tc>
          <w:tcPr>
            <w:tcW w:w="1720"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b/>
                <w:bCs/>
                <w:lang w:eastAsia="es-ES"/>
              </w:rPr>
            </w:pPr>
            <w:r w:rsidRPr="0039464F">
              <w:rPr>
                <w:rFonts w:ascii="Arial" w:eastAsia="Times New Roman" w:hAnsi="Arial" w:cs="Arial"/>
                <w:b/>
                <w:bCs/>
                <w:lang w:eastAsia="es-ES"/>
              </w:rPr>
              <w:t>3</w:t>
            </w:r>
          </w:p>
        </w:tc>
        <w:tc>
          <w:tcPr>
            <w:tcW w:w="1705"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b/>
                <w:bCs/>
                <w:lang w:eastAsia="es-ES"/>
              </w:rPr>
            </w:pPr>
            <w:r w:rsidRPr="0039464F">
              <w:rPr>
                <w:rFonts w:ascii="Arial" w:eastAsia="Times New Roman" w:hAnsi="Arial" w:cs="Arial"/>
                <w:b/>
                <w:bCs/>
                <w:lang w:eastAsia="es-ES"/>
              </w:rPr>
              <w:t>4</w:t>
            </w:r>
          </w:p>
        </w:tc>
        <w:tc>
          <w:tcPr>
            <w:tcW w:w="1320"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b/>
                <w:bCs/>
                <w:lang w:eastAsia="es-ES"/>
              </w:rPr>
            </w:pPr>
            <w:r w:rsidRPr="0039464F">
              <w:rPr>
                <w:rFonts w:ascii="Arial" w:eastAsia="Times New Roman" w:hAnsi="Arial" w:cs="Arial"/>
                <w:b/>
                <w:bCs/>
                <w:lang w:eastAsia="es-ES"/>
              </w:rPr>
              <w:t>6</w:t>
            </w:r>
          </w:p>
        </w:tc>
        <w:tc>
          <w:tcPr>
            <w:tcW w:w="1320" w:type="dxa"/>
            <w:tcBorders>
              <w:top w:val="nil"/>
              <w:left w:val="nil"/>
              <w:bottom w:val="single" w:sz="4" w:space="0" w:color="auto"/>
              <w:right w:val="single" w:sz="4" w:space="0" w:color="auto"/>
            </w:tcBorders>
            <w:shd w:val="clear" w:color="auto" w:fill="auto"/>
            <w:noWrap/>
            <w:vAlign w:val="bottom"/>
            <w:hideMark/>
          </w:tcPr>
          <w:p w:rsidR="009A75FF" w:rsidRPr="0039464F" w:rsidRDefault="009A75FF" w:rsidP="00EA7A77">
            <w:pPr>
              <w:spacing w:after="0" w:line="240" w:lineRule="auto"/>
              <w:jc w:val="center"/>
              <w:rPr>
                <w:rFonts w:ascii="Arial" w:eastAsia="Times New Roman" w:hAnsi="Arial" w:cs="Arial"/>
                <w:b/>
                <w:bCs/>
                <w:lang w:eastAsia="es-ES"/>
              </w:rPr>
            </w:pPr>
            <w:r w:rsidRPr="0039464F">
              <w:rPr>
                <w:rFonts w:ascii="Arial" w:eastAsia="Times New Roman" w:hAnsi="Arial" w:cs="Arial"/>
                <w:b/>
                <w:bCs/>
                <w:lang w:eastAsia="es-ES"/>
              </w:rPr>
              <w:t>13</w:t>
            </w:r>
          </w:p>
        </w:tc>
      </w:tr>
    </w:tbl>
    <w:p w:rsidR="009A75FF" w:rsidRPr="0039464F" w:rsidRDefault="0039464F" w:rsidP="009A75FF">
      <w:pPr>
        <w:pStyle w:val="Prrafodelista"/>
        <w:spacing w:after="0" w:line="360" w:lineRule="auto"/>
        <w:ind w:left="1428"/>
        <w:jc w:val="both"/>
        <w:rPr>
          <w:rFonts w:ascii="Times New Roman" w:hAnsi="Times New Roman" w:cs="Times New Roman"/>
          <w:sz w:val="24"/>
          <w:szCs w:val="24"/>
        </w:rPr>
      </w:pPr>
      <w:r w:rsidRPr="0039464F">
        <w:rPr>
          <w:rFonts w:ascii="Times New Roman" w:hAnsi="Times New Roman" w:cs="Times New Roman"/>
          <w:sz w:val="24"/>
          <w:szCs w:val="24"/>
        </w:rPr>
        <w:t>Las de FRE no son totalmente consideradas como una mejora del desempeño energético de la entidad pero si ayudaría representativamente al deteriorado SEN.</w:t>
      </w:r>
    </w:p>
    <w:p w:rsidR="003F6AE1" w:rsidRDefault="003F6AE1" w:rsidP="003F6AE1">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Determinar los Indicadores de desempeño energético (IDEn).</w:t>
      </w:r>
    </w:p>
    <w:p w:rsidR="00E32542" w:rsidRPr="00D60836" w:rsidRDefault="003F6AE1" w:rsidP="003F6AE1">
      <w:pPr>
        <w:pStyle w:val="Prrafodelista"/>
        <w:spacing w:after="0" w:line="360" w:lineRule="auto"/>
        <w:ind w:left="708"/>
        <w:jc w:val="both"/>
        <w:rPr>
          <w:rFonts w:ascii="Times New Roman" w:hAnsi="Times New Roman" w:cs="Times New Roman"/>
          <w:sz w:val="24"/>
          <w:szCs w:val="24"/>
        </w:rPr>
      </w:pPr>
      <w:r w:rsidRPr="00D60836">
        <w:rPr>
          <w:rFonts w:ascii="Times New Roman" w:hAnsi="Times New Roman" w:cs="Times New Roman"/>
          <w:sz w:val="24"/>
          <w:szCs w:val="24"/>
        </w:rPr>
        <w:t xml:space="preserve">Para cumplir con este aspecto se tiene en cuenta los consumos de energía relevantes según paretos, la correlación entre los indicadores de consumo y producción, verificando que la </w:t>
      </w:r>
      <w:r w:rsidR="00100DC3" w:rsidRPr="00D60836">
        <w:rPr>
          <w:rFonts w:ascii="Times New Roman" w:hAnsi="Times New Roman" w:cs="Times New Roman"/>
          <w:sz w:val="24"/>
          <w:szCs w:val="24"/>
        </w:rPr>
        <w:t>correlación (</w:t>
      </w:r>
      <w:r w:rsidRPr="00D60836">
        <w:rPr>
          <w:rFonts w:ascii="Times New Roman" w:hAnsi="Times New Roman" w:cs="Times New Roman"/>
          <w:sz w:val="24"/>
          <w:szCs w:val="24"/>
        </w:rPr>
        <w:t>r</w:t>
      </w:r>
      <w:r w:rsidRPr="00D60836">
        <w:rPr>
          <w:rFonts w:ascii="Times New Roman" w:hAnsi="Times New Roman" w:cs="Times New Roman"/>
          <w:sz w:val="24"/>
          <w:szCs w:val="24"/>
          <w:vertAlign w:val="superscript"/>
        </w:rPr>
        <w:t>2</w:t>
      </w:r>
      <w:r w:rsidR="00100DC3" w:rsidRPr="00D60836">
        <w:rPr>
          <w:rFonts w:ascii="Times New Roman" w:hAnsi="Times New Roman" w:cs="Times New Roman"/>
          <w:sz w:val="24"/>
          <w:szCs w:val="24"/>
        </w:rPr>
        <w:t>)</w:t>
      </w:r>
      <w:r w:rsidRPr="00D60836">
        <w:rPr>
          <w:rFonts w:ascii="Times New Roman" w:hAnsi="Times New Roman" w:cs="Times New Roman"/>
          <w:sz w:val="24"/>
          <w:szCs w:val="24"/>
        </w:rPr>
        <w:t xml:space="preserve"> sea superior a 0,75.  </w:t>
      </w:r>
      <w:r w:rsidR="00483A97" w:rsidRPr="00D60836">
        <w:rPr>
          <w:rFonts w:ascii="Times New Roman" w:hAnsi="Times New Roman" w:cs="Times New Roman"/>
          <w:sz w:val="24"/>
          <w:szCs w:val="24"/>
        </w:rPr>
        <w:t xml:space="preserve">La empresa tenía como IDEn los de electricidad y de Fuel </w:t>
      </w:r>
      <w:r w:rsidR="00E32542" w:rsidRPr="00D60836">
        <w:rPr>
          <w:rFonts w:ascii="Times New Roman" w:hAnsi="Times New Roman" w:cs="Times New Roman"/>
          <w:sz w:val="24"/>
          <w:szCs w:val="24"/>
        </w:rPr>
        <w:t>Oíl</w:t>
      </w:r>
      <w:r w:rsidR="00483A97" w:rsidRPr="00D60836">
        <w:rPr>
          <w:rFonts w:ascii="Times New Roman" w:hAnsi="Times New Roman" w:cs="Times New Roman"/>
          <w:sz w:val="24"/>
          <w:szCs w:val="24"/>
        </w:rPr>
        <w:t xml:space="preserve">, </w:t>
      </w:r>
      <w:r w:rsidR="00E32542" w:rsidRPr="00D60836">
        <w:rPr>
          <w:rFonts w:ascii="Times New Roman" w:hAnsi="Times New Roman" w:cs="Times New Roman"/>
          <w:sz w:val="24"/>
          <w:szCs w:val="24"/>
        </w:rPr>
        <w:t xml:space="preserve">que se corresponden con los portadores </w:t>
      </w:r>
      <w:r w:rsidR="00531AF2" w:rsidRPr="00D60836">
        <w:rPr>
          <w:rFonts w:ascii="Times New Roman" w:hAnsi="Times New Roman" w:cs="Times New Roman"/>
          <w:sz w:val="24"/>
          <w:szCs w:val="24"/>
        </w:rPr>
        <w:t>más</w:t>
      </w:r>
      <w:r w:rsidR="00E32542" w:rsidRPr="00D60836">
        <w:rPr>
          <w:rFonts w:ascii="Times New Roman" w:hAnsi="Times New Roman" w:cs="Times New Roman"/>
          <w:sz w:val="24"/>
          <w:szCs w:val="24"/>
        </w:rPr>
        <w:t xml:space="preserve"> importantes, pero el índice que se utilizaba, consumo entre metros cuadrados de tejido </w:t>
      </w:r>
      <w:r w:rsidR="00E32542" w:rsidRPr="00D60836">
        <w:rPr>
          <w:rFonts w:ascii="Times New Roman" w:hAnsi="Times New Roman" w:cs="Times New Roman"/>
          <w:sz w:val="24"/>
          <w:szCs w:val="24"/>
        </w:rPr>
        <w:lastRenderedPageBreak/>
        <w:t>total (kW.h/Mm</w:t>
      </w:r>
      <w:r w:rsidR="00E32542" w:rsidRPr="00D60836">
        <w:rPr>
          <w:rFonts w:ascii="Times New Roman" w:hAnsi="Times New Roman" w:cs="Times New Roman"/>
          <w:sz w:val="24"/>
          <w:szCs w:val="24"/>
          <w:vertAlign w:val="superscript"/>
        </w:rPr>
        <w:t xml:space="preserve">2 </w:t>
      </w:r>
      <w:r w:rsidR="00E32542" w:rsidRPr="00D60836">
        <w:rPr>
          <w:rFonts w:ascii="Times New Roman" w:hAnsi="Times New Roman" w:cs="Times New Roman"/>
          <w:sz w:val="24"/>
          <w:szCs w:val="24"/>
        </w:rPr>
        <w:t>y ton/Mm</w:t>
      </w:r>
      <w:r w:rsidR="00E32542" w:rsidRPr="00D60836">
        <w:rPr>
          <w:rFonts w:ascii="Times New Roman" w:hAnsi="Times New Roman" w:cs="Times New Roman"/>
          <w:sz w:val="24"/>
          <w:szCs w:val="24"/>
          <w:vertAlign w:val="superscript"/>
        </w:rPr>
        <w:t>2</w:t>
      </w:r>
      <w:r w:rsidR="00E32542" w:rsidRPr="00D60836">
        <w:rPr>
          <w:rFonts w:ascii="Times New Roman" w:hAnsi="Times New Roman" w:cs="Times New Roman"/>
          <w:sz w:val="24"/>
          <w:szCs w:val="24"/>
        </w:rPr>
        <w:t>), no cumplen con la condición de que r</w:t>
      </w:r>
      <w:r w:rsidR="00E32542" w:rsidRPr="00D60836">
        <w:rPr>
          <w:rFonts w:ascii="Times New Roman" w:hAnsi="Times New Roman" w:cs="Times New Roman"/>
          <w:sz w:val="24"/>
          <w:szCs w:val="24"/>
          <w:vertAlign w:val="superscript"/>
        </w:rPr>
        <w:t>2</w:t>
      </w:r>
      <w:r w:rsidR="00E32542" w:rsidRPr="00D60836">
        <w:rPr>
          <w:rFonts w:ascii="Times New Roman" w:hAnsi="Times New Roman" w:cs="Times New Roman"/>
          <w:sz w:val="24"/>
          <w:szCs w:val="24"/>
        </w:rPr>
        <w:t xml:space="preserve"> sea </w:t>
      </w:r>
      <w:r w:rsidR="00100DC3" w:rsidRPr="00D60836">
        <w:rPr>
          <w:rFonts w:ascii="Times New Roman" w:hAnsi="Times New Roman" w:cs="Times New Roman"/>
          <w:sz w:val="24"/>
          <w:szCs w:val="24"/>
        </w:rPr>
        <w:t xml:space="preserve">igual o </w:t>
      </w:r>
      <w:r w:rsidR="00E32542" w:rsidRPr="00D60836">
        <w:rPr>
          <w:rFonts w:ascii="Times New Roman" w:hAnsi="Times New Roman" w:cs="Times New Roman"/>
          <w:sz w:val="24"/>
          <w:szCs w:val="24"/>
        </w:rPr>
        <w:t xml:space="preserve">superior a 0,75 por lo que hubo que buscar, a partir de toda la estadística que tiene la empresa los índices correctos.  </w:t>
      </w:r>
    </w:p>
    <w:p w:rsidR="00100DC3" w:rsidRPr="00D60836" w:rsidRDefault="00E32542" w:rsidP="003F6AE1">
      <w:pPr>
        <w:pStyle w:val="Prrafodelista"/>
        <w:spacing w:after="0" w:line="360" w:lineRule="auto"/>
        <w:ind w:left="708"/>
        <w:jc w:val="both"/>
        <w:rPr>
          <w:rFonts w:ascii="Times New Roman" w:hAnsi="Times New Roman" w:cs="Times New Roman"/>
          <w:sz w:val="24"/>
          <w:szCs w:val="24"/>
        </w:rPr>
      </w:pPr>
      <w:r w:rsidRPr="00D60836">
        <w:rPr>
          <w:rFonts w:ascii="Times New Roman" w:hAnsi="Times New Roman" w:cs="Times New Roman"/>
          <w:sz w:val="24"/>
          <w:szCs w:val="24"/>
        </w:rPr>
        <w:t xml:space="preserve">En el caso de la electricidad, como se tienen 3 producciones bien diferenciadas y con comportamiento distintos, unidades de medida distintas, etc. hubo que </w:t>
      </w:r>
      <w:r w:rsidR="00100DC3" w:rsidRPr="00D60836">
        <w:rPr>
          <w:rFonts w:ascii="Times New Roman" w:hAnsi="Times New Roman" w:cs="Times New Roman"/>
          <w:sz w:val="24"/>
          <w:szCs w:val="24"/>
        </w:rPr>
        <w:t>utilizar el método de las producciones equivalentes con regresión múltiple existente como herramienta del Excel. Tomando como base la producción de la Gasa quirúrgica la producción equivalente se calcula como:</w:t>
      </w:r>
    </w:p>
    <w:p w:rsidR="00100DC3" w:rsidRPr="00D60836" w:rsidRDefault="00100DC3" w:rsidP="00100DC3">
      <w:pPr>
        <w:spacing w:line="360" w:lineRule="auto"/>
        <w:contextualSpacing/>
        <w:jc w:val="both"/>
        <w:rPr>
          <w:rFonts w:ascii="Times New Roman" w:hAnsi="Times New Roman" w:cs="Times New Roman"/>
          <w:bCs/>
        </w:rPr>
      </w:pPr>
      <m:oMathPara>
        <m:oMath>
          <m:r>
            <m:rPr>
              <m:sty m:val="p"/>
            </m:rPr>
            <w:rPr>
              <w:rFonts w:ascii="Cambria Math" w:hAnsi="Cambria Math" w:cs="Times New Roman"/>
              <w:sz w:val="24"/>
              <w:szCs w:val="24"/>
            </w:rPr>
            <m:t>Prod equiv=1*M</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Tejed+92,79*t HC+0,03 Mm²Acabado</m:t>
          </m:r>
        </m:oMath>
      </m:oMathPara>
    </w:p>
    <w:p w:rsidR="00100DC3" w:rsidRPr="00D60836" w:rsidRDefault="00100DC3" w:rsidP="00100DC3">
      <w:pPr>
        <w:pStyle w:val="Prrafodelista"/>
        <w:spacing w:after="0" w:line="360" w:lineRule="auto"/>
        <w:ind w:left="708"/>
        <w:jc w:val="both"/>
        <w:rPr>
          <w:rFonts w:ascii="Times New Roman" w:hAnsi="Times New Roman" w:cs="Times New Roman"/>
          <w:sz w:val="24"/>
          <w:szCs w:val="24"/>
        </w:rPr>
      </w:pPr>
      <w:r w:rsidRPr="00D60836">
        <w:rPr>
          <w:rFonts w:ascii="Times New Roman" w:hAnsi="Times New Roman" w:cs="Times New Roman"/>
          <w:sz w:val="24"/>
          <w:szCs w:val="24"/>
        </w:rPr>
        <w:t xml:space="preserve">El resultado del análisis de correlación de este IDEn se puede ver en la figura 3: </w:t>
      </w:r>
    </w:p>
    <w:p w:rsidR="00100DC3" w:rsidRPr="00D60836" w:rsidRDefault="00100DC3" w:rsidP="00100DC3">
      <w:pPr>
        <w:pStyle w:val="Prrafodelista"/>
        <w:spacing w:after="0" w:line="360" w:lineRule="auto"/>
        <w:ind w:left="708"/>
        <w:jc w:val="both"/>
        <w:rPr>
          <w:rFonts w:ascii="Arial" w:hAnsi="Arial" w:cs="Arial"/>
          <w:b/>
          <w:sz w:val="24"/>
          <w:szCs w:val="24"/>
          <w:lang w:val="es-MX"/>
        </w:rPr>
      </w:pPr>
      <w:r w:rsidRPr="00D60836">
        <w:rPr>
          <w:rFonts w:ascii="Arial" w:hAnsi="Arial" w:cs="Arial"/>
          <w:b/>
          <w:sz w:val="24"/>
          <w:szCs w:val="24"/>
          <w:lang w:val="es-MX"/>
        </w:rPr>
        <w:t xml:space="preserve">         </w:t>
      </w:r>
      <w:r w:rsidRPr="00D60836">
        <w:rPr>
          <w:noProof/>
          <w:lang w:val="es-US" w:eastAsia="es-US"/>
        </w:rPr>
        <w:drawing>
          <wp:inline distT="0" distB="0" distL="0" distR="0" wp14:anchorId="02E0250D" wp14:editId="6BFA0B46">
            <wp:extent cx="4686300" cy="26670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0DC3" w:rsidRPr="00D60836" w:rsidRDefault="00100DC3" w:rsidP="00100DC3">
      <w:pPr>
        <w:spacing w:after="0" w:line="360" w:lineRule="auto"/>
        <w:ind w:left="360"/>
        <w:jc w:val="center"/>
        <w:rPr>
          <w:rFonts w:ascii="Times New Roman" w:hAnsi="Times New Roman" w:cs="Times New Roman"/>
          <w:sz w:val="20"/>
        </w:rPr>
      </w:pPr>
      <w:r w:rsidRPr="00D60836">
        <w:rPr>
          <w:rFonts w:ascii="Times New Roman" w:hAnsi="Times New Roman" w:cs="Times New Roman"/>
          <w:sz w:val="20"/>
        </w:rPr>
        <w:t>Figura 3. Correlación entre el consumo de energía eléctrica de la industria y la producción equivalente en Mm².</w:t>
      </w:r>
    </w:p>
    <w:p w:rsidR="00100DC3" w:rsidRPr="00D60836" w:rsidRDefault="00100DC3" w:rsidP="00100DC3">
      <w:pPr>
        <w:spacing w:after="0" w:line="360" w:lineRule="auto"/>
        <w:ind w:left="360"/>
        <w:jc w:val="center"/>
        <w:rPr>
          <w:rFonts w:ascii="Times New Roman" w:hAnsi="Times New Roman" w:cs="Times New Roman"/>
          <w:sz w:val="20"/>
        </w:rPr>
      </w:pPr>
      <w:r w:rsidRPr="00D60836">
        <w:rPr>
          <w:rFonts w:ascii="Times New Roman" w:hAnsi="Times New Roman" w:cs="Times New Roman"/>
          <w:sz w:val="20"/>
        </w:rPr>
        <w:t>Fuente: Elaboración propia.</w:t>
      </w:r>
    </w:p>
    <w:p w:rsidR="00D60836" w:rsidRPr="00D60836" w:rsidRDefault="00D60836" w:rsidP="00D60836">
      <w:pPr>
        <w:spacing w:after="0" w:line="360" w:lineRule="auto"/>
        <w:ind w:left="708"/>
        <w:jc w:val="both"/>
        <w:rPr>
          <w:rFonts w:ascii="Times New Roman" w:hAnsi="Times New Roman" w:cs="Times New Roman"/>
          <w:sz w:val="24"/>
          <w:szCs w:val="24"/>
        </w:rPr>
      </w:pPr>
      <w:r w:rsidRPr="00D60836">
        <w:rPr>
          <w:rFonts w:ascii="Times New Roman" w:hAnsi="Times New Roman" w:cs="Times New Roman"/>
          <w:sz w:val="24"/>
          <w:szCs w:val="24"/>
        </w:rPr>
        <w:t>Para el Fuel Oíl, se hace el análisis teniendo en cuenta que el uso del mismo va a depender de las producciones que se realizan en Hilo teñido y los talleres de Acabado. Las producciones que se controlan en hilo teñido son en toneladas y las de Acabado se controlan en Mm</w:t>
      </w:r>
      <w:r w:rsidRPr="00D60836">
        <w:rPr>
          <w:rFonts w:ascii="Times New Roman" w:hAnsi="Times New Roman" w:cs="Times New Roman"/>
          <w:sz w:val="24"/>
          <w:szCs w:val="24"/>
          <w:vertAlign w:val="superscript"/>
        </w:rPr>
        <w:t>2</w:t>
      </w:r>
      <w:r w:rsidRPr="00D60836">
        <w:rPr>
          <w:rFonts w:ascii="Times New Roman" w:hAnsi="Times New Roman" w:cs="Times New Roman"/>
          <w:sz w:val="24"/>
          <w:szCs w:val="24"/>
        </w:rPr>
        <w:t xml:space="preserve">, pero estas últimas tienen un peso por lo que pueden convertirse a toneladas. Esto, incluso, favorece el cálculo energético porque el gasto del mismo no solo depende la velocidad con que trabaja la máquina sino también del peso o masa del tejido que se procesa. </w:t>
      </w:r>
    </w:p>
    <w:p w:rsidR="00D60836" w:rsidRPr="00D60836" w:rsidRDefault="00D60836" w:rsidP="00D60836">
      <w:pPr>
        <w:spacing w:after="0" w:line="360" w:lineRule="auto"/>
        <w:ind w:left="708"/>
        <w:jc w:val="both"/>
        <w:rPr>
          <w:rFonts w:ascii="Times New Roman" w:hAnsi="Times New Roman" w:cs="Times New Roman"/>
          <w:sz w:val="24"/>
          <w:szCs w:val="24"/>
        </w:rPr>
      </w:pPr>
      <w:r w:rsidRPr="00D60836">
        <w:rPr>
          <w:rFonts w:ascii="Times New Roman" w:hAnsi="Times New Roman" w:cs="Times New Roman"/>
          <w:sz w:val="24"/>
          <w:szCs w:val="24"/>
        </w:rPr>
        <w:lastRenderedPageBreak/>
        <w:t>Al hacer el análisis estadístico de este portador se obtiene una correlación de 0,8762 definiéndose como correcto. En la figura 4 se muestra la correlación con una muestra bien amplia de valores. La fórmula para estimar el consumo sería:</w:t>
      </w:r>
    </w:p>
    <w:p w:rsidR="00D60836" w:rsidRPr="00D60836" w:rsidRDefault="00D60836" w:rsidP="00D60836">
      <w:pPr>
        <w:spacing w:after="0" w:line="360" w:lineRule="auto"/>
        <w:ind w:left="708"/>
        <w:jc w:val="both"/>
        <w:rPr>
          <w:rFonts w:ascii="Times New Roman" w:hAnsi="Times New Roman" w:cs="Times New Roman"/>
          <w:sz w:val="24"/>
          <w:szCs w:val="24"/>
        </w:rPr>
      </w:pPr>
      <m:oMathPara>
        <m:oMath>
          <m:r>
            <m:rPr>
              <m:sty m:val="p"/>
            </m:rPr>
            <w:rPr>
              <w:rFonts w:ascii="Cambria Math" w:hAnsi="Cambria Math" w:cs="Times New Roman"/>
              <w:sz w:val="24"/>
              <w:szCs w:val="24"/>
            </w:rPr>
            <m:t>toneladas de FO=1,5496*t TP e HT+29,916</m:t>
          </m:r>
        </m:oMath>
      </m:oMathPara>
    </w:p>
    <w:p w:rsidR="00D60836" w:rsidRPr="00D60836" w:rsidRDefault="00D60836" w:rsidP="0039464F">
      <w:pPr>
        <w:spacing w:after="0" w:line="360" w:lineRule="auto"/>
        <w:ind w:left="708"/>
        <w:jc w:val="center"/>
        <w:rPr>
          <w:rFonts w:ascii="Times New Roman" w:hAnsi="Times New Roman" w:cs="Times New Roman"/>
          <w:sz w:val="24"/>
          <w:szCs w:val="24"/>
        </w:rPr>
      </w:pPr>
      <w:r w:rsidRPr="00D60836">
        <w:rPr>
          <w:rFonts w:ascii="Arial" w:eastAsia="Times New Roman" w:hAnsi="Arial" w:cs="Arial"/>
          <w:noProof/>
          <w:sz w:val="24"/>
          <w:szCs w:val="24"/>
          <w:lang w:val="es-US" w:eastAsia="es-US"/>
        </w:rPr>
        <w:drawing>
          <wp:inline distT="0" distB="0" distL="0" distR="0" wp14:anchorId="69FE8235" wp14:editId="63D624B6">
            <wp:extent cx="4199467" cy="2280356"/>
            <wp:effectExtent l="0" t="0" r="0" b="5715"/>
            <wp:docPr id="102"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áfico 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1938" cy="2281698"/>
                    </a:xfrm>
                    <a:prstGeom prst="rect">
                      <a:avLst/>
                    </a:prstGeom>
                    <a:noFill/>
                    <a:ln>
                      <a:noFill/>
                    </a:ln>
                    <a:extLst/>
                  </pic:spPr>
                </pic:pic>
              </a:graphicData>
            </a:graphic>
          </wp:inline>
        </w:drawing>
      </w:r>
    </w:p>
    <w:p w:rsidR="00D60836" w:rsidRPr="00D60836" w:rsidRDefault="00D60836" w:rsidP="00D60836">
      <w:pPr>
        <w:spacing w:after="0" w:line="360" w:lineRule="auto"/>
        <w:ind w:left="360"/>
        <w:jc w:val="center"/>
        <w:rPr>
          <w:rFonts w:ascii="Times New Roman" w:hAnsi="Times New Roman" w:cs="Times New Roman"/>
          <w:sz w:val="20"/>
        </w:rPr>
      </w:pPr>
      <w:r w:rsidRPr="00D60836">
        <w:rPr>
          <w:rFonts w:ascii="Times New Roman" w:hAnsi="Times New Roman" w:cs="Times New Roman"/>
          <w:sz w:val="20"/>
        </w:rPr>
        <w:t>Figura 4. Correlación entre el consumo de FO y la producción en ton de HT y Acabado.</w:t>
      </w:r>
    </w:p>
    <w:p w:rsidR="00D60836" w:rsidRPr="00D60836" w:rsidRDefault="00D60836" w:rsidP="00D60836">
      <w:pPr>
        <w:spacing w:after="0" w:line="360" w:lineRule="auto"/>
        <w:ind w:left="360"/>
        <w:jc w:val="center"/>
        <w:rPr>
          <w:rFonts w:ascii="Times New Roman" w:hAnsi="Times New Roman" w:cs="Times New Roman"/>
          <w:sz w:val="20"/>
        </w:rPr>
      </w:pPr>
      <w:r w:rsidRPr="00D60836">
        <w:rPr>
          <w:rFonts w:ascii="Times New Roman" w:hAnsi="Times New Roman" w:cs="Times New Roman"/>
          <w:sz w:val="20"/>
        </w:rPr>
        <w:t>Fuente: Elaboración propia.</w:t>
      </w:r>
    </w:p>
    <w:p w:rsidR="00046E0A" w:rsidRPr="00046E0A" w:rsidRDefault="00046E0A" w:rsidP="00046E0A">
      <w:pPr>
        <w:pStyle w:val="Prrafodelista"/>
        <w:numPr>
          <w:ilvl w:val="0"/>
          <w:numId w:val="3"/>
        </w:numPr>
        <w:spacing w:after="0" w:line="360" w:lineRule="auto"/>
        <w:ind w:left="708"/>
        <w:jc w:val="both"/>
        <w:rPr>
          <w:rFonts w:ascii="Times New Roman" w:hAnsi="Times New Roman" w:cs="Times New Roman"/>
          <w:sz w:val="24"/>
          <w:szCs w:val="24"/>
        </w:rPr>
      </w:pPr>
      <w:r w:rsidRPr="00046E0A">
        <w:rPr>
          <w:rFonts w:ascii="Times New Roman" w:hAnsi="Times New Roman" w:cs="Times New Roman"/>
          <w:sz w:val="24"/>
          <w:szCs w:val="24"/>
        </w:rPr>
        <w:t>Establecer la Línea base energ</w:t>
      </w:r>
      <w:r>
        <w:rPr>
          <w:rFonts w:ascii="Times New Roman" w:hAnsi="Times New Roman" w:cs="Times New Roman"/>
          <w:sz w:val="24"/>
          <w:szCs w:val="24"/>
        </w:rPr>
        <w:t>é</w:t>
      </w:r>
      <w:r w:rsidRPr="00046E0A">
        <w:rPr>
          <w:rFonts w:ascii="Times New Roman" w:hAnsi="Times New Roman" w:cs="Times New Roman"/>
          <w:sz w:val="24"/>
          <w:szCs w:val="24"/>
        </w:rPr>
        <w:t>tica (</w:t>
      </w:r>
      <w:r>
        <w:rPr>
          <w:rFonts w:ascii="Times New Roman" w:hAnsi="Times New Roman" w:cs="Times New Roman"/>
          <w:sz w:val="24"/>
          <w:szCs w:val="24"/>
        </w:rPr>
        <w:t>LB</w:t>
      </w:r>
      <w:r w:rsidRPr="00046E0A">
        <w:rPr>
          <w:rFonts w:ascii="Times New Roman" w:hAnsi="Times New Roman" w:cs="Times New Roman"/>
          <w:sz w:val="24"/>
          <w:szCs w:val="24"/>
        </w:rPr>
        <w:t>En).</w:t>
      </w:r>
    </w:p>
    <w:p w:rsidR="00FF3346" w:rsidRPr="00C91657" w:rsidRDefault="00046E0A" w:rsidP="00046E0A">
      <w:pPr>
        <w:spacing w:after="0" w:line="360" w:lineRule="auto"/>
        <w:ind w:left="708"/>
        <w:jc w:val="both"/>
        <w:rPr>
          <w:rFonts w:ascii="Times New Roman" w:hAnsi="Times New Roman" w:cs="Times New Roman"/>
          <w:sz w:val="24"/>
          <w:szCs w:val="24"/>
        </w:rPr>
      </w:pPr>
      <w:r w:rsidRPr="00C91657">
        <w:rPr>
          <w:rFonts w:ascii="Times New Roman" w:hAnsi="Times New Roman" w:cs="Times New Roman"/>
          <w:sz w:val="24"/>
          <w:szCs w:val="24"/>
        </w:rPr>
        <w:t>La línea base energética se hace teniendo en cuenta las regresiones históricas de la entidad para periodos de similar comportamiento productivo. Para ello se utiliza la serie histórica según el documento en Excel “Regresión mensual FO y Electricidad”. Se verifica que la R</w:t>
      </w:r>
      <w:r w:rsidRPr="00C91657">
        <w:rPr>
          <w:rFonts w:ascii="Times New Roman" w:hAnsi="Times New Roman" w:cs="Times New Roman"/>
          <w:sz w:val="24"/>
          <w:szCs w:val="24"/>
          <w:vertAlign w:val="superscript"/>
        </w:rPr>
        <w:t>2</w:t>
      </w:r>
      <w:r w:rsidRPr="00C91657">
        <w:rPr>
          <w:rFonts w:ascii="Times New Roman" w:hAnsi="Times New Roman" w:cs="Times New Roman"/>
          <w:sz w:val="24"/>
          <w:szCs w:val="24"/>
        </w:rPr>
        <w:t xml:space="preserve"> sea superior a 0,75</w:t>
      </w:r>
      <w:r w:rsidR="00003D44" w:rsidRPr="00C91657">
        <w:rPr>
          <w:rFonts w:ascii="Times New Roman" w:hAnsi="Times New Roman" w:cs="Times New Roman"/>
          <w:sz w:val="24"/>
          <w:szCs w:val="24"/>
        </w:rPr>
        <w:t xml:space="preserve"> utilizando la correlación múltiple. </w:t>
      </w:r>
    </w:p>
    <w:p w:rsidR="00003D44" w:rsidRPr="00C91657" w:rsidRDefault="00003D44" w:rsidP="00046E0A">
      <w:pPr>
        <w:spacing w:after="0" w:line="360" w:lineRule="auto"/>
        <w:ind w:left="708"/>
        <w:jc w:val="both"/>
        <w:rPr>
          <w:rFonts w:ascii="Times New Roman" w:hAnsi="Times New Roman" w:cs="Times New Roman"/>
          <w:sz w:val="24"/>
          <w:szCs w:val="24"/>
        </w:rPr>
      </w:pPr>
      <w:r w:rsidRPr="00C91657">
        <w:rPr>
          <w:rFonts w:ascii="Times New Roman" w:hAnsi="Times New Roman" w:cs="Times New Roman"/>
          <w:sz w:val="24"/>
          <w:szCs w:val="24"/>
        </w:rPr>
        <w:t>Para la electricidad la línea base se determina por la siguiente fórmula que tiene un coeficiente de correlación de 0,9273:</w:t>
      </w:r>
    </w:p>
    <w:p w:rsidR="005D25E2" w:rsidRPr="00C91657" w:rsidRDefault="005D25E2" w:rsidP="00046E0A">
      <w:pPr>
        <w:spacing w:after="0" w:line="360" w:lineRule="auto"/>
        <w:ind w:left="708"/>
        <w:jc w:val="both"/>
        <w:rPr>
          <w:rFonts w:ascii="Times New Roman" w:hAnsi="Times New Roman" w:cs="Times New Roman"/>
          <w:sz w:val="24"/>
          <w:szCs w:val="24"/>
        </w:rPr>
      </w:pPr>
      <w:r w:rsidRPr="00C91657">
        <w:rPr>
          <w:rFonts w:ascii="Times New Roman" w:hAnsi="Times New Roman" w:cs="Times New Roman"/>
          <w:sz w:val="24"/>
          <w:szCs w:val="24"/>
        </w:rPr>
        <w:t>kW.h = 12,328*t HC+0,0842*Mm</w:t>
      </w:r>
      <w:r w:rsidRPr="00C91657">
        <w:rPr>
          <w:rFonts w:ascii="Times New Roman" w:hAnsi="Times New Roman" w:cs="Times New Roman"/>
          <w:sz w:val="24"/>
          <w:szCs w:val="24"/>
          <w:vertAlign w:val="superscript"/>
        </w:rPr>
        <w:t>2</w:t>
      </w:r>
      <w:r w:rsidRPr="00C91657">
        <w:rPr>
          <w:rFonts w:ascii="Times New Roman" w:hAnsi="Times New Roman" w:cs="Times New Roman"/>
          <w:sz w:val="24"/>
          <w:szCs w:val="24"/>
        </w:rPr>
        <w:t>Gasa+0,285387841*Mm</w:t>
      </w:r>
      <w:r w:rsidRPr="00C91657">
        <w:rPr>
          <w:rFonts w:ascii="Times New Roman" w:hAnsi="Times New Roman" w:cs="Times New Roman"/>
          <w:sz w:val="24"/>
          <w:szCs w:val="24"/>
          <w:vertAlign w:val="superscript"/>
        </w:rPr>
        <w:t>2</w:t>
      </w:r>
      <w:r w:rsidRPr="00C91657">
        <w:rPr>
          <w:rFonts w:ascii="Times New Roman" w:hAnsi="Times New Roman" w:cs="Times New Roman"/>
          <w:sz w:val="24"/>
          <w:szCs w:val="24"/>
        </w:rPr>
        <w:t xml:space="preserve"> T Acabado+140,74</w:t>
      </w:r>
    </w:p>
    <w:p w:rsidR="00003D44" w:rsidRPr="00C91657" w:rsidRDefault="008A7CC8" w:rsidP="00046E0A">
      <w:pPr>
        <w:spacing w:after="0" w:line="360" w:lineRule="auto"/>
        <w:ind w:left="708"/>
        <w:jc w:val="both"/>
        <w:rPr>
          <w:rFonts w:ascii="Times New Roman" w:hAnsi="Times New Roman" w:cs="Times New Roman"/>
          <w:sz w:val="24"/>
          <w:szCs w:val="24"/>
        </w:rPr>
      </w:pPr>
      <w:r w:rsidRPr="00C91657">
        <w:rPr>
          <w:rFonts w:ascii="Times New Roman" w:hAnsi="Times New Roman" w:cs="Times New Roman"/>
          <w:sz w:val="24"/>
          <w:szCs w:val="24"/>
        </w:rPr>
        <w:t xml:space="preserve">No se toma la línea de correlación del IDEn pues esta es más fácil de manejar y se visualiza mejor, además tiene un coeficiente superior. </w:t>
      </w:r>
    </w:p>
    <w:p w:rsidR="008A7CC8" w:rsidRPr="00C91657" w:rsidRDefault="008A7CC8" w:rsidP="00046E0A">
      <w:pPr>
        <w:spacing w:after="0" w:line="360" w:lineRule="auto"/>
        <w:ind w:left="708"/>
        <w:jc w:val="both"/>
        <w:rPr>
          <w:rFonts w:ascii="Times New Roman" w:hAnsi="Times New Roman" w:cs="Times New Roman"/>
          <w:sz w:val="24"/>
          <w:szCs w:val="24"/>
        </w:rPr>
      </w:pPr>
      <w:r w:rsidRPr="00C91657">
        <w:rPr>
          <w:rFonts w:ascii="Times New Roman" w:hAnsi="Times New Roman" w:cs="Times New Roman"/>
          <w:sz w:val="24"/>
          <w:szCs w:val="24"/>
        </w:rPr>
        <w:t>Para el caso del Fuel Oíl si se toma la misma ecuación:</w:t>
      </w:r>
    </w:p>
    <w:p w:rsidR="008A7CC8" w:rsidRPr="00C91657" w:rsidRDefault="008A7CC8" w:rsidP="00046E0A">
      <w:pPr>
        <w:spacing w:after="0" w:line="360" w:lineRule="auto"/>
        <w:ind w:left="708"/>
        <w:jc w:val="both"/>
        <w:rPr>
          <w:rFonts w:ascii="Times New Roman" w:hAnsi="Times New Roman" w:cs="Times New Roman"/>
          <w:sz w:val="24"/>
          <w:szCs w:val="24"/>
        </w:rPr>
      </w:pPr>
      <w:r w:rsidRPr="00C91657">
        <w:rPr>
          <w:rFonts w:ascii="Times New Roman" w:hAnsi="Times New Roman" w:cs="Times New Roman"/>
          <w:sz w:val="24"/>
          <w:szCs w:val="24"/>
        </w:rPr>
        <w:t>Toneladas de FO  = 1,5496* ton de producción + 29,916</w:t>
      </w:r>
    </w:p>
    <w:p w:rsidR="00895C66" w:rsidRPr="00C91657" w:rsidRDefault="00A61D1F" w:rsidP="00046E0A">
      <w:pPr>
        <w:spacing w:after="0" w:line="360" w:lineRule="auto"/>
        <w:ind w:left="708"/>
        <w:jc w:val="both"/>
        <w:rPr>
          <w:rFonts w:ascii="Times New Roman" w:hAnsi="Times New Roman" w:cs="Times New Roman"/>
          <w:sz w:val="24"/>
          <w:szCs w:val="24"/>
        </w:rPr>
      </w:pPr>
      <w:r w:rsidRPr="00C91657">
        <w:rPr>
          <w:rFonts w:ascii="Times New Roman" w:hAnsi="Times New Roman" w:cs="Times New Roman"/>
          <w:sz w:val="24"/>
          <w:szCs w:val="24"/>
        </w:rPr>
        <w:t>El comportamiento de</w:t>
      </w:r>
      <w:r w:rsidR="005A6BC7" w:rsidRPr="00C91657">
        <w:rPr>
          <w:rFonts w:ascii="Times New Roman" w:hAnsi="Times New Roman" w:cs="Times New Roman"/>
          <w:sz w:val="24"/>
          <w:szCs w:val="24"/>
        </w:rPr>
        <w:t>l 2022 se presenta en la tabla No. 1.</w:t>
      </w:r>
      <w:r w:rsidR="00E9146D" w:rsidRPr="00C91657">
        <w:rPr>
          <w:rFonts w:ascii="Times New Roman" w:hAnsi="Times New Roman" w:cs="Times New Roman"/>
          <w:sz w:val="24"/>
          <w:szCs w:val="24"/>
        </w:rPr>
        <w:t xml:space="preserve"> El consumo total real es menor a la suma de los valores de la línea base mensual por lo que se aprecia un mejor desempeño</w:t>
      </w:r>
      <w:r w:rsidR="00895C66" w:rsidRPr="00C91657">
        <w:rPr>
          <w:rFonts w:ascii="Times New Roman" w:hAnsi="Times New Roman" w:cs="Times New Roman"/>
          <w:sz w:val="24"/>
          <w:szCs w:val="24"/>
        </w:rPr>
        <w:t>, es el 90,8 % del valor de consumo por la línea base</w:t>
      </w:r>
      <w:r w:rsidR="00E9146D" w:rsidRPr="00C91657">
        <w:rPr>
          <w:rFonts w:ascii="Times New Roman" w:hAnsi="Times New Roman" w:cs="Times New Roman"/>
          <w:sz w:val="24"/>
          <w:szCs w:val="24"/>
        </w:rPr>
        <w:t xml:space="preserve">.  </w:t>
      </w:r>
    </w:p>
    <w:p w:rsidR="00A61D1F" w:rsidRDefault="00E9146D" w:rsidP="00046E0A">
      <w:pPr>
        <w:spacing w:after="0" w:line="360" w:lineRule="auto"/>
        <w:ind w:left="708"/>
        <w:jc w:val="both"/>
        <w:rPr>
          <w:rFonts w:ascii="Times New Roman" w:hAnsi="Times New Roman" w:cs="Times New Roman"/>
          <w:sz w:val="24"/>
          <w:szCs w:val="24"/>
        </w:rPr>
      </w:pPr>
      <w:r w:rsidRPr="00C91657">
        <w:rPr>
          <w:rFonts w:ascii="Times New Roman" w:hAnsi="Times New Roman" w:cs="Times New Roman"/>
          <w:sz w:val="24"/>
          <w:szCs w:val="24"/>
        </w:rPr>
        <w:t xml:space="preserve">Se ahorran 134 toneladas de Fuel </w:t>
      </w:r>
      <w:r w:rsidR="002D0235" w:rsidRPr="00C91657">
        <w:rPr>
          <w:rFonts w:ascii="Times New Roman" w:hAnsi="Times New Roman" w:cs="Times New Roman"/>
          <w:sz w:val="24"/>
          <w:szCs w:val="24"/>
        </w:rPr>
        <w:t xml:space="preserve">oíl que representan 148 MP. </w:t>
      </w:r>
    </w:p>
    <w:p w:rsidR="0039464F" w:rsidRPr="00C91657" w:rsidRDefault="0039464F" w:rsidP="00046E0A">
      <w:pPr>
        <w:spacing w:after="0" w:line="360" w:lineRule="auto"/>
        <w:ind w:left="708"/>
        <w:jc w:val="both"/>
        <w:rPr>
          <w:rFonts w:ascii="Times New Roman" w:hAnsi="Times New Roman" w:cs="Times New Roman"/>
          <w:sz w:val="24"/>
          <w:szCs w:val="24"/>
        </w:rPr>
      </w:pPr>
    </w:p>
    <w:p w:rsidR="002D0235" w:rsidRPr="002D0235" w:rsidRDefault="002D0235" w:rsidP="002D0235">
      <w:pPr>
        <w:spacing w:after="0" w:line="360" w:lineRule="auto"/>
        <w:ind w:left="360"/>
        <w:jc w:val="both"/>
        <w:rPr>
          <w:rFonts w:ascii="Times New Roman" w:hAnsi="Times New Roman" w:cs="Times New Roman"/>
          <w:sz w:val="24"/>
          <w:szCs w:val="24"/>
        </w:rPr>
      </w:pPr>
      <w:r w:rsidRPr="002D0235">
        <w:rPr>
          <w:rFonts w:ascii="Times New Roman" w:hAnsi="Times New Roman" w:cs="Times New Roman"/>
          <w:sz w:val="24"/>
          <w:szCs w:val="24"/>
        </w:rPr>
        <w:lastRenderedPageBreak/>
        <w:t>Tabla no. 1. Comparación del consumo de FO con la línea base.</w:t>
      </w:r>
    </w:p>
    <w:tbl>
      <w:tblPr>
        <w:tblW w:w="787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3"/>
        <w:gridCol w:w="1200"/>
        <w:gridCol w:w="1200"/>
        <w:gridCol w:w="1886"/>
        <w:gridCol w:w="1200"/>
        <w:gridCol w:w="1200"/>
      </w:tblGrid>
      <w:tr w:rsidR="00E9146D" w:rsidRPr="005A6BC7" w:rsidTr="00CF729D">
        <w:trPr>
          <w:trHeight w:val="300"/>
          <w:jc w:val="center"/>
        </w:trPr>
        <w:tc>
          <w:tcPr>
            <w:tcW w:w="1193" w:type="dxa"/>
            <w:shd w:val="clear" w:color="auto" w:fill="auto"/>
            <w:noWrap/>
            <w:vAlign w:val="center"/>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202</w:t>
            </w:r>
            <w:r>
              <w:rPr>
                <w:rFonts w:ascii="Times New Roman" w:eastAsia="Times New Roman" w:hAnsi="Times New Roman" w:cs="Times New Roman"/>
                <w:color w:val="000000"/>
                <w:sz w:val="24"/>
                <w:szCs w:val="24"/>
                <w:lang w:val="es-US" w:eastAsia="es-US"/>
              </w:rPr>
              <w:t>2</w:t>
            </w:r>
          </w:p>
        </w:tc>
        <w:tc>
          <w:tcPr>
            <w:tcW w:w="1200" w:type="dxa"/>
            <w:shd w:val="clear" w:color="auto" w:fill="auto"/>
            <w:noWrap/>
            <w:vAlign w:val="center"/>
            <w:hideMark/>
          </w:tcPr>
          <w:p w:rsidR="00E9146D" w:rsidRPr="005A6BC7" w:rsidRDefault="00E9146D" w:rsidP="00C91657">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 xml:space="preserve">ton </w:t>
            </w:r>
            <w:r w:rsidR="00C91657">
              <w:rPr>
                <w:rFonts w:ascii="Times New Roman" w:eastAsia="Times New Roman" w:hAnsi="Times New Roman" w:cs="Times New Roman"/>
                <w:color w:val="000000"/>
                <w:sz w:val="24"/>
                <w:szCs w:val="24"/>
                <w:lang w:val="es-US" w:eastAsia="es-US"/>
              </w:rPr>
              <w:t>A</w:t>
            </w:r>
            <w:r w:rsidRPr="005A6BC7">
              <w:rPr>
                <w:rFonts w:ascii="Times New Roman" w:eastAsia="Times New Roman" w:hAnsi="Times New Roman" w:cs="Times New Roman"/>
                <w:color w:val="000000"/>
                <w:sz w:val="24"/>
                <w:szCs w:val="24"/>
                <w:lang w:val="es-US" w:eastAsia="es-US"/>
              </w:rPr>
              <w:t>cab</w:t>
            </w:r>
          </w:p>
        </w:tc>
        <w:tc>
          <w:tcPr>
            <w:tcW w:w="1200" w:type="dxa"/>
            <w:shd w:val="clear" w:color="auto" w:fill="auto"/>
            <w:noWrap/>
            <w:vAlign w:val="center"/>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ton HT</w:t>
            </w:r>
          </w:p>
        </w:tc>
        <w:tc>
          <w:tcPr>
            <w:tcW w:w="1886" w:type="dxa"/>
            <w:shd w:val="clear" w:color="auto" w:fill="auto"/>
            <w:noWrap/>
            <w:vAlign w:val="center"/>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Pr>
                <w:rFonts w:ascii="Times New Roman" w:eastAsia="Times New Roman" w:hAnsi="Times New Roman" w:cs="Times New Roman"/>
                <w:color w:val="000000"/>
                <w:sz w:val="24"/>
                <w:szCs w:val="24"/>
                <w:lang w:val="es-US" w:eastAsia="es-US"/>
              </w:rPr>
              <w:t>ton producción total</w:t>
            </w:r>
          </w:p>
        </w:tc>
        <w:tc>
          <w:tcPr>
            <w:tcW w:w="1200" w:type="dxa"/>
            <w:shd w:val="clear" w:color="auto" w:fill="auto"/>
            <w:noWrap/>
            <w:vAlign w:val="center"/>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Pr>
                <w:rFonts w:ascii="Times New Roman" w:eastAsia="Times New Roman" w:hAnsi="Times New Roman" w:cs="Times New Roman"/>
                <w:color w:val="000000"/>
                <w:sz w:val="24"/>
                <w:szCs w:val="24"/>
                <w:lang w:val="es-US" w:eastAsia="es-US"/>
              </w:rPr>
              <w:t xml:space="preserve">t </w:t>
            </w:r>
            <w:r w:rsidRPr="005A6BC7">
              <w:rPr>
                <w:rFonts w:ascii="Times New Roman" w:eastAsia="Times New Roman" w:hAnsi="Times New Roman" w:cs="Times New Roman"/>
                <w:color w:val="000000"/>
                <w:sz w:val="24"/>
                <w:szCs w:val="24"/>
                <w:lang w:val="es-US" w:eastAsia="es-US"/>
              </w:rPr>
              <w:t xml:space="preserve">FO </w:t>
            </w:r>
            <w:r>
              <w:rPr>
                <w:rFonts w:ascii="Times New Roman" w:eastAsia="Times New Roman" w:hAnsi="Times New Roman" w:cs="Times New Roman"/>
                <w:color w:val="000000"/>
                <w:sz w:val="24"/>
                <w:szCs w:val="24"/>
                <w:lang w:val="es-US" w:eastAsia="es-US"/>
              </w:rPr>
              <w:t>LB</w:t>
            </w:r>
          </w:p>
        </w:tc>
        <w:tc>
          <w:tcPr>
            <w:tcW w:w="1200" w:type="dxa"/>
            <w:shd w:val="clear" w:color="auto" w:fill="auto"/>
            <w:noWrap/>
            <w:vAlign w:val="center"/>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Pr>
                <w:rFonts w:ascii="Times New Roman" w:eastAsia="Times New Roman" w:hAnsi="Times New Roman" w:cs="Times New Roman"/>
                <w:color w:val="000000"/>
                <w:sz w:val="24"/>
                <w:szCs w:val="24"/>
                <w:lang w:val="es-US" w:eastAsia="es-US"/>
              </w:rPr>
              <w:t>t FO real</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5A6BC7">
            <w:pPr>
              <w:spacing w:after="0" w:line="240" w:lineRule="auto"/>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enero</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40,54</w:t>
            </w:r>
          </w:p>
        </w:tc>
        <w:tc>
          <w:tcPr>
            <w:tcW w:w="1200" w:type="dxa"/>
            <w:shd w:val="clear" w:color="auto" w:fill="auto"/>
            <w:noWrap/>
            <w:vAlign w:val="bottom"/>
            <w:hideMark/>
          </w:tcPr>
          <w:p w:rsidR="00E9146D" w:rsidRPr="005A6BC7" w:rsidRDefault="00E9146D" w:rsidP="005374BC">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2,5</w:t>
            </w:r>
            <w:r w:rsidR="005374BC">
              <w:rPr>
                <w:rFonts w:ascii="Times New Roman" w:eastAsia="Times New Roman" w:hAnsi="Times New Roman" w:cs="Times New Roman"/>
                <w:color w:val="000000"/>
                <w:sz w:val="24"/>
                <w:szCs w:val="24"/>
                <w:lang w:val="es-US" w:eastAsia="es-US"/>
              </w:rPr>
              <w:t>3</w:t>
            </w: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43,07</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96,66</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78,90</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5A6BC7">
            <w:pPr>
              <w:spacing w:after="0" w:line="240" w:lineRule="auto"/>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febrero</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69,88</w:t>
            </w:r>
          </w:p>
        </w:tc>
        <w:tc>
          <w:tcPr>
            <w:tcW w:w="1200" w:type="dxa"/>
            <w:shd w:val="clear" w:color="auto" w:fill="auto"/>
            <w:noWrap/>
            <w:vAlign w:val="bottom"/>
            <w:hideMark/>
          </w:tcPr>
          <w:p w:rsidR="00E9146D" w:rsidRPr="005A6BC7" w:rsidRDefault="00E9146D" w:rsidP="005374BC">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3,71</w:t>
            </w: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73,59</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143,96</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174,39</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5A6BC7">
            <w:pPr>
              <w:spacing w:after="0" w:line="240" w:lineRule="auto"/>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marzo</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43,91</w:t>
            </w:r>
          </w:p>
        </w:tc>
        <w:tc>
          <w:tcPr>
            <w:tcW w:w="1200" w:type="dxa"/>
            <w:shd w:val="clear" w:color="auto" w:fill="auto"/>
            <w:noWrap/>
            <w:vAlign w:val="bottom"/>
            <w:hideMark/>
          </w:tcPr>
          <w:p w:rsidR="00E9146D" w:rsidRPr="005A6BC7" w:rsidRDefault="00E9146D" w:rsidP="005374BC">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2,82</w:t>
            </w: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46,74</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102,34</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138,59</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5A6BC7">
            <w:pPr>
              <w:spacing w:after="0" w:line="240" w:lineRule="auto"/>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abril</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80,54</w:t>
            </w:r>
          </w:p>
        </w:tc>
        <w:tc>
          <w:tcPr>
            <w:tcW w:w="1200" w:type="dxa"/>
            <w:shd w:val="clear" w:color="auto" w:fill="auto"/>
            <w:noWrap/>
            <w:vAlign w:val="bottom"/>
            <w:hideMark/>
          </w:tcPr>
          <w:p w:rsidR="00E9146D" w:rsidRPr="005A6BC7" w:rsidRDefault="00E9146D" w:rsidP="005374BC">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2,20</w:t>
            </w: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82,74</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158,13</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111,72</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5A6BC7">
            <w:pPr>
              <w:spacing w:after="0" w:line="240" w:lineRule="auto"/>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mayo</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73,87</w:t>
            </w:r>
          </w:p>
        </w:tc>
        <w:tc>
          <w:tcPr>
            <w:tcW w:w="1200" w:type="dxa"/>
            <w:shd w:val="clear" w:color="auto" w:fill="auto"/>
            <w:noWrap/>
            <w:vAlign w:val="bottom"/>
            <w:hideMark/>
          </w:tcPr>
          <w:p w:rsidR="00E9146D" w:rsidRPr="005A6BC7" w:rsidRDefault="00E9146D" w:rsidP="009E4C71">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23,56</w:t>
            </w: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97,43</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180,90</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129,46</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5A6BC7">
            <w:pPr>
              <w:spacing w:after="0" w:line="240" w:lineRule="auto"/>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junio</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82,18</w:t>
            </w:r>
          </w:p>
        </w:tc>
        <w:tc>
          <w:tcPr>
            <w:tcW w:w="1200" w:type="dxa"/>
            <w:shd w:val="clear" w:color="auto" w:fill="auto"/>
            <w:noWrap/>
            <w:vAlign w:val="bottom"/>
            <w:hideMark/>
          </w:tcPr>
          <w:p w:rsidR="00E9146D" w:rsidRPr="005A6BC7" w:rsidRDefault="00E9146D" w:rsidP="009E4C71">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30,34</w:t>
            </w: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112,52</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204,28</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145,15</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5A6BC7">
            <w:pPr>
              <w:spacing w:after="0" w:line="240" w:lineRule="auto"/>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julio</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50,39</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7,65</w:t>
            </w: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58,04</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119,85</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90,62</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5A6BC7">
            <w:pPr>
              <w:spacing w:after="0" w:line="240" w:lineRule="auto"/>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agosto</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18,08</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29,25</w:t>
            </w: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47,33</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103,26</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106,61</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5A6BC7">
            <w:pPr>
              <w:spacing w:after="0" w:line="240" w:lineRule="auto"/>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septiembre</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4,42</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27,73</w:t>
            </w: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32,15</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79,74</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88,21</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5A6BC7">
            <w:pPr>
              <w:spacing w:after="0" w:line="240" w:lineRule="auto"/>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octubre</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39,39</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6,03</w:t>
            </w: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45,41</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100,28</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80,83</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5A6BC7">
            <w:pPr>
              <w:spacing w:after="0" w:line="240" w:lineRule="auto"/>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noviembre</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47,46</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2,35</w:t>
            </w: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49,81</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107,10</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124,33</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5A6BC7">
            <w:pPr>
              <w:spacing w:after="0" w:line="240" w:lineRule="auto"/>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diciembre</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30,64</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0,30</w:t>
            </w: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30,94</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77,86</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color w:val="000000"/>
                <w:sz w:val="24"/>
                <w:szCs w:val="24"/>
                <w:lang w:val="es-US" w:eastAsia="es-US"/>
              </w:rPr>
            </w:pPr>
            <w:r w:rsidRPr="005A6BC7">
              <w:rPr>
                <w:rFonts w:ascii="Times New Roman" w:eastAsia="Times New Roman" w:hAnsi="Times New Roman" w:cs="Times New Roman"/>
                <w:color w:val="000000"/>
                <w:sz w:val="24"/>
                <w:szCs w:val="24"/>
                <w:lang w:val="es-US" w:eastAsia="es-US"/>
              </w:rPr>
              <w:t>71,00</w:t>
            </w:r>
          </w:p>
        </w:tc>
      </w:tr>
      <w:tr w:rsidR="00E9146D" w:rsidRPr="005A6BC7" w:rsidTr="00CF729D">
        <w:trPr>
          <w:trHeight w:val="300"/>
          <w:jc w:val="center"/>
        </w:trPr>
        <w:tc>
          <w:tcPr>
            <w:tcW w:w="1193" w:type="dxa"/>
            <w:shd w:val="clear" w:color="auto" w:fill="auto"/>
            <w:noWrap/>
            <w:vAlign w:val="bottom"/>
            <w:hideMark/>
          </w:tcPr>
          <w:p w:rsidR="00E9146D" w:rsidRPr="005A6BC7" w:rsidRDefault="00E9146D" w:rsidP="00E9146D">
            <w:pPr>
              <w:spacing w:after="0" w:line="240" w:lineRule="auto"/>
              <w:jc w:val="right"/>
              <w:rPr>
                <w:rFonts w:ascii="Times New Roman" w:eastAsia="Times New Roman" w:hAnsi="Times New Roman" w:cs="Times New Roman"/>
                <w:b/>
                <w:color w:val="000000"/>
                <w:sz w:val="24"/>
                <w:szCs w:val="24"/>
                <w:lang w:val="es-US" w:eastAsia="es-US"/>
              </w:rPr>
            </w:pPr>
            <w:r w:rsidRPr="005A6BC7">
              <w:rPr>
                <w:rFonts w:ascii="Times New Roman" w:eastAsia="Times New Roman" w:hAnsi="Times New Roman" w:cs="Times New Roman"/>
                <w:b/>
                <w:color w:val="000000"/>
                <w:sz w:val="24"/>
                <w:szCs w:val="24"/>
                <w:lang w:val="es-US" w:eastAsia="es-US"/>
              </w:rPr>
              <w:t>Total</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b/>
                <w:color w:val="000000"/>
                <w:sz w:val="24"/>
                <w:szCs w:val="24"/>
                <w:lang w:val="es-US" w:eastAsia="es-US"/>
              </w:rPr>
            </w:pP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b/>
                <w:color w:val="000000"/>
                <w:sz w:val="24"/>
                <w:szCs w:val="24"/>
                <w:lang w:val="es-US" w:eastAsia="es-US"/>
              </w:rPr>
            </w:pPr>
          </w:p>
        </w:tc>
        <w:tc>
          <w:tcPr>
            <w:tcW w:w="1886"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b/>
                <w:color w:val="000000"/>
                <w:sz w:val="24"/>
                <w:szCs w:val="24"/>
                <w:lang w:val="es-US" w:eastAsia="es-US"/>
              </w:rPr>
            </w:pP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b/>
                <w:color w:val="000000"/>
                <w:sz w:val="24"/>
                <w:szCs w:val="24"/>
                <w:lang w:val="es-US" w:eastAsia="es-US"/>
              </w:rPr>
            </w:pPr>
            <w:r w:rsidRPr="005A6BC7">
              <w:rPr>
                <w:rFonts w:ascii="Times New Roman" w:eastAsia="Times New Roman" w:hAnsi="Times New Roman" w:cs="Times New Roman"/>
                <w:b/>
                <w:color w:val="000000"/>
                <w:sz w:val="24"/>
                <w:szCs w:val="24"/>
                <w:lang w:val="es-US" w:eastAsia="es-US"/>
              </w:rPr>
              <w:t>1474,35</w:t>
            </w:r>
          </w:p>
        </w:tc>
        <w:tc>
          <w:tcPr>
            <w:tcW w:w="1200" w:type="dxa"/>
            <w:shd w:val="clear" w:color="auto" w:fill="auto"/>
            <w:noWrap/>
            <w:vAlign w:val="bottom"/>
            <w:hideMark/>
          </w:tcPr>
          <w:p w:rsidR="00E9146D" w:rsidRPr="005A6BC7" w:rsidRDefault="00E9146D" w:rsidP="00E9146D">
            <w:pPr>
              <w:spacing w:after="0" w:line="240" w:lineRule="auto"/>
              <w:jc w:val="center"/>
              <w:rPr>
                <w:rFonts w:ascii="Times New Roman" w:eastAsia="Times New Roman" w:hAnsi="Times New Roman" w:cs="Times New Roman"/>
                <w:b/>
                <w:color w:val="000000"/>
                <w:sz w:val="24"/>
                <w:szCs w:val="24"/>
                <w:lang w:val="es-US" w:eastAsia="es-US"/>
              </w:rPr>
            </w:pPr>
            <w:r w:rsidRPr="005A6BC7">
              <w:rPr>
                <w:rFonts w:ascii="Times New Roman" w:eastAsia="Times New Roman" w:hAnsi="Times New Roman" w:cs="Times New Roman"/>
                <w:b/>
                <w:color w:val="000000"/>
                <w:sz w:val="24"/>
                <w:szCs w:val="24"/>
                <w:lang w:val="es-US" w:eastAsia="es-US"/>
              </w:rPr>
              <w:t>1339,812</w:t>
            </w:r>
          </w:p>
        </w:tc>
      </w:tr>
    </w:tbl>
    <w:p w:rsidR="002D0235" w:rsidRPr="00D60836" w:rsidRDefault="002D0235" w:rsidP="002D0235">
      <w:pPr>
        <w:spacing w:after="0" w:line="360" w:lineRule="auto"/>
        <w:ind w:left="360"/>
        <w:jc w:val="center"/>
        <w:rPr>
          <w:rFonts w:ascii="Times New Roman" w:hAnsi="Times New Roman" w:cs="Times New Roman"/>
          <w:sz w:val="20"/>
        </w:rPr>
      </w:pPr>
      <w:r w:rsidRPr="00D60836">
        <w:rPr>
          <w:rFonts w:ascii="Times New Roman" w:hAnsi="Times New Roman" w:cs="Times New Roman"/>
          <w:sz w:val="20"/>
        </w:rPr>
        <w:t>Fuente: Elaboración propia.</w:t>
      </w:r>
    </w:p>
    <w:p w:rsidR="00622341" w:rsidRDefault="00622341" w:rsidP="00622341">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No hubo que hacer modificaciones en la documentación existente para la recopilación de datos, solo se establece y se reconoce en el nuevo procedimiento de Gestión para la energía que se hace. (PG-06-08).</w:t>
      </w:r>
    </w:p>
    <w:p w:rsidR="001F3AED" w:rsidRDefault="001F3AED" w:rsidP="00622341">
      <w:pPr>
        <w:pStyle w:val="Prrafodelista"/>
        <w:numPr>
          <w:ilvl w:val="0"/>
          <w:numId w:val="3"/>
        </w:numPr>
        <w:spacing w:after="0" w:line="360" w:lineRule="auto"/>
        <w:ind w:left="708"/>
        <w:jc w:val="both"/>
        <w:rPr>
          <w:rFonts w:ascii="Times New Roman" w:hAnsi="Times New Roman" w:cs="Times New Roman"/>
          <w:sz w:val="24"/>
          <w:szCs w:val="24"/>
        </w:rPr>
      </w:pPr>
      <w:r w:rsidRPr="001F3AED">
        <w:rPr>
          <w:rFonts w:ascii="Times New Roman" w:hAnsi="Times New Roman" w:cs="Times New Roman"/>
          <w:sz w:val="24"/>
          <w:szCs w:val="24"/>
        </w:rPr>
        <w:t>Los recursos materiales y financieros necesarios se determinan desde la concepción inicial del plan de negocios para el año. A partir del plan de producción previsto se calculan, utilizando las normas de consumo técnicamente fundamentadas, los valores de los portadores necesarios para ese plan. El resultado de esos valores se compara con la regresión histórica y se puede ajustar según se estime. Con los valores físicos de los portadores y los precios que emite el mes para cada año se planifican los valores en pesos de los mismos</w:t>
      </w:r>
      <w:r>
        <w:rPr>
          <w:rFonts w:ascii="Times New Roman" w:hAnsi="Times New Roman" w:cs="Times New Roman"/>
          <w:sz w:val="24"/>
          <w:szCs w:val="24"/>
        </w:rPr>
        <w:t>.</w:t>
      </w:r>
    </w:p>
    <w:p w:rsidR="001F3AED" w:rsidRDefault="001F3AED" w:rsidP="00622341">
      <w:pPr>
        <w:pStyle w:val="Prrafodelista"/>
        <w:numPr>
          <w:ilvl w:val="0"/>
          <w:numId w:val="3"/>
        </w:numPr>
        <w:spacing w:after="0" w:line="360" w:lineRule="auto"/>
        <w:ind w:left="708"/>
        <w:jc w:val="both"/>
        <w:rPr>
          <w:rFonts w:ascii="Times New Roman" w:hAnsi="Times New Roman" w:cs="Times New Roman"/>
          <w:sz w:val="24"/>
          <w:szCs w:val="24"/>
        </w:rPr>
      </w:pPr>
      <w:r w:rsidRPr="008203B7">
        <w:rPr>
          <w:rFonts w:ascii="Times New Roman" w:hAnsi="Times New Roman" w:cs="Times New Roman"/>
          <w:sz w:val="24"/>
          <w:szCs w:val="24"/>
        </w:rPr>
        <w:t>Ya se tenía el PG-04-01 Capacitación</w:t>
      </w:r>
      <w:r w:rsidR="008203B7" w:rsidRPr="008203B7">
        <w:rPr>
          <w:rFonts w:ascii="Times New Roman" w:hAnsi="Times New Roman" w:cs="Times New Roman"/>
          <w:sz w:val="24"/>
          <w:szCs w:val="24"/>
        </w:rPr>
        <w:t xml:space="preserve"> y formación donde se establece el procedimiento para determinar las competencias de las personas. En los puestos que inciden en el buen desempeño energético y en la preparación de los auditores se hizo una capacitación especial.</w:t>
      </w:r>
    </w:p>
    <w:p w:rsidR="008203B7" w:rsidRDefault="008203B7" w:rsidP="00622341">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La empresa ya contaba con un sistema de comunicación donde se definen las informaciones internas y externas con todo lo que exige la norma. Ya el PG-06-06 define la opción de que cualquier trabajador puede proponer mejoras en el sistema por lo que fue coincident</w:t>
      </w:r>
      <w:r w:rsidR="0074286C">
        <w:rPr>
          <w:rFonts w:ascii="Times New Roman" w:hAnsi="Times New Roman" w:cs="Times New Roman"/>
          <w:sz w:val="24"/>
          <w:szCs w:val="24"/>
        </w:rPr>
        <w:t>e.</w:t>
      </w:r>
    </w:p>
    <w:p w:rsidR="00A21EF9" w:rsidRDefault="0074286C" w:rsidP="00622341">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lastRenderedPageBreak/>
        <w:t xml:space="preserve">Para el punto de la norma referido a Operación se hizo el procedimiento </w:t>
      </w:r>
      <w:r w:rsidR="0086618E">
        <w:rPr>
          <w:rFonts w:ascii="Times New Roman" w:hAnsi="Times New Roman" w:cs="Times New Roman"/>
          <w:sz w:val="24"/>
          <w:szCs w:val="24"/>
        </w:rPr>
        <w:t xml:space="preserve">de gestión de la energía que incluye todo lo referente a planificación, control y uso de los portadores energéticos y para el correcto funcionamiento operacional y de mantenimiento se tienen los procedimientos de cada equipo. </w:t>
      </w:r>
    </w:p>
    <w:p w:rsidR="008203B7" w:rsidRDefault="00A21EF9" w:rsidP="00622341">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El proceso del control inversionista fue revisado precisando la necesidad del análisis de los consumos energéticos en los dictámenes para nuevos equipos. </w:t>
      </w:r>
    </w:p>
    <w:p w:rsidR="00D55AB2" w:rsidRPr="00D55AB2" w:rsidRDefault="00D55AB2" w:rsidP="00D55AB2">
      <w:pPr>
        <w:pStyle w:val="Prrafodelista"/>
        <w:numPr>
          <w:ilvl w:val="0"/>
          <w:numId w:val="3"/>
        </w:numPr>
        <w:spacing w:after="0" w:line="360" w:lineRule="auto"/>
        <w:ind w:left="708"/>
        <w:jc w:val="both"/>
        <w:rPr>
          <w:rFonts w:ascii="Times New Roman" w:hAnsi="Times New Roman" w:cs="Times New Roman"/>
          <w:sz w:val="24"/>
          <w:szCs w:val="24"/>
          <w:lang w:val="es-US"/>
        </w:rPr>
      </w:pPr>
      <w:r w:rsidRPr="00D55AB2">
        <w:rPr>
          <w:rFonts w:ascii="Times New Roman" w:hAnsi="Times New Roman" w:cs="Times New Roman"/>
          <w:sz w:val="24"/>
          <w:szCs w:val="24"/>
        </w:rPr>
        <w:t>La evaluación de</w:t>
      </w:r>
      <w:r w:rsidR="00630519">
        <w:rPr>
          <w:rFonts w:ascii="Times New Roman" w:hAnsi="Times New Roman" w:cs="Times New Roman"/>
          <w:sz w:val="24"/>
          <w:szCs w:val="24"/>
        </w:rPr>
        <w:t>l</w:t>
      </w:r>
      <w:r w:rsidRPr="00D55AB2">
        <w:rPr>
          <w:rFonts w:ascii="Times New Roman" w:hAnsi="Times New Roman" w:cs="Times New Roman"/>
          <w:sz w:val="24"/>
          <w:szCs w:val="24"/>
        </w:rPr>
        <w:t xml:space="preserve"> desempeño </w:t>
      </w:r>
      <w:r>
        <w:rPr>
          <w:rFonts w:ascii="Times New Roman" w:hAnsi="Times New Roman" w:cs="Times New Roman"/>
          <w:sz w:val="24"/>
          <w:szCs w:val="24"/>
        </w:rPr>
        <w:t xml:space="preserve">de los procesos </w:t>
      </w:r>
      <w:r w:rsidRPr="00D55AB2">
        <w:rPr>
          <w:rFonts w:ascii="Times New Roman" w:hAnsi="Times New Roman" w:cs="Times New Roman"/>
          <w:sz w:val="24"/>
          <w:szCs w:val="24"/>
        </w:rPr>
        <w:t xml:space="preserve">se realizará utilizando los cuestionarios establecidos en cada </w:t>
      </w:r>
      <w:r w:rsidR="00630519">
        <w:rPr>
          <w:rFonts w:ascii="Times New Roman" w:hAnsi="Times New Roman" w:cs="Times New Roman"/>
          <w:sz w:val="24"/>
          <w:szCs w:val="24"/>
        </w:rPr>
        <w:t>uno</w:t>
      </w:r>
      <w:r w:rsidRPr="00D55AB2">
        <w:rPr>
          <w:rFonts w:ascii="Times New Roman" w:hAnsi="Times New Roman" w:cs="Times New Roman"/>
          <w:sz w:val="24"/>
          <w:szCs w:val="24"/>
        </w:rPr>
        <w:t xml:space="preserve">. </w:t>
      </w:r>
      <w:r w:rsidR="00630519">
        <w:rPr>
          <w:rFonts w:ascii="Times New Roman" w:hAnsi="Times New Roman" w:cs="Times New Roman"/>
          <w:sz w:val="24"/>
          <w:szCs w:val="24"/>
        </w:rPr>
        <w:t>Estos</w:t>
      </w:r>
      <w:r w:rsidRPr="00D55AB2">
        <w:rPr>
          <w:rFonts w:ascii="Times New Roman" w:hAnsi="Times New Roman" w:cs="Times New Roman"/>
          <w:sz w:val="24"/>
          <w:szCs w:val="24"/>
        </w:rPr>
        <w:t xml:space="preserve"> cuestionarios  incluye variables e indicadores que responden al SGEn</w:t>
      </w:r>
    </w:p>
    <w:p w:rsidR="00A21EF9" w:rsidRPr="00630519" w:rsidRDefault="00630519" w:rsidP="00622341">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lang w:val="es-US"/>
        </w:rPr>
        <w:t xml:space="preserve">Mensualmente se analiza el comportamiento de los </w:t>
      </w:r>
      <w:r w:rsidR="00531AF2">
        <w:rPr>
          <w:rFonts w:ascii="Times New Roman" w:hAnsi="Times New Roman" w:cs="Times New Roman"/>
          <w:sz w:val="24"/>
          <w:szCs w:val="24"/>
          <w:lang w:val="es-US"/>
        </w:rPr>
        <w:t>IDEn,</w:t>
      </w:r>
      <w:r>
        <w:rPr>
          <w:rFonts w:ascii="Times New Roman" w:hAnsi="Times New Roman" w:cs="Times New Roman"/>
          <w:sz w:val="24"/>
          <w:szCs w:val="24"/>
          <w:lang w:val="es-US"/>
        </w:rPr>
        <w:t xml:space="preserve"> los consumos reales contra </w:t>
      </w:r>
      <w:r w:rsidR="00531AF2">
        <w:rPr>
          <w:rFonts w:ascii="Times New Roman" w:hAnsi="Times New Roman" w:cs="Times New Roman"/>
          <w:sz w:val="24"/>
          <w:szCs w:val="24"/>
          <w:lang w:val="es-US"/>
        </w:rPr>
        <w:t>los</w:t>
      </w:r>
      <w:r>
        <w:rPr>
          <w:rFonts w:ascii="Times New Roman" w:hAnsi="Times New Roman" w:cs="Times New Roman"/>
          <w:sz w:val="24"/>
          <w:szCs w:val="24"/>
          <w:lang w:val="es-US"/>
        </w:rPr>
        <w:t xml:space="preserve"> planes, contra el año anterior, las causas de las desviaciones, etc.</w:t>
      </w:r>
    </w:p>
    <w:p w:rsidR="00630519" w:rsidRDefault="00630519" w:rsidP="00622341">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Los requisitos legales tienen seguimiento en los Consejos de dirección organizados según plan de temas del mismo.</w:t>
      </w:r>
    </w:p>
    <w:p w:rsidR="00630519" w:rsidRDefault="00630519" w:rsidP="00622341">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Las auditorías internas se planifican y se cumplen en unión con las auditorias la SGC. Se formaron 9 auditores que ya estaban certificados como auditores internos del SGC con la NC ISO 50001:2019. </w:t>
      </w:r>
    </w:p>
    <w:p w:rsidR="00C51816" w:rsidRDefault="00C51816" w:rsidP="00622341">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La Revisión por la dirección se hace a los dos sistemas simultáneamente armonizando las entradas y salidas de los dos sistemas. </w:t>
      </w:r>
    </w:p>
    <w:p w:rsidR="00C51816" w:rsidRPr="008203B7" w:rsidRDefault="00C51816" w:rsidP="00622341">
      <w:pPr>
        <w:pStyle w:val="Prrafodelista"/>
        <w:numPr>
          <w:ilvl w:val="0"/>
          <w:numId w:val="3"/>
        </w:num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El tratamiento de las No Conformidades detectadas es el mismo para los dos sistemas. La mejora continua se evalúa comparando los períodos en cada uno de los análisis que se realizan. </w:t>
      </w:r>
    </w:p>
    <w:p w:rsidR="000A1FA9" w:rsidRDefault="000A1FA9" w:rsidP="00FF3346">
      <w:pPr>
        <w:spacing w:after="0" w:line="360" w:lineRule="auto"/>
        <w:jc w:val="both"/>
        <w:rPr>
          <w:rFonts w:ascii="Times New Roman" w:hAnsi="Times New Roman" w:cs="Times New Roman"/>
          <w:sz w:val="24"/>
          <w:szCs w:val="24"/>
        </w:rPr>
      </w:pPr>
    </w:p>
    <w:p w:rsidR="00FF3346" w:rsidRPr="00E2512D" w:rsidRDefault="00FF3346" w:rsidP="00E2512D">
      <w:pPr>
        <w:pStyle w:val="Ttulo1"/>
        <w:spacing w:before="0" w:beforeAutospacing="0" w:after="0" w:afterAutospacing="0" w:line="360" w:lineRule="auto"/>
        <w:rPr>
          <w:sz w:val="24"/>
          <w:szCs w:val="24"/>
        </w:rPr>
      </w:pPr>
      <w:r w:rsidRPr="00FF3346">
        <w:rPr>
          <w:sz w:val="24"/>
          <w:szCs w:val="24"/>
        </w:rPr>
        <w:t>4. Conclusiones</w:t>
      </w:r>
    </w:p>
    <w:p w:rsidR="00621571" w:rsidRDefault="00621571" w:rsidP="00BB0DF5">
      <w:pPr>
        <w:pStyle w:val="Prrafode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implantó y se certificó el Sistema de Gestión de la Energía según la NC ISO 50001:2019 en la Empresa textil Desembarco del Granma utilizando las similitudes existentes con la NC ISO 9001:2015 ya legitimada.</w:t>
      </w:r>
    </w:p>
    <w:p w:rsidR="00FF3346" w:rsidRDefault="00BB0DF5" w:rsidP="00BB0DF5">
      <w:pPr>
        <w:pStyle w:val="Prrafode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empresa cuenta con tres factores que </w:t>
      </w:r>
      <w:r w:rsidR="00621571">
        <w:rPr>
          <w:rFonts w:ascii="Times New Roman" w:hAnsi="Times New Roman" w:cs="Times New Roman"/>
          <w:sz w:val="24"/>
          <w:szCs w:val="24"/>
        </w:rPr>
        <w:t>hacen</w:t>
      </w:r>
      <w:r>
        <w:rPr>
          <w:rFonts w:ascii="Times New Roman" w:hAnsi="Times New Roman" w:cs="Times New Roman"/>
          <w:sz w:val="24"/>
          <w:szCs w:val="24"/>
        </w:rPr>
        <w:t xml:space="preserve"> posible </w:t>
      </w:r>
      <w:r w:rsidR="00621571">
        <w:rPr>
          <w:rFonts w:ascii="Times New Roman" w:hAnsi="Times New Roman" w:cs="Times New Roman"/>
          <w:sz w:val="24"/>
          <w:szCs w:val="24"/>
        </w:rPr>
        <w:t xml:space="preserve">el correcto funcionamiento del sistema implantado, estos son: Líderes preparados para asumir la responsabilidad, energéticos capacitados y gestores documentales con posibilidades reales de atender el sistema. </w:t>
      </w:r>
    </w:p>
    <w:p w:rsidR="00C91657" w:rsidRDefault="00C91657" w:rsidP="00BB0DF5">
      <w:pPr>
        <w:pStyle w:val="Prrafode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 encontraron los IDEn acordes a los procesos para los dos USE que tiene la empresa. Se establecen como índices para la electricidad los kW.h/producción equivalente y para el combustible Fuel oíl</w:t>
      </w:r>
      <w:r w:rsidR="0022076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tFO</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tproducción</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Acabado+Hilo</w:t>
      </w:r>
      <w:proofErr w:type="spellEnd"/>
      <w:r>
        <w:rPr>
          <w:rFonts w:ascii="Times New Roman" w:hAnsi="Times New Roman" w:cs="Times New Roman"/>
          <w:sz w:val="24"/>
          <w:szCs w:val="24"/>
        </w:rPr>
        <w:t xml:space="preserve"> teñido.</w:t>
      </w:r>
    </w:p>
    <w:p w:rsidR="00621571" w:rsidRDefault="00C04179" w:rsidP="00BB0DF5">
      <w:pPr>
        <w:pStyle w:val="Prrafode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SGEn ha permitido dar mejor seguimiento a las metas y objetivos energéticos visualizando a todos los niveles los posibles proyectos y modificaciones que permiten ahorrar energía y disminuir los costos. </w:t>
      </w:r>
      <w:r w:rsidR="00C91657">
        <w:rPr>
          <w:rFonts w:ascii="Times New Roman" w:hAnsi="Times New Roman" w:cs="Times New Roman"/>
          <w:sz w:val="24"/>
          <w:szCs w:val="24"/>
        </w:rPr>
        <w:t>Estos deberán ir actualizándose según las nuevas tecnologías.</w:t>
      </w:r>
    </w:p>
    <w:p w:rsidR="00621571" w:rsidRPr="00621571" w:rsidRDefault="00621571" w:rsidP="00621571">
      <w:pPr>
        <w:spacing w:after="0" w:line="360" w:lineRule="auto"/>
        <w:jc w:val="both"/>
        <w:rPr>
          <w:rFonts w:ascii="Times New Roman" w:hAnsi="Times New Roman" w:cs="Times New Roman"/>
          <w:sz w:val="24"/>
          <w:szCs w:val="24"/>
        </w:rPr>
      </w:pPr>
    </w:p>
    <w:p w:rsidR="00FF3346" w:rsidRPr="00E2512D" w:rsidRDefault="00FF3346" w:rsidP="00E2512D">
      <w:pPr>
        <w:pStyle w:val="Ttulo1"/>
        <w:spacing w:before="0" w:beforeAutospacing="0" w:after="0" w:afterAutospacing="0" w:line="360" w:lineRule="auto"/>
        <w:rPr>
          <w:sz w:val="24"/>
          <w:szCs w:val="24"/>
        </w:rPr>
      </w:pPr>
      <w:r w:rsidRPr="00FF3346">
        <w:rPr>
          <w:sz w:val="24"/>
          <w:szCs w:val="24"/>
        </w:rPr>
        <w:t>5. Referencias bibliográficas</w:t>
      </w:r>
    </w:p>
    <w:p w:rsidR="00987D4E" w:rsidRDefault="00C75DCE" w:rsidP="00987D4E">
      <w:pPr>
        <w:pStyle w:val="Prrafodelista"/>
        <w:numPr>
          <w:ilvl w:val="0"/>
          <w:numId w:val="2"/>
        </w:numPr>
        <w:spacing w:after="0" w:line="360" w:lineRule="auto"/>
        <w:jc w:val="both"/>
        <w:rPr>
          <w:rFonts w:ascii="Times New Roman" w:hAnsi="Times New Roman" w:cs="Times New Roman"/>
          <w:sz w:val="24"/>
          <w:szCs w:val="24"/>
        </w:rPr>
      </w:pPr>
      <w:r w:rsidRPr="00987D4E">
        <w:rPr>
          <w:rFonts w:ascii="Times New Roman" w:hAnsi="Times New Roman" w:cs="Times New Roman"/>
          <w:sz w:val="24"/>
          <w:szCs w:val="24"/>
        </w:rPr>
        <w:t>Sornoza-Bravo</w:t>
      </w:r>
      <w:r>
        <w:rPr>
          <w:rFonts w:ascii="Times New Roman" w:hAnsi="Times New Roman" w:cs="Times New Roman"/>
          <w:sz w:val="24"/>
          <w:szCs w:val="24"/>
        </w:rPr>
        <w:t>,</w:t>
      </w:r>
      <w:r w:rsidRPr="00987D4E">
        <w:rPr>
          <w:rFonts w:ascii="Times New Roman" w:hAnsi="Times New Roman" w:cs="Times New Roman"/>
          <w:sz w:val="24"/>
          <w:szCs w:val="24"/>
        </w:rPr>
        <w:t xml:space="preserve"> </w:t>
      </w:r>
      <w:r w:rsidR="000D6F26">
        <w:rPr>
          <w:rFonts w:ascii="Times New Roman" w:hAnsi="Times New Roman" w:cs="Times New Roman"/>
          <w:sz w:val="24"/>
          <w:szCs w:val="24"/>
        </w:rPr>
        <w:t>J.</w:t>
      </w:r>
      <w:r w:rsidR="00987D4E" w:rsidRPr="00987D4E">
        <w:rPr>
          <w:rFonts w:ascii="Times New Roman" w:hAnsi="Times New Roman" w:cs="Times New Roman"/>
          <w:sz w:val="24"/>
          <w:szCs w:val="24"/>
        </w:rPr>
        <w:t xml:space="preserve"> C</w:t>
      </w:r>
      <w:r>
        <w:rPr>
          <w:rFonts w:ascii="Times New Roman" w:hAnsi="Times New Roman" w:cs="Times New Roman"/>
          <w:sz w:val="24"/>
          <w:szCs w:val="24"/>
        </w:rPr>
        <w:t>;</w:t>
      </w:r>
      <w:r w:rsidR="00987D4E">
        <w:rPr>
          <w:rFonts w:ascii="Times New Roman" w:hAnsi="Times New Roman" w:cs="Times New Roman"/>
          <w:sz w:val="24"/>
          <w:szCs w:val="24"/>
        </w:rPr>
        <w:t xml:space="preserve"> 2021. </w:t>
      </w:r>
      <w:r w:rsidR="00987D4E" w:rsidRPr="00987D4E">
        <w:rPr>
          <w:rFonts w:ascii="Times New Roman" w:hAnsi="Times New Roman" w:cs="Times New Roman"/>
          <w:sz w:val="24"/>
          <w:szCs w:val="24"/>
        </w:rPr>
        <w:t>Estado del arte de la gestión energética en la industria</w:t>
      </w:r>
      <w:r w:rsidR="00987D4E">
        <w:rPr>
          <w:rFonts w:ascii="Times New Roman" w:hAnsi="Times New Roman" w:cs="Times New Roman"/>
          <w:sz w:val="24"/>
          <w:szCs w:val="24"/>
        </w:rPr>
        <w:t>. ISSN</w:t>
      </w:r>
      <w:r w:rsidR="00531AF2">
        <w:rPr>
          <w:rFonts w:ascii="Times New Roman" w:hAnsi="Times New Roman" w:cs="Times New Roman"/>
          <w:sz w:val="24"/>
          <w:szCs w:val="24"/>
        </w:rPr>
        <w:t>: 2477</w:t>
      </w:r>
      <w:r w:rsidR="00987D4E">
        <w:rPr>
          <w:rFonts w:ascii="Times New Roman" w:hAnsi="Times New Roman" w:cs="Times New Roman"/>
          <w:sz w:val="24"/>
          <w:szCs w:val="24"/>
        </w:rPr>
        <w:t>-8818.</w:t>
      </w:r>
      <w:r w:rsidR="00713067">
        <w:rPr>
          <w:rFonts w:ascii="Times New Roman" w:hAnsi="Times New Roman" w:cs="Times New Roman"/>
          <w:sz w:val="24"/>
          <w:szCs w:val="24"/>
        </w:rPr>
        <w:t xml:space="preserve"> Revista científica Dominio de la ciencia.</w:t>
      </w:r>
    </w:p>
    <w:p w:rsidR="00987D4E" w:rsidRDefault="00C75DCE" w:rsidP="00C75DCE">
      <w:pPr>
        <w:pStyle w:val="Prrafodelista"/>
        <w:numPr>
          <w:ilvl w:val="0"/>
          <w:numId w:val="2"/>
        </w:numPr>
        <w:spacing w:after="0" w:line="360" w:lineRule="auto"/>
        <w:jc w:val="both"/>
        <w:rPr>
          <w:rFonts w:ascii="Times New Roman" w:hAnsi="Times New Roman" w:cs="Times New Roman"/>
          <w:sz w:val="24"/>
          <w:szCs w:val="24"/>
        </w:rPr>
      </w:pPr>
      <w:r w:rsidRPr="00C75DCE">
        <w:rPr>
          <w:rFonts w:ascii="Times New Roman" w:hAnsi="Times New Roman" w:cs="Times New Roman"/>
          <w:sz w:val="24"/>
          <w:szCs w:val="24"/>
        </w:rPr>
        <w:t>Lemus Aguilar, C</w:t>
      </w:r>
      <w:r w:rsidR="000D6F26">
        <w:rPr>
          <w:rFonts w:ascii="Times New Roman" w:hAnsi="Times New Roman" w:cs="Times New Roman"/>
          <w:sz w:val="24"/>
          <w:szCs w:val="24"/>
        </w:rPr>
        <w:t>.</w:t>
      </w:r>
      <w:r w:rsidRPr="00C75DCE">
        <w:rPr>
          <w:rFonts w:ascii="Times New Roman" w:hAnsi="Times New Roman" w:cs="Times New Roman"/>
          <w:sz w:val="24"/>
          <w:szCs w:val="24"/>
        </w:rPr>
        <w:t xml:space="preserve"> A</w:t>
      </w:r>
      <w:r w:rsidR="000D6F26">
        <w:rPr>
          <w:rFonts w:ascii="Times New Roman" w:hAnsi="Times New Roman" w:cs="Times New Roman"/>
          <w:sz w:val="24"/>
          <w:szCs w:val="24"/>
        </w:rPr>
        <w:t>.</w:t>
      </w:r>
      <w:r w:rsidRPr="00C75DCE">
        <w:rPr>
          <w:rFonts w:ascii="Times New Roman" w:hAnsi="Times New Roman" w:cs="Times New Roman"/>
          <w:sz w:val="24"/>
          <w:szCs w:val="24"/>
        </w:rPr>
        <w:t xml:space="preserve">; 2021. Propuesta de una metodología de implantación de la norma ISO 50001 a la industria manufacturera en </w:t>
      </w:r>
      <w:r>
        <w:rPr>
          <w:rFonts w:ascii="Times New Roman" w:hAnsi="Times New Roman" w:cs="Times New Roman"/>
          <w:sz w:val="24"/>
          <w:szCs w:val="24"/>
        </w:rPr>
        <w:t>E</w:t>
      </w:r>
      <w:r w:rsidRPr="00C75DCE">
        <w:rPr>
          <w:rFonts w:ascii="Times New Roman" w:hAnsi="Times New Roman" w:cs="Times New Roman"/>
          <w:sz w:val="24"/>
          <w:szCs w:val="24"/>
        </w:rPr>
        <w:t xml:space="preserve">l </w:t>
      </w:r>
      <w:r>
        <w:rPr>
          <w:rFonts w:ascii="Times New Roman" w:hAnsi="Times New Roman" w:cs="Times New Roman"/>
          <w:sz w:val="24"/>
          <w:szCs w:val="24"/>
        </w:rPr>
        <w:t>S</w:t>
      </w:r>
      <w:r w:rsidRPr="00C75DCE">
        <w:rPr>
          <w:rFonts w:ascii="Times New Roman" w:hAnsi="Times New Roman" w:cs="Times New Roman"/>
          <w:sz w:val="24"/>
          <w:szCs w:val="24"/>
        </w:rPr>
        <w:t>alvador</w:t>
      </w:r>
    </w:p>
    <w:p w:rsidR="000D6F26" w:rsidRDefault="000D6F26" w:rsidP="00C75DCE">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Alvarez Cancio-Bello, R. R: Montelier Hernández, S; Oviedo Regojo, A; 2021. Bases para la implementación de un Sistema de gestión energética en la UEB Ron “Luis Arcos Bergnes” de Cienfuegos basado en la NC ISO 50001:2019. Revista Universidad y Sociedad.</w:t>
      </w:r>
    </w:p>
    <w:p w:rsidR="00826BFC" w:rsidRPr="00D41EB8" w:rsidRDefault="00826BFC" w:rsidP="00826BFC">
      <w:pPr>
        <w:pStyle w:val="Prrafodelista"/>
        <w:numPr>
          <w:ilvl w:val="0"/>
          <w:numId w:val="2"/>
        </w:numPr>
        <w:spacing w:after="0" w:line="360" w:lineRule="auto"/>
        <w:jc w:val="both"/>
        <w:rPr>
          <w:rFonts w:ascii="Times New Roman" w:hAnsi="Times New Roman" w:cs="Times New Roman"/>
          <w:sz w:val="24"/>
          <w:szCs w:val="24"/>
        </w:rPr>
      </w:pPr>
      <w:r w:rsidRPr="00D41EB8">
        <w:rPr>
          <w:rFonts w:ascii="Times New Roman" w:hAnsi="Times New Roman" w:cs="Times New Roman"/>
          <w:sz w:val="24"/>
          <w:szCs w:val="24"/>
        </w:rPr>
        <w:t>Cañizares</w:t>
      </w:r>
      <w:r w:rsidR="00BB3D45" w:rsidRPr="00D41EB8">
        <w:rPr>
          <w:rFonts w:ascii="Times New Roman" w:hAnsi="Times New Roman" w:cs="Times New Roman"/>
          <w:sz w:val="24"/>
          <w:szCs w:val="24"/>
        </w:rPr>
        <w:t>-Pentón</w:t>
      </w:r>
      <w:r w:rsidRPr="00D41EB8">
        <w:rPr>
          <w:rFonts w:ascii="Times New Roman" w:hAnsi="Times New Roman" w:cs="Times New Roman"/>
          <w:sz w:val="24"/>
          <w:szCs w:val="24"/>
        </w:rPr>
        <w:t>, G., Rivero, M.F., Pérez, R., &amp; González, E. (201</w:t>
      </w:r>
      <w:r w:rsidR="00D41EB8" w:rsidRPr="00D41EB8">
        <w:rPr>
          <w:rFonts w:ascii="Times New Roman" w:hAnsi="Times New Roman" w:cs="Times New Roman"/>
          <w:sz w:val="24"/>
          <w:szCs w:val="24"/>
        </w:rPr>
        <w:t>5</w:t>
      </w:r>
      <w:r w:rsidRPr="00D41EB8">
        <w:rPr>
          <w:rFonts w:ascii="Times New Roman" w:hAnsi="Times New Roman" w:cs="Times New Roman"/>
          <w:sz w:val="24"/>
          <w:szCs w:val="24"/>
        </w:rPr>
        <w:t xml:space="preserve">). </w:t>
      </w:r>
      <w:r w:rsidR="00D41EB8" w:rsidRPr="00D41EB8">
        <w:rPr>
          <w:rFonts w:ascii="Times New Roman" w:hAnsi="Times New Roman" w:cs="Times New Roman"/>
          <w:sz w:val="24"/>
          <w:szCs w:val="24"/>
        </w:rPr>
        <w:t>Diseño e integración del sistema de gestión de la energía al sistema de gestión de la calidad en la ronera central "Agustín Rodríguez Mena"</w:t>
      </w:r>
      <w:r w:rsidRPr="00D41EB8">
        <w:rPr>
          <w:rFonts w:ascii="Times New Roman" w:hAnsi="Times New Roman" w:cs="Times New Roman"/>
          <w:sz w:val="24"/>
          <w:szCs w:val="24"/>
        </w:rPr>
        <w:t xml:space="preserve">, Cuba. </w:t>
      </w:r>
      <w:r w:rsidR="00D41EB8">
        <w:rPr>
          <w:rFonts w:ascii="Times New Roman" w:hAnsi="Times New Roman" w:cs="Times New Roman"/>
          <w:sz w:val="24"/>
          <w:szCs w:val="24"/>
        </w:rPr>
        <w:t>Semantic Scholar</w:t>
      </w:r>
    </w:p>
    <w:p w:rsidR="00826BFC" w:rsidRDefault="00826BFC" w:rsidP="00826BFC">
      <w:pPr>
        <w:pStyle w:val="Prrafodelista"/>
        <w:numPr>
          <w:ilvl w:val="0"/>
          <w:numId w:val="2"/>
        </w:numPr>
        <w:spacing w:after="0" w:line="360" w:lineRule="auto"/>
        <w:jc w:val="both"/>
        <w:rPr>
          <w:rFonts w:ascii="Times New Roman" w:hAnsi="Times New Roman" w:cs="Times New Roman"/>
          <w:sz w:val="24"/>
          <w:szCs w:val="24"/>
        </w:rPr>
      </w:pPr>
      <w:r w:rsidRPr="00826BFC">
        <w:rPr>
          <w:rFonts w:ascii="Times New Roman" w:hAnsi="Times New Roman" w:cs="Times New Roman"/>
          <w:sz w:val="24"/>
          <w:szCs w:val="24"/>
        </w:rPr>
        <w:t>Cuba. Oficina Nacional de Normalización. (2019). NCISO 50001: 2019. Sistemas de gestión de la energía</w:t>
      </w:r>
      <w:r>
        <w:rPr>
          <w:rFonts w:ascii="Times New Roman" w:hAnsi="Times New Roman" w:cs="Times New Roman"/>
          <w:sz w:val="24"/>
          <w:szCs w:val="24"/>
        </w:rPr>
        <w:t xml:space="preserve">. </w:t>
      </w:r>
      <w:r w:rsidRPr="00826BFC">
        <w:rPr>
          <w:rFonts w:ascii="Times New Roman" w:hAnsi="Times New Roman" w:cs="Times New Roman"/>
          <w:sz w:val="24"/>
          <w:szCs w:val="24"/>
        </w:rPr>
        <w:t>Requisitos con orientación para su uso.</w:t>
      </w:r>
    </w:p>
    <w:p w:rsidR="00BB3D45" w:rsidRDefault="00BB3D45" w:rsidP="00826BFC">
      <w:pPr>
        <w:pStyle w:val="Prrafodelista"/>
        <w:numPr>
          <w:ilvl w:val="0"/>
          <w:numId w:val="2"/>
        </w:numPr>
        <w:spacing w:after="0" w:line="360" w:lineRule="auto"/>
        <w:jc w:val="both"/>
        <w:rPr>
          <w:rFonts w:ascii="Times New Roman" w:hAnsi="Times New Roman" w:cs="Times New Roman"/>
          <w:sz w:val="24"/>
          <w:szCs w:val="24"/>
        </w:rPr>
      </w:pPr>
      <w:r w:rsidRPr="00826BFC">
        <w:rPr>
          <w:rFonts w:ascii="Times New Roman" w:hAnsi="Times New Roman" w:cs="Times New Roman"/>
          <w:sz w:val="24"/>
          <w:szCs w:val="24"/>
        </w:rPr>
        <w:t>Cañizares</w:t>
      </w:r>
      <w:r>
        <w:rPr>
          <w:rFonts w:ascii="Times New Roman" w:hAnsi="Times New Roman" w:cs="Times New Roman"/>
          <w:sz w:val="24"/>
          <w:szCs w:val="24"/>
        </w:rPr>
        <w:t>-Pentón</w:t>
      </w:r>
      <w:r w:rsidRPr="00826BFC">
        <w:rPr>
          <w:rFonts w:ascii="Times New Roman" w:hAnsi="Times New Roman" w:cs="Times New Roman"/>
          <w:sz w:val="24"/>
          <w:szCs w:val="24"/>
        </w:rPr>
        <w:t>, G.,</w:t>
      </w:r>
      <w:r>
        <w:rPr>
          <w:rFonts w:ascii="Times New Roman" w:hAnsi="Times New Roman" w:cs="Times New Roman"/>
          <w:sz w:val="24"/>
          <w:szCs w:val="24"/>
        </w:rPr>
        <w:t xml:space="preserve"> </w:t>
      </w:r>
      <w:r w:rsidRPr="00BB3D45">
        <w:rPr>
          <w:rFonts w:ascii="Times New Roman" w:hAnsi="Times New Roman" w:cs="Times New Roman"/>
          <w:sz w:val="24"/>
          <w:szCs w:val="24"/>
        </w:rPr>
        <w:t>Cuevas-Hernández</w:t>
      </w:r>
      <w:r>
        <w:rPr>
          <w:rFonts w:ascii="Times New Roman" w:hAnsi="Times New Roman" w:cs="Times New Roman"/>
          <w:sz w:val="24"/>
          <w:szCs w:val="24"/>
        </w:rPr>
        <w:t xml:space="preserve">, M., </w:t>
      </w:r>
      <w:r w:rsidRPr="00826BFC">
        <w:rPr>
          <w:rFonts w:ascii="Times New Roman" w:hAnsi="Times New Roman" w:cs="Times New Roman"/>
          <w:sz w:val="24"/>
          <w:szCs w:val="24"/>
        </w:rPr>
        <w:t>Pérez</w:t>
      </w:r>
      <w:r>
        <w:rPr>
          <w:rFonts w:ascii="Times New Roman" w:hAnsi="Times New Roman" w:cs="Times New Roman"/>
          <w:sz w:val="24"/>
          <w:szCs w:val="24"/>
        </w:rPr>
        <w:t>-Bermúdez</w:t>
      </w:r>
      <w:r w:rsidRPr="00826BFC">
        <w:rPr>
          <w:rFonts w:ascii="Times New Roman" w:hAnsi="Times New Roman" w:cs="Times New Roman"/>
          <w:sz w:val="24"/>
          <w:szCs w:val="24"/>
        </w:rPr>
        <w:t>, R</w:t>
      </w:r>
      <w:r>
        <w:rPr>
          <w:rFonts w:ascii="Times New Roman" w:hAnsi="Times New Roman" w:cs="Times New Roman"/>
          <w:sz w:val="24"/>
          <w:szCs w:val="24"/>
        </w:rPr>
        <w:t xml:space="preserve">., </w:t>
      </w:r>
      <w:r w:rsidRPr="00BB3D45">
        <w:rPr>
          <w:rFonts w:ascii="Times New Roman" w:hAnsi="Times New Roman" w:cs="Times New Roman"/>
          <w:sz w:val="24"/>
          <w:szCs w:val="24"/>
        </w:rPr>
        <w:t>González-Suárez</w:t>
      </w:r>
      <w:r>
        <w:rPr>
          <w:rFonts w:ascii="Times New Roman" w:hAnsi="Times New Roman" w:cs="Times New Roman"/>
          <w:sz w:val="24"/>
          <w:szCs w:val="24"/>
        </w:rPr>
        <w:t xml:space="preserve">, E. 2015. </w:t>
      </w:r>
      <w:r w:rsidR="00D41EB8">
        <w:rPr>
          <w:rFonts w:ascii="Times New Roman" w:hAnsi="Times New Roman" w:cs="Times New Roman"/>
          <w:sz w:val="24"/>
          <w:szCs w:val="24"/>
        </w:rPr>
        <w:t xml:space="preserve">La gestión energética y su impacto en el sector industrial de la provincia de Villa Clara, Cuba. </w:t>
      </w:r>
      <w:r>
        <w:rPr>
          <w:rFonts w:ascii="Times New Roman" w:hAnsi="Times New Roman" w:cs="Times New Roman"/>
          <w:sz w:val="24"/>
          <w:szCs w:val="24"/>
        </w:rPr>
        <w:t>Revista ICIDA Sobre los derivados de la caña de azúcar.</w:t>
      </w:r>
    </w:p>
    <w:p w:rsidR="005F1338" w:rsidRPr="00D41EB8" w:rsidRDefault="005F1338" w:rsidP="005F1338">
      <w:pPr>
        <w:pStyle w:val="Prrafodelista"/>
        <w:numPr>
          <w:ilvl w:val="0"/>
          <w:numId w:val="2"/>
        </w:numPr>
        <w:spacing w:after="0" w:line="360" w:lineRule="auto"/>
        <w:jc w:val="both"/>
        <w:rPr>
          <w:rFonts w:ascii="Times New Roman" w:hAnsi="Times New Roman" w:cs="Times New Roman"/>
          <w:sz w:val="24"/>
          <w:szCs w:val="24"/>
        </w:rPr>
      </w:pPr>
      <w:r w:rsidRPr="00D41EB8">
        <w:rPr>
          <w:rFonts w:ascii="Times New Roman" w:hAnsi="Times New Roman" w:cs="Times New Roman"/>
          <w:sz w:val="24"/>
          <w:szCs w:val="24"/>
        </w:rPr>
        <w:t>NC-ISO 9001:2008. Sistema de gestión de la calidad.</w:t>
      </w:r>
      <w:r w:rsidR="00D41EB8" w:rsidRPr="00D41EB8">
        <w:rPr>
          <w:rFonts w:ascii="Times New Roman" w:hAnsi="Times New Roman" w:cs="Times New Roman"/>
          <w:sz w:val="24"/>
          <w:szCs w:val="24"/>
        </w:rPr>
        <w:t xml:space="preserve"> </w:t>
      </w:r>
      <w:r w:rsidRPr="00D41EB8">
        <w:rPr>
          <w:rFonts w:ascii="Times New Roman" w:hAnsi="Times New Roman" w:cs="Times New Roman"/>
          <w:sz w:val="24"/>
          <w:szCs w:val="24"/>
        </w:rPr>
        <w:t>Requisitos. Oficina Nacional de Normalización. Cuba.</w:t>
      </w:r>
    </w:p>
    <w:sectPr w:rsidR="005F1338" w:rsidRPr="00D41EB8" w:rsidSect="009267F4">
      <w:headerReference w:type="default" r:id="rId13"/>
      <w:footerReference w:type="default" r:id="rId14"/>
      <w:pgSz w:w="11906" w:h="16838"/>
      <w:pgMar w:top="1417" w:right="1133"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460" w:rsidRDefault="00D94460" w:rsidP="00C8585B">
      <w:pPr>
        <w:spacing w:after="0" w:line="240" w:lineRule="auto"/>
      </w:pPr>
      <w:r>
        <w:separator/>
      </w:r>
    </w:p>
  </w:endnote>
  <w:endnote w:type="continuationSeparator" w:id="0">
    <w:p w:rsidR="00D94460" w:rsidRDefault="00D9446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F26DA8">
          <w:rPr>
            <w:noProof/>
          </w:rPr>
          <w:t>2</w:t>
        </w:r>
        <w:r>
          <w:rPr>
            <w:noProof/>
          </w:rPr>
          <w:fldChar w:fldCharType="end"/>
        </w:r>
      </w:p>
    </w:sdtContent>
  </w:sdt>
  <w:p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460" w:rsidRDefault="00D94460" w:rsidP="00C8585B">
      <w:pPr>
        <w:spacing w:after="0" w:line="240" w:lineRule="auto"/>
      </w:pPr>
      <w:r>
        <w:separator/>
      </w:r>
    </w:p>
  </w:footnote>
  <w:footnote w:type="continuationSeparator" w:id="0">
    <w:p w:rsidR="00D94460" w:rsidRDefault="00D94460"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s-US" w:eastAsia="es-US"/>
            </w:rPr>
            <w:drawing>
              <wp:anchor distT="0" distB="0" distL="114300" distR="114300" simplePos="0" relativeHeight="251658752" behindDoc="1" locked="0" layoutInCell="1" allowOverlap="1" wp14:anchorId="62E4611C" wp14:editId="6E6E60B0">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9267F4" w:rsidP="00F31B37">
          <w:pPr>
            <w:pStyle w:val="Encabezado"/>
            <w:jc w:val="center"/>
            <w:rPr>
              <w:rFonts w:ascii="Verdana" w:hAnsi="Verdana"/>
              <w:b/>
              <w:sz w:val="16"/>
              <w:szCs w:val="16"/>
              <w:lang w:val="es-ES_tradnl"/>
            </w:rPr>
          </w:pPr>
          <w:r>
            <w:rPr>
              <w:rFonts w:ascii="Times New Roman" w:eastAsia="Times New Roman" w:hAnsi="Times New Roman"/>
              <w:noProof/>
              <w:sz w:val="20"/>
              <w:szCs w:val="20"/>
              <w:lang w:val="es-US" w:eastAsia="es-US"/>
            </w:rPr>
            <w:drawing>
              <wp:anchor distT="0" distB="0" distL="114300" distR="114300" simplePos="0" relativeHeight="251659776" behindDoc="0" locked="0" layoutInCell="1" allowOverlap="1" wp14:anchorId="1B8020E6" wp14:editId="1D7ACCD5">
                <wp:simplePos x="0" y="0"/>
                <wp:positionH relativeFrom="column">
                  <wp:posOffset>4313555</wp:posOffset>
                </wp:positionH>
                <wp:positionV relativeFrom="paragraph">
                  <wp:posOffset>1905</wp:posOffset>
                </wp:positionV>
                <wp:extent cx="1485900" cy="304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9267F4" w:rsidRDefault="009267F4" w:rsidP="009267F4">
          <w:pPr>
            <w:pStyle w:val="Encabezado"/>
            <w:jc w:val="center"/>
            <w:rPr>
              <w:rFonts w:ascii="Verdana" w:hAnsi="Verdana"/>
              <w:b/>
              <w:sz w:val="16"/>
              <w:szCs w:val="16"/>
              <w:lang w:val="es-US"/>
            </w:rPr>
          </w:pPr>
          <w:r w:rsidRPr="009267F4">
            <w:rPr>
              <w:rFonts w:ascii="Verdana" w:hAnsi="Verdana" w:cs="Arial"/>
              <w:b/>
              <w:sz w:val="16"/>
              <w:szCs w:val="16"/>
            </w:rPr>
            <w:t>Implementación de la NC ISO 50001:2018 en la Empresa Textil Desembarco del Granma (TEXVI)</w:t>
          </w:r>
        </w:p>
      </w:tc>
    </w:tr>
  </w:tbl>
  <w:p w:rsidR="009D5E02" w:rsidRDefault="009D5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37A1F"/>
    <w:multiLevelType w:val="hybridMultilevel"/>
    <w:tmpl w:val="7478BBA4"/>
    <w:lvl w:ilvl="0" w:tplc="540A0001">
      <w:start w:val="1"/>
      <w:numFmt w:val="bullet"/>
      <w:lvlText w:val=""/>
      <w:lvlJc w:val="left"/>
      <w:pPr>
        <w:ind w:left="1428" w:hanging="360"/>
      </w:pPr>
      <w:rPr>
        <w:rFonts w:ascii="Symbol" w:hAnsi="Symbol" w:hint="default"/>
      </w:rPr>
    </w:lvl>
    <w:lvl w:ilvl="1" w:tplc="540A0003" w:tentative="1">
      <w:start w:val="1"/>
      <w:numFmt w:val="bullet"/>
      <w:lvlText w:val="o"/>
      <w:lvlJc w:val="left"/>
      <w:pPr>
        <w:ind w:left="2148" w:hanging="360"/>
      </w:pPr>
      <w:rPr>
        <w:rFonts w:ascii="Courier New" w:hAnsi="Courier New" w:cs="Courier New" w:hint="default"/>
      </w:rPr>
    </w:lvl>
    <w:lvl w:ilvl="2" w:tplc="540A0005" w:tentative="1">
      <w:start w:val="1"/>
      <w:numFmt w:val="bullet"/>
      <w:lvlText w:val=""/>
      <w:lvlJc w:val="left"/>
      <w:pPr>
        <w:ind w:left="2868" w:hanging="360"/>
      </w:pPr>
      <w:rPr>
        <w:rFonts w:ascii="Wingdings" w:hAnsi="Wingdings" w:hint="default"/>
      </w:rPr>
    </w:lvl>
    <w:lvl w:ilvl="3" w:tplc="540A0001" w:tentative="1">
      <w:start w:val="1"/>
      <w:numFmt w:val="bullet"/>
      <w:lvlText w:val=""/>
      <w:lvlJc w:val="left"/>
      <w:pPr>
        <w:ind w:left="3588" w:hanging="360"/>
      </w:pPr>
      <w:rPr>
        <w:rFonts w:ascii="Symbol" w:hAnsi="Symbol" w:hint="default"/>
      </w:rPr>
    </w:lvl>
    <w:lvl w:ilvl="4" w:tplc="540A0003" w:tentative="1">
      <w:start w:val="1"/>
      <w:numFmt w:val="bullet"/>
      <w:lvlText w:val="o"/>
      <w:lvlJc w:val="left"/>
      <w:pPr>
        <w:ind w:left="4308" w:hanging="360"/>
      </w:pPr>
      <w:rPr>
        <w:rFonts w:ascii="Courier New" w:hAnsi="Courier New" w:cs="Courier New" w:hint="default"/>
      </w:rPr>
    </w:lvl>
    <w:lvl w:ilvl="5" w:tplc="540A0005" w:tentative="1">
      <w:start w:val="1"/>
      <w:numFmt w:val="bullet"/>
      <w:lvlText w:val=""/>
      <w:lvlJc w:val="left"/>
      <w:pPr>
        <w:ind w:left="5028" w:hanging="360"/>
      </w:pPr>
      <w:rPr>
        <w:rFonts w:ascii="Wingdings" w:hAnsi="Wingdings" w:hint="default"/>
      </w:rPr>
    </w:lvl>
    <w:lvl w:ilvl="6" w:tplc="540A0001" w:tentative="1">
      <w:start w:val="1"/>
      <w:numFmt w:val="bullet"/>
      <w:lvlText w:val=""/>
      <w:lvlJc w:val="left"/>
      <w:pPr>
        <w:ind w:left="5748" w:hanging="360"/>
      </w:pPr>
      <w:rPr>
        <w:rFonts w:ascii="Symbol" w:hAnsi="Symbol" w:hint="default"/>
      </w:rPr>
    </w:lvl>
    <w:lvl w:ilvl="7" w:tplc="540A0003" w:tentative="1">
      <w:start w:val="1"/>
      <w:numFmt w:val="bullet"/>
      <w:lvlText w:val="o"/>
      <w:lvlJc w:val="left"/>
      <w:pPr>
        <w:ind w:left="6468" w:hanging="360"/>
      </w:pPr>
      <w:rPr>
        <w:rFonts w:ascii="Courier New" w:hAnsi="Courier New" w:cs="Courier New" w:hint="default"/>
      </w:rPr>
    </w:lvl>
    <w:lvl w:ilvl="8" w:tplc="540A0005" w:tentative="1">
      <w:start w:val="1"/>
      <w:numFmt w:val="bullet"/>
      <w:lvlText w:val=""/>
      <w:lvlJc w:val="left"/>
      <w:pPr>
        <w:ind w:left="7188" w:hanging="360"/>
      </w:pPr>
      <w:rPr>
        <w:rFonts w:ascii="Wingdings" w:hAnsi="Wingdings" w:hint="default"/>
      </w:rPr>
    </w:lvl>
  </w:abstractNum>
  <w:abstractNum w:abstractNumId="1">
    <w:nsid w:val="1D8C4BD1"/>
    <w:multiLevelType w:val="hybridMultilevel"/>
    <w:tmpl w:val="9996ACB6"/>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nsid w:val="64E8731B"/>
    <w:multiLevelType w:val="hybridMultilevel"/>
    <w:tmpl w:val="435C9E02"/>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559287D"/>
    <w:multiLevelType w:val="hybridMultilevel"/>
    <w:tmpl w:val="DF926C6C"/>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03D44"/>
    <w:rsid w:val="00041D96"/>
    <w:rsid w:val="00046E0A"/>
    <w:rsid w:val="00046F14"/>
    <w:rsid w:val="000A1FA9"/>
    <w:rsid w:val="000A6EC7"/>
    <w:rsid w:val="000C14DC"/>
    <w:rsid w:val="000C7CA2"/>
    <w:rsid w:val="000D6F26"/>
    <w:rsid w:val="000F5918"/>
    <w:rsid w:val="00100DC3"/>
    <w:rsid w:val="001F3AED"/>
    <w:rsid w:val="002026BF"/>
    <w:rsid w:val="0022076C"/>
    <w:rsid w:val="00246AFB"/>
    <w:rsid w:val="002D0235"/>
    <w:rsid w:val="002E0882"/>
    <w:rsid w:val="002E272A"/>
    <w:rsid w:val="002F39BC"/>
    <w:rsid w:val="003011DC"/>
    <w:rsid w:val="003555C6"/>
    <w:rsid w:val="00381656"/>
    <w:rsid w:val="0039464F"/>
    <w:rsid w:val="003F6AE1"/>
    <w:rsid w:val="00403285"/>
    <w:rsid w:val="004035A0"/>
    <w:rsid w:val="004403B7"/>
    <w:rsid w:val="0045438B"/>
    <w:rsid w:val="0046719E"/>
    <w:rsid w:val="00483A97"/>
    <w:rsid w:val="00483EA1"/>
    <w:rsid w:val="00505B78"/>
    <w:rsid w:val="00511388"/>
    <w:rsid w:val="00531AF2"/>
    <w:rsid w:val="005374BC"/>
    <w:rsid w:val="005754D8"/>
    <w:rsid w:val="005A6BC7"/>
    <w:rsid w:val="005B7B8C"/>
    <w:rsid w:val="005D25E2"/>
    <w:rsid w:val="005F1338"/>
    <w:rsid w:val="00621571"/>
    <w:rsid w:val="00622341"/>
    <w:rsid w:val="006271E4"/>
    <w:rsid w:val="00630519"/>
    <w:rsid w:val="00667F10"/>
    <w:rsid w:val="00671849"/>
    <w:rsid w:val="006A5E37"/>
    <w:rsid w:val="00713067"/>
    <w:rsid w:val="0074286C"/>
    <w:rsid w:val="007455FF"/>
    <w:rsid w:val="00786AF1"/>
    <w:rsid w:val="007D3170"/>
    <w:rsid w:val="00815971"/>
    <w:rsid w:val="008203B7"/>
    <w:rsid w:val="00826BFC"/>
    <w:rsid w:val="008608CE"/>
    <w:rsid w:val="0086618E"/>
    <w:rsid w:val="0088159E"/>
    <w:rsid w:val="00895C66"/>
    <w:rsid w:val="008A13DA"/>
    <w:rsid w:val="008A1C16"/>
    <w:rsid w:val="008A7CC8"/>
    <w:rsid w:val="009061A5"/>
    <w:rsid w:val="0091621C"/>
    <w:rsid w:val="009267F4"/>
    <w:rsid w:val="00972A58"/>
    <w:rsid w:val="00987D4E"/>
    <w:rsid w:val="009914B9"/>
    <w:rsid w:val="0099676B"/>
    <w:rsid w:val="009A75FF"/>
    <w:rsid w:val="009B1EF2"/>
    <w:rsid w:val="009D5E02"/>
    <w:rsid w:val="009D67CD"/>
    <w:rsid w:val="009E4C71"/>
    <w:rsid w:val="009F0EE2"/>
    <w:rsid w:val="009F5966"/>
    <w:rsid w:val="00A156A5"/>
    <w:rsid w:val="00A21A1F"/>
    <w:rsid w:val="00A21EF9"/>
    <w:rsid w:val="00A423AD"/>
    <w:rsid w:val="00A61D1F"/>
    <w:rsid w:val="00A62A14"/>
    <w:rsid w:val="00A9502F"/>
    <w:rsid w:val="00AB12DE"/>
    <w:rsid w:val="00AC2C1E"/>
    <w:rsid w:val="00AE534B"/>
    <w:rsid w:val="00B2024E"/>
    <w:rsid w:val="00B25A87"/>
    <w:rsid w:val="00B47CC7"/>
    <w:rsid w:val="00B64764"/>
    <w:rsid w:val="00B80E97"/>
    <w:rsid w:val="00BA7A04"/>
    <w:rsid w:val="00BB0DF5"/>
    <w:rsid w:val="00BB3D45"/>
    <w:rsid w:val="00BC4800"/>
    <w:rsid w:val="00BC770B"/>
    <w:rsid w:val="00BE645B"/>
    <w:rsid w:val="00C04179"/>
    <w:rsid w:val="00C17100"/>
    <w:rsid w:val="00C20F59"/>
    <w:rsid w:val="00C330F5"/>
    <w:rsid w:val="00C51816"/>
    <w:rsid w:val="00C75DCE"/>
    <w:rsid w:val="00C831AA"/>
    <w:rsid w:val="00C8585B"/>
    <w:rsid w:val="00C91657"/>
    <w:rsid w:val="00CD2BC3"/>
    <w:rsid w:val="00CF729D"/>
    <w:rsid w:val="00D035F8"/>
    <w:rsid w:val="00D0440E"/>
    <w:rsid w:val="00D10026"/>
    <w:rsid w:val="00D36D1C"/>
    <w:rsid w:val="00D41EB8"/>
    <w:rsid w:val="00D55AB2"/>
    <w:rsid w:val="00D60836"/>
    <w:rsid w:val="00D73DE9"/>
    <w:rsid w:val="00D76ED4"/>
    <w:rsid w:val="00D83F9E"/>
    <w:rsid w:val="00D94460"/>
    <w:rsid w:val="00DA2398"/>
    <w:rsid w:val="00DE0377"/>
    <w:rsid w:val="00E02EF1"/>
    <w:rsid w:val="00E2512D"/>
    <w:rsid w:val="00E32542"/>
    <w:rsid w:val="00E40131"/>
    <w:rsid w:val="00E912D0"/>
    <w:rsid w:val="00E9146D"/>
    <w:rsid w:val="00EA0226"/>
    <w:rsid w:val="00EE4FE5"/>
    <w:rsid w:val="00F26DA8"/>
    <w:rsid w:val="00F31B37"/>
    <w:rsid w:val="00F31ECB"/>
    <w:rsid w:val="00F70E71"/>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link w:val="Ttulo1Car"/>
    <w:uiPriority w:val="9"/>
    <w:qFormat/>
    <w:rsid w:val="009267F4"/>
    <w:pPr>
      <w:spacing w:before="100" w:beforeAutospacing="1" w:after="100" w:afterAutospacing="1" w:line="240" w:lineRule="auto"/>
      <w:outlineLvl w:val="0"/>
    </w:pPr>
    <w:rPr>
      <w:rFonts w:ascii="Times New Roman" w:eastAsia="Times New Roman" w:hAnsi="Times New Roman" w:cs="Times New Roman"/>
      <w:b/>
      <w:bCs/>
      <w:kern w:val="36"/>
      <w:sz w:val="48"/>
      <w:szCs w:val="48"/>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1"/>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1Car">
    <w:name w:val="Título 1 Car"/>
    <w:basedOn w:val="Fuentedeprrafopredeter"/>
    <w:link w:val="Ttulo1"/>
    <w:uiPriority w:val="9"/>
    <w:rsid w:val="009267F4"/>
    <w:rPr>
      <w:rFonts w:ascii="Times New Roman" w:eastAsia="Times New Roman" w:hAnsi="Times New Roman" w:cs="Times New Roman"/>
      <w:b/>
      <w:bCs/>
      <w:kern w:val="36"/>
      <w:sz w:val="48"/>
      <w:szCs w:val="48"/>
      <w:lang w:val="es-US" w:eastAsia="es-US"/>
    </w:rPr>
  </w:style>
  <w:style w:type="paragraph" w:styleId="HTMLconformatoprevio">
    <w:name w:val="HTML Preformatted"/>
    <w:basedOn w:val="Normal"/>
    <w:link w:val="HTMLconformatoprevioCar"/>
    <w:uiPriority w:val="99"/>
    <w:semiHidden/>
    <w:unhideWhenUsed/>
    <w:rsid w:val="00926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US" w:eastAsia="es-US"/>
    </w:rPr>
  </w:style>
  <w:style w:type="character" w:customStyle="1" w:styleId="HTMLconformatoprevioCar">
    <w:name w:val="HTML con formato previo Car"/>
    <w:basedOn w:val="Fuentedeprrafopredeter"/>
    <w:link w:val="HTMLconformatoprevio"/>
    <w:uiPriority w:val="99"/>
    <w:semiHidden/>
    <w:rsid w:val="009267F4"/>
    <w:rPr>
      <w:rFonts w:ascii="Courier New" w:eastAsia="Times New Roman" w:hAnsi="Courier New" w:cs="Courier New"/>
      <w:sz w:val="20"/>
      <w:szCs w:val="20"/>
      <w:lang w:val="es-US" w:eastAsia="es-US"/>
    </w:rPr>
  </w:style>
  <w:style w:type="character" w:customStyle="1" w:styleId="y2iqfc">
    <w:name w:val="y2iqfc"/>
    <w:basedOn w:val="Fuentedeprrafopredeter"/>
    <w:rsid w:val="009267F4"/>
  </w:style>
  <w:style w:type="character" w:styleId="Textodelmarcadordeposicin">
    <w:name w:val="Placeholder Text"/>
    <w:basedOn w:val="Fuentedeprrafopredeter"/>
    <w:uiPriority w:val="99"/>
    <w:semiHidden/>
    <w:rsid w:val="005D25E2"/>
    <w:rPr>
      <w:color w:val="808080"/>
    </w:rPr>
  </w:style>
  <w:style w:type="paragraph" w:styleId="Lista">
    <w:name w:val="List"/>
    <w:basedOn w:val="Normal"/>
    <w:uiPriority w:val="99"/>
    <w:rsid w:val="003555C6"/>
    <w:pPr>
      <w:spacing w:after="0" w:line="240" w:lineRule="auto"/>
      <w:ind w:left="283" w:hanging="283"/>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link w:val="Ttulo1Car"/>
    <w:uiPriority w:val="9"/>
    <w:qFormat/>
    <w:rsid w:val="009267F4"/>
    <w:pPr>
      <w:spacing w:before="100" w:beforeAutospacing="1" w:after="100" w:afterAutospacing="1" w:line="240" w:lineRule="auto"/>
      <w:outlineLvl w:val="0"/>
    </w:pPr>
    <w:rPr>
      <w:rFonts w:ascii="Times New Roman" w:eastAsia="Times New Roman" w:hAnsi="Times New Roman" w:cs="Times New Roman"/>
      <w:b/>
      <w:bCs/>
      <w:kern w:val="36"/>
      <w:sz w:val="48"/>
      <w:szCs w:val="48"/>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1"/>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1Car">
    <w:name w:val="Título 1 Car"/>
    <w:basedOn w:val="Fuentedeprrafopredeter"/>
    <w:link w:val="Ttulo1"/>
    <w:uiPriority w:val="9"/>
    <w:rsid w:val="009267F4"/>
    <w:rPr>
      <w:rFonts w:ascii="Times New Roman" w:eastAsia="Times New Roman" w:hAnsi="Times New Roman" w:cs="Times New Roman"/>
      <w:b/>
      <w:bCs/>
      <w:kern w:val="36"/>
      <w:sz w:val="48"/>
      <w:szCs w:val="48"/>
      <w:lang w:val="es-US" w:eastAsia="es-US"/>
    </w:rPr>
  </w:style>
  <w:style w:type="paragraph" w:styleId="HTMLconformatoprevio">
    <w:name w:val="HTML Preformatted"/>
    <w:basedOn w:val="Normal"/>
    <w:link w:val="HTMLconformatoprevioCar"/>
    <w:uiPriority w:val="99"/>
    <w:semiHidden/>
    <w:unhideWhenUsed/>
    <w:rsid w:val="00926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US" w:eastAsia="es-US"/>
    </w:rPr>
  </w:style>
  <w:style w:type="character" w:customStyle="1" w:styleId="HTMLconformatoprevioCar">
    <w:name w:val="HTML con formato previo Car"/>
    <w:basedOn w:val="Fuentedeprrafopredeter"/>
    <w:link w:val="HTMLconformatoprevio"/>
    <w:uiPriority w:val="99"/>
    <w:semiHidden/>
    <w:rsid w:val="009267F4"/>
    <w:rPr>
      <w:rFonts w:ascii="Courier New" w:eastAsia="Times New Roman" w:hAnsi="Courier New" w:cs="Courier New"/>
      <w:sz w:val="20"/>
      <w:szCs w:val="20"/>
      <w:lang w:val="es-US" w:eastAsia="es-US"/>
    </w:rPr>
  </w:style>
  <w:style w:type="character" w:customStyle="1" w:styleId="y2iqfc">
    <w:name w:val="y2iqfc"/>
    <w:basedOn w:val="Fuentedeprrafopredeter"/>
    <w:rsid w:val="009267F4"/>
  </w:style>
  <w:style w:type="character" w:styleId="Textodelmarcadordeposicin">
    <w:name w:val="Placeholder Text"/>
    <w:basedOn w:val="Fuentedeprrafopredeter"/>
    <w:uiPriority w:val="99"/>
    <w:semiHidden/>
    <w:rsid w:val="005D25E2"/>
    <w:rPr>
      <w:color w:val="808080"/>
    </w:rPr>
  </w:style>
  <w:style w:type="paragraph" w:styleId="Lista">
    <w:name w:val="List"/>
    <w:basedOn w:val="Normal"/>
    <w:uiPriority w:val="99"/>
    <w:rsid w:val="003555C6"/>
    <w:pPr>
      <w:spacing w:after="0" w:line="240" w:lineRule="auto"/>
      <w:ind w:left="283" w:hanging="283"/>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5462">
      <w:bodyDiv w:val="1"/>
      <w:marLeft w:val="0"/>
      <w:marRight w:val="0"/>
      <w:marTop w:val="0"/>
      <w:marBottom w:val="0"/>
      <w:divBdr>
        <w:top w:val="none" w:sz="0" w:space="0" w:color="auto"/>
        <w:left w:val="none" w:sz="0" w:space="0" w:color="auto"/>
        <w:bottom w:val="none" w:sz="0" w:space="0" w:color="auto"/>
        <w:right w:val="none" w:sz="0" w:space="0" w:color="auto"/>
      </w:divBdr>
    </w:div>
    <w:div w:id="71859402">
      <w:bodyDiv w:val="1"/>
      <w:marLeft w:val="0"/>
      <w:marRight w:val="0"/>
      <w:marTop w:val="0"/>
      <w:marBottom w:val="0"/>
      <w:divBdr>
        <w:top w:val="none" w:sz="0" w:space="0" w:color="auto"/>
        <w:left w:val="none" w:sz="0" w:space="0" w:color="auto"/>
        <w:bottom w:val="none" w:sz="0" w:space="0" w:color="auto"/>
        <w:right w:val="none" w:sz="0" w:space="0" w:color="auto"/>
      </w:divBdr>
      <w:divsChild>
        <w:div w:id="1322075041">
          <w:marLeft w:val="0"/>
          <w:marRight w:val="0"/>
          <w:marTop w:val="0"/>
          <w:marBottom w:val="0"/>
          <w:divBdr>
            <w:top w:val="none" w:sz="0" w:space="0" w:color="auto"/>
            <w:left w:val="none" w:sz="0" w:space="0" w:color="auto"/>
            <w:bottom w:val="none" w:sz="0" w:space="0" w:color="auto"/>
            <w:right w:val="none" w:sz="0" w:space="0" w:color="auto"/>
          </w:divBdr>
        </w:div>
      </w:divsChild>
    </w:div>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640039049">
      <w:bodyDiv w:val="1"/>
      <w:marLeft w:val="0"/>
      <w:marRight w:val="0"/>
      <w:marTop w:val="0"/>
      <w:marBottom w:val="0"/>
      <w:divBdr>
        <w:top w:val="none" w:sz="0" w:space="0" w:color="auto"/>
        <w:left w:val="none" w:sz="0" w:space="0" w:color="auto"/>
        <w:bottom w:val="none" w:sz="0" w:space="0" w:color="auto"/>
        <w:right w:val="none" w:sz="0" w:space="0" w:color="auto"/>
      </w:divBdr>
    </w:div>
    <w:div w:id="1639796567">
      <w:bodyDiv w:val="1"/>
      <w:marLeft w:val="0"/>
      <w:marRight w:val="0"/>
      <w:marTop w:val="0"/>
      <w:marBottom w:val="0"/>
      <w:divBdr>
        <w:top w:val="none" w:sz="0" w:space="0" w:color="auto"/>
        <w:left w:val="none" w:sz="0" w:space="0" w:color="auto"/>
        <w:bottom w:val="none" w:sz="0" w:space="0" w:color="auto"/>
        <w:right w:val="none" w:sz="0" w:space="0" w:color="auto"/>
      </w:divBdr>
    </w:div>
    <w:div w:id="1747655034">
      <w:bodyDiv w:val="1"/>
      <w:marLeft w:val="0"/>
      <w:marRight w:val="0"/>
      <w:marTop w:val="0"/>
      <w:marBottom w:val="0"/>
      <w:divBdr>
        <w:top w:val="none" w:sz="0" w:space="0" w:color="auto"/>
        <w:left w:val="none" w:sz="0" w:space="0" w:color="auto"/>
        <w:bottom w:val="none" w:sz="0" w:space="0" w:color="auto"/>
        <w:right w:val="none" w:sz="0" w:space="0" w:color="auto"/>
      </w:divBdr>
    </w:div>
    <w:div w:id="1786850112">
      <w:bodyDiv w:val="1"/>
      <w:marLeft w:val="0"/>
      <w:marRight w:val="0"/>
      <w:marTop w:val="0"/>
      <w:marBottom w:val="0"/>
      <w:divBdr>
        <w:top w:val="none" w:sz="0" w:space="0" w:color="auto"/>
        <w:left w:val="none" w:sz="0" w:space="0" w:color="auto"/>
        <w:bottom w:val="none" w:sz="0" w:space="0" w:color="auto"/>
        <w:right w:val="none" w:sz="0" w:space="0" w:color="auto"/>
      </w:divBdr>
    </w:div>
    <w:div w:id="209901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ngeles@texvi.cu"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4%20MARIA%20DE%20LOS%20A\Informes%20Direcci&#243;n%20General\Consejos%20de%20Direccion\2023\1%20Enero\1%20DT%20MENSUAL202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4%20MARIA%20DE%20LOS%20A\Informes%20Direcci&#243;n%20General\Consejos%20de%20Direccion\2023\1%20Enero\1%20DT%20MENSUAL2022.xls"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s-US"/>
              <a:t>USE. Empresa Textil, año 2022</a:t>
            </a:r>
          </a:p>
        </c:rich>
      </c:tx>
      <c:overlay val="0"/>
      <c:spPr>
        <a:noFill/>
        <a:ln w="25400">
          <a:noFill/>
        </a:ln>
      </c:spPr>
    </c:title>
    <c:autoTitleDeleted val="0"/>
    <c:plotArea>
      <c:layout>
        <c:manualLayout>
          <c:layoutTarget val="inner"/>
          <c:xMode val="edge"/>
          <c:yMode val="edge"/>
          <c:x val="0.12851159230096235"/>
          <c:y val="0.25083333333333335"/>
          <c:w val="0.74067125984251969"/>
          <c:h val="0.41917541557305338"/>
        </c:manualLayout>
      </c:layout>
      <c:barChart>
        <c:barDir val="col"/>
        <c:grouping val="clustered"/>
        <c:varyColors val="0"/>
        <c:ser>
          <c:idx val="0"/>
          <c:order val="0"/>
          <c:tx>
            <c:v>tcc</c:v>
          </c:tx>
          <c:spPr>
            <a:solidFill>
              <a:srgbClr val="0070C0"/>
            </a:solidFill>
            <a:ln w="25400">
              <a:noFill/>
            </a:ln>
          </c:spPr>
          <c:invertIfNegative val="0"/>
          <c:cat>
            <c:strRef>
              <c:f>TCC!$A$138:$A$146</c:f>
              <c:strCache>
                <c:ptCount val="9"/>
                <c:pt idx="0">
                  <c:v>Fuel Oíl</c:v>
                </c:pt>
                <c:pt idx="1">
                  <c:v>Energía Eléctrica.</c:v>
                </c:pt>
                <c:pt idx="2">
                  <c:v>Gasolina</c:v>
                </c:pt>
                <c:pt idx="3">
                  <c:v>Diesel</c:v>
                </c:pt>
                <c:pt idx="4">
                  <c:v>GLP</c:v>
                </c:pt>
                <c:pt idx="5">
                  <c:v>Aceite Lub.</c:v>
                </c:pt>
                <c:pt idx="6">
                  <c:v>Kesosene</c:v>
                </c:pt>
                <c:pt idx="7">
                  <c:v>Grasa Lub.</c:v>
                </c:pt>
                <c:pt idx="8">
                  <c:v>Solventes</c:v>
                </c:pt>
              </c:strCache>
            </c:strRef>
          </c:cat>
          <c:val>
            <c:numRef>
              <c:f>TCC!$E$138:$E$146</c:f>
              <c:numCache>
                <c:formatCode>General</c:formatCode>
                <c:ptCount val="9"/>
                <c:pt idx="0">
                  <c:v>1339.6539999999998</c:v>
                </c:pt>
                <c:pt idx="1">
                  <c:v>880.85463387874699</c:v>
                </c:pt>
                <c:pt idx="2">
                  <c:v>49.097320483909897</c:v>
                </c:pt>
                <c:pt idx="3">
                  <c:v>27.181560261235891</c:v>
                </c:pt>
                <c:pt idx="4">
                  <c:v>12.325319261850556</c:v>
                </c:pt>
                <c:pt idx="5">
                  <c:v>3.1715847182360322</c:v>
                </c:pt>
                <c:pt idx="6">
                  <c:v>1.8640192072249697</c:v>
                </c:pt>
                <c:pt idx="7">
                  <c:v>0.19800000000000004</c:v>
                </c:pt>
                <c:pt idx="8">
                  <c:v>0</c:v>
                </c:pt>
              </c:numCache>
            </c:numRef>
          </c:val>
        </c:ser>
        <c:dLbls>
          <c:showLegendKey val="0"/>
          <c:showVal val="0"/>
          <c:showCatName val="0"/>
          <c:showSerName val="0"/>
          <c:showPercent val="0"/>
          <c:showBubbleSize val="0"/>
        </c:dLbls>
        <c:gapWidth val="150"/>
        <c:axId val="325571584"/>
        <c:axId val="170666816"/>
      </c:barChart>
      <c:lineChart>
        <c:grouping val="standard"/>
        <c:varyColors val="0"/>
        <c:ser>
          <c:idx val="1"/>
          <c:order val="1"/>
          <c:spPr>
            <a:ln w="25400">
              <a:solidFill>
                <a:srgbClr val="FF0000"/>
              </a:solidFill>
              <a:prstDash val="sysDash"/>
            </a:ln>
          </c:spPr>
          <c:marker>
            <c:symbol val="none"/>
          </c:marker>
          <c:dLbls>
            <c:dLbl>
              <c:idx val="0"/>
              <c:layout>
                <c:manualLayout>
                  <c:x val="-5.216059103723146E-2"/>
                  <c:y val="-3.0343205042285631E-2"/>
                </c:manualLayout>
              </c:layout>
              <c:dLblPos val="r"/>
              <c:showLegendKey val="0"/>
              <c:showVal val="1"/>
              <c:showCatName val="0"/>
              <c:showSerName val="0"/>
              <c:showPercent val="0"/>
              <c:showBubbleSize val="0"/>
            </c:dLbl>
            <c:dLbl>
              <c:idx val="1"/>
              <c:layout>
                <c:manualLayout>
                  <c:x val="-2.314805093807723E-2"/>
                  <c:y val="5.4016274450651242E-2"/>
                </c:manualLayout>
              </c:layout>
              <c:dLblPos val="r"/>
              <c:showLegendKey val="0"/>
              <c:showVal val="1"/>
              <c:showCatName val="0"/>
              <c:showSerName val="0"/>
              <c:showPercent val="0"/>
              <c:showBubbleSize val="0"/>
            </c:dLbl>
            <c:dLbl>
              <c:idx val="2"/>
              <c:layout>
                <c:manualLayout>
                  <c:x val="1.2345679012345679E-3"/>
                  <c:y val="5.2477105828472391E-2"/>
                </c:manualLayout>
              </c:layout>
              <c:dLblPos val="r"/>
              <c:showLegendKey val="0"/>
              <c:showVal val="1"/>
              <c:showCatName val="0"/>
              <c:showSerName val="0"/>
              <c:showPercent val="0"/>
              <c:showBubbleSize val="0"/>
            </c:dLbl>
            <c:dLbl>
              <c:idx val="3"/>
              <c:layout>
                <c:manualLayout>
                  <c:x val="1.6666666666666566E-2"/>
                  <c:y val="6.9444444444444406E-2"/>
                </c:manualLayout>
              </c:layout>
              <c:dLblPos val="r"/>
              <c:showLegendKey val="0"/>
              <c:showVal val="1"/>
              <c:showCatName val="0"/>
              <c:showSerName val="0"/>
              <c:showPercent val="0"/>
              <c:showBubbleSize val="0"/>
            </c:dLbl>
            <c:dLbl>
              <c:idx val="4"/>
              <c:layout>
                <c:manualLayout>
                  <c:x val="8.3333333333333332E-3"/>
                  <c:y val="7.407407407407407E-2"/>
                </c:manualLayout>
              </c:layout>
              <c:dLblPos val="r"/>
              <c:showLegendKey val="0"/>
              <c:showVal val="1"/>
              <c:showCatName val="0"/>
              <c:showSerName val="0"/>
              <c:showPercent val="0"/>
              <c:showBubbleSize val="0"/>
            </c:dLbl>
            <c:dLbl>
              <c:idx val="5"/>
              <c:layout>
                <c:manualLayout>
                  <c:x val="-3.4488188976377955E-3"/>
                  <c:y val="6.6855232707636922E-2"/>
                </c:manualLayout>
              </c:layout>
              <c:dLblPos val="r"/>
              <c:showLegendKey val="0"/>
              <c:showVal val="1"/>
              <c:showCatName val="0"/>
              <c:showSerName val="0"/>
              <c:showPercent val="0"/>
              <c:showBubbleSize val="0"/>
            </c:dLbl>
            <c:dLbl>
              <c:idx val="6"/>
              <c:layout>
                <c:manualLayout>
                  <c:x val="-2.4691358024691358E-3"/>
                  <c:y val="4.1141681666238106E-2"/>
                </c:manualLayout>
              </c:layout>
              <c:dLblPos val="r"/>
              <c:showLegendKey val="0"/>
              <c:showVal val="1"/>
              <c:showCatName val="0"/>
              <c:showSerName val="0"/>
              <c:showPercent val="0"/>
              <c:showBubbleSize val="0"/>
            </c:dLbl>
            <c:dLbl>
              <c:idx val="8"/>
              <c:delete val="1"/>
            </c:dLbl>
            <c:spPr>
              <a:noFill/>
              <a:ln w="25400">
                <a:noFill/>
              </a:ln>
            </c:spPr>
            <c:txPr>
              <a:bodyPr/>
              <a:lstStyle/>
              <a:p>
                <a:pPr>
                  <a:defRPr sz="900" b="0" i="0" u="none" strike="noStrike" baseline="0">
                    <a:solidFill>
                      <a:srgbClr val="333333"/>
                    </a:solidFill>
                    <a:latin typeface="Calibri"/>
                    <a:ea typeface="Calibri"/>
                    <a:cs typeface="Calibri"/>
                  </a:defRPr>
                </a:pPr>
                <a:endParaRPr lang="es-US"/>
              </a:p>
            </c:txPr>
            <c:showLegendKey val="0"/>
            <c:showVal val="1"/>
            <c:showCatName val="0"/>
            <c:showSerName val="0"/>
            <c:showPercent val="0"/>
            <c:showBubbleSize val="0"/>
            <c:showLeaderLines val="0"/>
          </c:dLbls>
          <c:cat>
            <c:numLit>
              <c:formatCode>General</c:formatCode>
              <c:ptCount val="1"/>
              <c:pt idx="0">
                <c:v>0</c:v>
              </c:pt>
            </c:numLit>
          </c:cat>
          <c:val>
            <c:numRef>
              <c:f>TCC!$G$138:$G$146</c:f>
              <c:numCache>
                <c:formatCode>0.0</c:formatCode>
                <c:ptCount val="9"/>
                <c:pt idx="0">
                  <c:v>57.88476513771117</c:v>
                </c:pt>
                <c:pt idx="1">
                  <c:v>95.945386464214749</c:v>
                </c:pt>
                <c:pt idx="2">
                  <c:v>98.066819957566068</c:v>
                </c:pt>
                <c:pt idx="3">
                  <c:v>99.241301004014019</c:v>
                </c:pt>
                <c:pt idx="4">
                  <c:v>99.77386255402584</c:v>
                </c:pt>
                <c:pt idx="5">
                  <c:v>99.910902742409888</c:v>
                </c:pt>
                <c:pt idx="6">
                  <c:v>99.991444668924046</c:v>
                </c:pt>
                <c:pt idx="7">
                  <c:v>100.00000000000003</c:v>
                </c:pt>
                <c:pt idx="8">
                  <c:v>100.00000000000003</c:v>
                </c:pt>
              </c:numCache>
            </c:numRef>
          </c:val>
          <c:smooth val="0"/>
        </c:ser>
        <c:dLbls>
          <c:showLegendKey val="0"/>
          <c:showVal val="0"/>
          <c:showCatName val="0"/>
          <c:showSerName val="0"/>
          <c:showPercent val="0"/>
          <c:showBubbleSize val="0"/>
        </c:dLbls>
        <c:marker val="1"/>
        <c:smooth val="0"/>
        <c:axId val="371035648"/>
        <c:axId val="170667392"/>
      </c:lineChart>
      <c:catAx>
        <c:axId val="32557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000000"/>
                </a:solidFill>
                <a:latin typeface="Calibri"/>
                <a:ea typeface="Calibri"/>
                <a:cs typeface="Calibri"/>
              </a:defRPr>
            </a:pPr>
            <a:endParaRPr lang="es-US"/>
          </a:p>
        </c:txPr>
        <c:crossAx val="170666816"/>
        <c:crosses val="autoZero"/>
        <c:auto val="1"/>
        <c:lblAlgn val="ctr"/>
        <c:lblOffset val="100"/>
        <c:noMultiLvlLbl val="0"/>
      </c:catAx>
      <c:valAx>
        <c:axId val="170666816"/>
        <c:scaling>
          <c:orientation val="minMax"/>
          <c:max val="2634"/>
          <c:min val="0"/>
        </c:scaling>
        <c:delete val="0"/>
        <c:axPos val="l"/>
        <c:title>
          <c:tx>
            <c:rich>
              <a:bodyPr rot="0" vert="horz"/>
              <a:lstStyle/>
              <a:p>
                <a:pPr algn="ctr">
                  <a:defRPr sz="1000" b="0" i="0" u="none" strike="noStrike" baseline="0">
                    <a:solidFill>
                      <a:srgbClr val="333333"/>
                    </a:solidFill>
                    <a:latin typeface="Arial"/>
                    <a:ea typeface="Arial"/>
                    <a:cs typeface="Arial"/>
                  </a:defRPr>
                </a:pPr>
                <a:r>
                  <a:rPr lang="es-US"/>
                  <a:t>tcc</a:t>
                </a:r>
              </a:p>
            </c:rich>
          </c:tx>
          <c:layout>
            <c:manualLayout>
              <c:xMode val="edge"/>
              <c:yMode val="edge"/>
              <c:x val="3.6111278439921783E-2"/>
              <c:y val="0.16832410800135131"/>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sz="900" b="0" i="0" u="none" strike="noStrike" baseline="0">
                <a:solidFill>
                  <a:srgbClr val="000000"/>
                </a:solidFill>
                <a:latin typeface="Calibri"/>
                <a:ea typeface="Calibri"/>
                <a:cs typeface="Calibri"/>
              </a:defRPr>
            </a:pPr>
            <a:endParaRPr lang="es-US"/>
          </a:p>
        </c:txPr>
        <c:crossAx val="325571584"/>
        <c:crosses val="autoZero"/>
        <c:crossBetween val="between"/>
      </c:valAx>
      <c:catAx>
        <c:axId val="371035648"/>
        <c:scaling>
          <c:orientation val="minMax"/>
        </c:scaling>
        <c:delete val="1"/>
        <c:axPos val="b"/>
        <c:numFmt formatCode="General" sourceLinked="1"/>
        <c:majorTickMark val="out"/>
        <c:minorTickMark val="none"/>
        <c:tickLblPos val="nextTo"/>
        <c:crossAx val="170667392"/>
        <c:crosses val="autoZero"/>
        <c:auto val="1"/>
        <c:lblAlgn val="ctr"/>
        <c:lblOffset val="100"/>
        <c:noMultiLvlLbl val="0"/>
      </c:catAx>
      <c:valAx>
        <c:axId val="170667392"/>
        <c:scaling>
          <c:orientation val="minMax"/>
          <c:max val="100"/>
          <c:min val="12"/>
        </c:scaling>
        <c:delete val="0"/>
        <c:axPos val="r"/>
        <c:title>
          <c:tx>
            <c:rich>
              <a:bodyPr rot="0" vert="horz"/>
              <a:lstStyle/>
              <a:p>
                <a:pPr algn="ctr">
                  <a:defRPr sz="1000" b="0" i="0" u="none" strike="noStrike" baseline="0">
                    <a:solidFill>
                      <a:srgbClr val="333333"/>
                    </a:solidFill>
                    <a:latin typeface="Arial"/>
                    <a:ea typeface="Arial"/>
                    <a:cs typeface="Arial"/>
                  </a:defRPr>
                </a:pPr>
                <a:r>
                  <a:rPr lang="es-US"/>
                  <a:t>% acum.</a:t>
                </a:r>
              </a:p>
            </c:rich>
          </c:tx>
          <c:layout>
            <c:manualLayout>
              <c:xMode val="edge"/>
              <c:yMode val="edge"/>
              <c:x val="0.84263882315257044"/>
              <c:y val="9.374877645244839E-2"/>
            </c:manualLayout>
          </c:layout>
          <c:overlay val="0"/>
          <c:spPr>
            <a:noFill/>
            <a:ln w="25400">
              <a:noFill/>
            </a:ln>
          </c:spPr>
        </c:title>
        <c:numFmt formatCode="0.0" sourceLinked="1"/>
        <c:majorTickMark val="out"/>
        <c:minorTickMark val="none"/>
        <c:tickLblPos val="nextTo"/>
        <c:spPr>
          <a:ln w="9525">
            <a:noFill/>
          </a:ln>
        </c:spPr>
        <c:txPr>
          <a:bodyPr rot="0" vert="horz"/>
          <a:lstStyle/>
          <a:p>
            <a:pPr>
              <a:defRPr sz="900" b="0" i="0" u="none" strike="noStrike" baseline="0">
                <a:solidFill>
                  <a:srgbClr val="000000"/>
                </a:solidFill>
                <a:latin typeface="Calibri"/>
                <a:ea typeface="Calibri"/>
                <a:cs typeface="Calibri"/>
              </a:defRPr>
            </a:pPr>
            <a:endParaRPr lang="es-US"/>
          </a:p>
        </c:txPr>
        <c:crossAx val="371035648"/>
        <c:crosses val="max"/>
        <c:crossBetween val="between"/>
        <c:majorUnit val="20"/>
      </c:valAx>
      <c:spPr>
        <a:noFill/>
        <a:ln w="25400">
          <a:noFill/>
        </a:ln>
      </c:spPr>
    </c:plotArea>
    <c:legend>
      <c:legendPos val="b"/>
      <c:overlay val="0"/>
      <c:spPr>
        <a:noFill/>
        <a:ln w="25400">
          <a:noFill/>
        </a:ln>
      </c:spPr>
      <c:txPr>
        <a:bodyPr/>
        <a:lstStyle/>
        <a:p>
          <a:pPr>
            <a:defRPr sz="595" b="0" i="0" u="none" strike="noStrike" baseline="0">
              <a:solidFill>
                <a:srgbClr val="000000"/>
              </a:solidFill>
              <a:latin typeface="Arial"/>
              <a:ea typeface="Arial"/>
              <a:cs typeface="Arial"/>
            </a:defRPr>
          </a:pPr>
          <a:endParaRPr lang="es-US"/>
        </a:p>
      </c:txPr>
    </c:legend>
    <c:plotVisOnly val="1"/>
    <c:dispBlanksAs val="gap"/>
    <c:showDLblsOverMax val="0"/>
  </c:chart>
  <c:spPr>
    <a:solidFill>
      <a:schemeClr val="bg1"/>
    </a:solidFill>
    <a:ln w="22225" cap="flat" cmpd="sng" algn="ctr">
      <a:solidFill>
        <a:srgbClr val="FF0000"/>
      </a:solidFill>
      <a:round/>
    </a:ln>
    <a:effectLst/>
  </c:spPr>
  <c:txPr>
    <a:bodyPr/>
    <a:lstStyle/>
    <a:p>
      <a:pPr>
        <a:defRPr sz="1000" b="0" i="0" u="none" strike="noStrike" baseline="0">
          <a:solidFill>
            <a:srgbClr val="000000"/>
          </a:solidFill>
          <a:latin typeface="Calibri"/>
          <a:ea typeface="Calibri"/>
          <a:cs typeface="Calibri"/>
        </a:defRPr>
      </a:pPr>
      <a:endParaRPr lang="es-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s-US" sz="1100" b="1" i="0" u="none" strike="noStrike" baseline="0">
                <a:solidFill>
                  <a:srgbClr val="000000"/>
                </a:solidFill>
                <a:latin typeface="Arial"/>
                <a:cs typeface="Arial"/>
              </a:rPr>
              <a:t>Estructura de consumo Fuel Oil. Empresa Textil, </a:t>
            </a:r>
          </a:p>
          <a:p>
            <a:pPr>
              <a:defRPr sz="1000" b="0" i="0" u="none" strike="noStrike" baseline="0">
                <a:solidFill>
                  <a:srgbClr val="000000"/>
                </a:solidFill>
                <a:latin typeface="Calibri"/>
                <a:ea typeface="Calibri"/>
                <a:cs typeface="Calibri"/>
              </a:defRPr>
            </a:pPr>
            <a:r>
              <a:rPr lang="es-US" sz="1100" b="1" i="0" u="none" strike="noStrike" baseline="0">
                <a:solidFill>
                  <a:srgbClr val="000000"/>
                </a:solidFill>
                <a:latin typeface="Arial"/>
                <a:cs typeface="Arial"/>
              </a:rPr>
              <a:t>año 2022</a:t>
            </a:r>
          </a:p>
        </c:rich>
      </c:tx>
      <c:overlay val="0"/>
      <c:spPr>
        <a:noFill/>
        <a:ln w="25400">
          <a:noFill/>
        </a:ln>
      </c:spPr>
    </c:title>
    <c:autoTitleDeleted val="0"/>
    <c:plotArea>
      <c:layout>
        <c:manualLayout>
          <c:layoutTarget val="inner"/>
          <c:xMode val="edge"/>
          <c:yMode val="edge"/>
          <c:x val="0.12851159230096235"/>
          <c:y val="0.25083333333333335"/>
          <c:w val="0.74067125984251969"/>
          <c:h val="0.41917541557305338"/>
        </c:manualLayout>
      </c:layout>
      <c:barChart>
        <c:barDir val="col"/>
        <c:grouping val="clustered"/>
        <c:varyColors val="0"/>
        <c:ser>
          <c:idx val="0"/>
          <c:order val="0"/>
          <c:tx>
            <c:v>Ton FO</c:v>
          </c:tx>
          <c:spPr>
            <a:solidFill>
              <a:srgbClr val="0070C0"/>
            </a:solidFill>
            <a:ln w="25400">
              <a:noFill/>
            </a:ln>
          </c:spPr>
          <c:invertIfNegative val="0"/>
          <c:cat>
            <c:strRef>
              <c:f>'Datos para anuario'!$H$64:$H$67</c:f>
              <c:strCache>
                <c:ptCount val="4"/>
                <c:pt idx="0">
                  <c:v>UEB  Acabado</c:v>
                </c:pt>
                <c:pt idx="1">
                  <c:v>Taller Hilo teñido</c:v>
                </c:pt>
                <c:pt idx="2">
                  <c:v>UEB SI</c:v>
                </c:pt>
                <c:pt idx="3">
                  <c:v>UEB Tejeduria</c:v>
                </c:pt>
              </c:strCache>
            </c:strRef>
          </c:cat>
          <c:val>
            <c:numRef>
              <c:f>'Datos para anuario'!$I$64:$I$67</c:f>
              <c:numCache>
                <c:formatCode>0.00</c:formatCode>
                <c:ptCount val="4"/>
                <c:pt idx="0">
                  <c:v>1021.6932615870134</c:v>
                </c:pt>
                <c:pt idx="1">
                  <c:v>253.4219177629075</c:v>
                </c:pt>
                <c:pt idx="2">
                  <c:v>51.200824978346958</c:v>
                </c:pt>
                <c:pt idx="3">
                  <c:v>13.337995671731974</c:v>
                </c:pt>
              </c:numCache>
            </c:numRef>
          </c:val>
        </c:ser>
        <c:dLbls>
          <c:showLegendKey val="0"/>
          <c:showVal val="0"/>
          <c:showCatName val="0"/>
          <c:showSerName val="0"/>
          <c:showPercent val="0"/>
          <c:showBubbleSize val="0"/>
        </c:dLbls>
        <c:gapWidth val="150"/>
        <c:axId val="325573632"/>
        <c:axId val="170669120"/>
      </c:barChart>
      <c:lineChart>
        <c:grouping val="standard"/>
        <c:varyColors val="0"/>
        <c:ser>
          <c:idx val="1"/>
          <c:order val="1"/>
          <c:tx>
            <c:v>% acumulado</c:v>
          </c:tx>
          <c:spPr>
            <a:ln w="25400">
              <a:solidFill>
                <a:srgbClr val="FF0000"/>
              </a:solidFill>
              <a:prstDash val="sysDash"/>
            </a:ln>
          </c:spPr>
          <c:marker>
            <c:symbol val="none"/>
          </c:marker>
          <c:dLbls>
            <c:dLbl>
              <c:idx val="0"/>
              <c:layout>
                <c:manualLayout>
                  <c:x val="-4.7249701522116362E-2"/>
                  <c:y val="-5.1710747694999663E-2"/>
                </c:manualLayout>
              </c:layout>
              <c:dLblPos val="r"/>
              <c:showLegendKey val="0"/>
              <c:showVal val="1"/>
              <c:showCatName val="0"/>
              <c:showSerName val="0"/>
              <c:showPercent val="0"/>
              <c:showBubbleSize val="0"/>
            </c:dLbl>
            <c:dLbl>
              <c:idx val="1"/>
              <c:layout>
                <c:manualLayout>
                  <c:x val="-3.5425627045238176E-2"/>
                  <c:y val="-4.4274177266303248E-2"/>
                </c:manualLayout>
              </c:layout>
              <c:dLblPos val="r"/>
              <c:showLegendKey val="0"/>
              <c:showVal val="1"/>
              <c:showCatName val="0"/>
              <c:showSerName val="0"/>
              <c:showPercent val="0"/>
              <c:showBubbleSize val="0"/>
            </c:dLbl>
            <c:dLbl>
              <c:idx val="2"/>
              <c:layout>
                <c:manualLayout>
                  <c:x val="1.2345679012345679E-3"/>
                  <c:y val="5.2477105828472391E-2"/>
                </c:manualLayout>
              </c:layout>
              <c:dLblPos val="r"/>
              <c:showLegendKey val="0"/>
              <c:showVal val="1"/>
              <c:showCatName val="0"/>
              <c:showSerName val="0"/>
              <c:showPercent val="0"/>
              <c:showBubbleSize val="0"/>
            </c:dLbl>
            <c:dLbl>
              <c:idx val="3"/>
              <c:layout>
                <c:manualLayout>
                  <c:x val="-1.279950503424632E-2"/>
                  <c:y val="5.341880341880381E-3"/>
                </c:manualLayout>
              </c:layout>
              <c:dLblPos val="r"/>
              <c:showLegendKey val="0"/>
              <c:showVal val="1"/>
              <c:showCatName val="0"/>
              <c:showSerName val="0"/>
              <c:showPercent val="0"/>
              <c:showBubbleSize val="0"/>
            </c:dLbl>
            <c:dLbl>
              <c:idx val="4"/>
              <c:layout>
                <c:manualLayout>
                  <c:x val="8.3333333333333332E-3"/>
                  <c:y val="7.407407407407407E-2"/>
                </c:manualLayout>
              </c:layout>
              <c:dLblPos val="r"/>
              <c:showLegendKey val="0"/>
              <c:showVal val="1"/>
              <c:showCatName val="0"/>
              <c:showSerName val="0"/>
              <c:showPercent val="0"/>
              <c:showBubbleSize val="0"/>
            </c:dLbl>
            <c:dLbl>
              <c:idx val="5"/>
              <c:layout>
                <c:manualLayout>
                  <c:x val="-3.4488188976377955E-3"/>
                  <c:y val="6.6855232707636922E-2"/>
                </c:manualLayout>
              </c:layout>
              <c:dLblPos val="r"/>
              <c:showLegendKey val="0"/>
              <c:showVal val="1"/>
              <c:showCatName val="0"/>
              <c:showSerName val="0"/>
              <c:showPercent val="0"/>
              <c:showBubbleSize val="0"/>
            </c:dLbl>
            <c:dLbl>
              <c:idx val="6"/>
              <c:layout>
                <c:manualLayout>
                  <c:x val="-2.4691358024691358E-3"/>
                  <c:y val="4.1141681666238106E-2"/>
                </c:manualLayout>
              </c:layout>
              <c:dLblPos val="r"/>
              <c:showLegendKey val="0"/>
              <c:showVal val="1"/>
              <c:showCatName val="0"/>
              <c:showSerName val="0"/>
              <c:showPercent val="0"/>
              <c:showBubbleSize val="0"/>
            </c:dLbl>
            <c:numFmt formatCode="#,##0.0" sourceLinked="0"/>
            <c:spPr>
              <a:noFill/>
              <a:ln w="25400">
                <a:noFill/>
              </a:ln>
            </c:spPr>
            <c:txPr>
              <a:bodyPr/>
              <a:lstStyle/>
              <a:p>
                <a:pPr>
                  <a:defRPr sz="900" b="0" i="0" u="none" strike="noStrike" baseline="0">
                    <a:solidFill>
                      <a:srgbClr val="333333"/>
                    </a:solidFill>
                    <a:latin typeface="Calibri"/>
                    <a:ea typeface="Calibri"/>
                    <a:cs typeface="Calibri"/>
                  </a:defRPr>
                </a:pPr>
                <a:endParaRPr lang="es-US"/>
              </a:p>
            </c:txPr>
            <c:showLegendKey val="0"/>
            <c:showVal val="1"/>
            <c:showCatName val="0"/>
            <c:showSerName val="0"/>
            <c:showPercent val="0"/>
            <c:showBubbleSize val="0"/>
            <c:showLeaderLines val="0"/>
          </c:dLbls>
          <c:val>
            <c:numRef>
              <c:f>'Datos para anuario'!$K$64:$K$67</c:f>
              <c:numCache>
                <c:formatCode>0.0</c:formatCode>
                <c:ptCount val="4"/>
                <c:pt idx="0">
                  <c:v>76.265458214360834</c:v>
                </c:pt>
                <c:pt idx="1">
                  <c:v>95.182426160032435</c:v>
                </c:pt>
                <c:pt idx="2">
                  <c:v>99.004370108122544</c:v>
                </c:pt>
                <c:pt idx="3">
                  <c:v>100</c:v>
                </c:pt>
              </c:numCache>
            </c:numRef>
          </c:val>
          <c:smooth val="0"/>
        </c:ser>
        <c:dLbls>
          <c:showLegendKey val="0"/>
          <c:showVal val="0"/>
          <c:showCatName val="0"/>
          <c:showSerName val="0"/>
          <c:showPercent val="0"/>
          <c:showBubbleSize val="0"/>
        </c:dLbls>
        <c:marker val="1"/>
        <c:smooth val="0"/>
        <c:axId val="330400768"/>
        <c:axId val="170669696"/>
      </c:lineChart>
      <c:catAx>
        <c:axId val="32557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Calibri"/>
                <a:ea typeface="Calibri"/>
                <a:cs typeface="Calibri"/>
              </a:defRPr>
            </a:pPr>
            <a:endParaRPr lang="es-US"/>
          </a:p>
        </c:txPr>
        <c:crossAx val="170669120"/>
        <c:crosses val="autoZero"/>
        <c:auto val="1"/>
        <c:lblAlgn val="ctr"/>
        <c:lblOffset val="100"/>
        <c:noMultiLvlLbl val="0"/>
      </c:catAx>
      <c:valAx>
        <c:axId val="170669120"/>
        <c:scaling>
          <c:orientation val="minMax"/>
          <c:max val="1500"/>
          <c:min val="0"/>
        </c:scaling>
        <c:delete val="0"/>
        <c:axPos val="l"/>
        <c:title>
          <c:tx>
            <c:rich>
              <a:bodyPr rot="0" vert="horz"/>
              <a:lstStyle/>
              <a:p>
                <a:pPr algn="ctr">
                  <a:defRPr sz="1000" b="0" i="0" u="none" strike="noStrike" baseline="0">
                    <a:solidFill>
                      <a:srgbClr val="000000"/>
                    </a:solidFill>
                    <a:latin typeface="Arial"/>
                    <a:ea typeface="Arial"/>
                    <a:cs typeface="Arial"/>
                  </a:defRPr>
                </a:pPr>
                <a:r>
                  <a:rPr lang="es-US"/>
                  <a:t>t</a:t>
                </a:r>
              </a:p>
            </c:rich>
          </c:tx>
          <c:layout>
            <c:manualLayout>
              <c:xMode val="edge"/>
              <c:yMode val="edge"/>
              <c:x val="6.8032462792979601E-2"/>
              <c:y val="0.11704186015209637"/>
            </c:manualLayout>
          </c:layout>
          <c:overlay val="0"/>
          <c:spPr>
            <a:noFill/>
            <a:ln w="25400">
              <a:noFill/>
            </a:ln>
          </c:spPr>
        </c:title>
        <c:numFmt formatCode="0.00" sourceLinked="1"/>
        <c:majorTickMark val="none"/>
        <c:minorTickMark val="none"/>
        <c:tickLblPos val="nextTo"/>
        <c:spPr>
          <a:ln w="9525">
            <a:noFill/>
          </a:ln>
        </c:spPr>
        <c:txPr>
          <a:bodyPr rot="0" vert="horz"/>
          <a:lstStyle/>
          <a:p>
            <a:pPr>
              <a:defRPr sz="900" b="0" i="0" u="none" strike="noStrike" baseline="0">
                <a:solidFill>
                  <a:srgbClr val="000000"/>
                </a:solidFill>
                <a:latin typeface="Calibri"/>
                <a:ea typeface="Calibri"/>
                <a:cs typeface="Calibri"/>
              </a:defRPr>
            </a:pPr>
            <a:endParaRPr lang="es-US"/>
          </a:p>
        </c:txPr>
        <c:crossAx val="325573632"/>
        <c:crosses val="autoZero"/>
        <c:crossBetween val="between"/>
      </c:valAx>
      <c:catAx>
        <c:axId val="330400768"/>
        <c:scaling>
          <c:orientation val="minMax"/>
        </c:scaling>
        <c:delete val="1"/>
        <c:axPos val="b"/>
        <c:majorTickMark val="out"/>
        <c:minorTickMark val="none"/>
        <c:tickLblPos val="nextTo"/>
        <c:crossAx val="170669696"/>
        <c:crosses val="autoZero"/>
        <c:auto val="1"/>
        <c:lblAlgn val="ctr"/>
        <c:lblOffset val="100"/>
        <c:noMultiLvlLbl val="0"/>
      </c:catAx>
      <c:valAx>
        <c:axId val="170669696"/>
        <c:scaling>
          <c:orientation val="minMax"/>
          <c:max val="100"/>
          <c:min val="18"/>
        </c:scaling>
        <c:delete val="0"/>
        <c:axPos val="r"/>
        <c:title>
          <c:tx>
            <c:rich>
              <a:bodyPr rot="0" vert="horz"/>
              <a:lstStyle/>
              <a:p>
                <a:pPr algn="ctr">
                  <a:defRPr sz="1000" b="0" i="0" u="none" strike="noStrike" baseline="0">
                    <a:solidFill>
                      <a:srgbClr val="000000"/>
                    </a:solidFill>
                    <a:latin typeface="Arial"/>
                    <a:ea typeface="Arial"/>
                    <a:cs typeface="Arial"/>
                  </a:defRPr>
                </a:pPr>
                <a:r>
                  <a:rPr lang="es-US"/>
                  <a:t>% acum.</a:t>
                </a:r>
              </a:p>
            </c:rich>
          </c:tx>
          <c:layout>
            <c:manualLayout>
              <c:xMode val="edge"/>
              <c:yMode val="edge"/>
              <c:x val="0.85742646810032719"/>
              <c:y val="8.5288377414361669E-2"/>
            </c:manualLayout>
          </c:layout>
          <c:overlay val="0"/>
          <c:spPr>
            <a:noFill/>
            <a:ln w="25400">
              <a:noFill/>
            </a:ln>
          </c:spPr>
        </c:title>
        <c:numFmt formatCode="0.0" sourceLinked="1"/>
        <c:majorTickMark val="out"/>
        <c:minorTickMark val="none"/>
        <c:tickLblPos val="nextTo"/>
        <c:spPr>
          <a:ln w="9525">
            <a:noFill/>
          </a:ln>
        </c:spPr>
        <c:txPr>
          <a:bodyPr rot="0" vert="horz"/>
          <a:lstStyle/>
          <a:p>
            <a:pPr>
              <a:defRPr sz="900" b="0" i="0" u="none" strike="noStrike" baseline="0">
                <a:solidFill>
                  <a:srgbClr val="000000"/>
                </a:solidFill>
                <a:latin typeface="Calibri"/>
                <a:ea typeface="Calibri"/>
                <a:cs typeface="Calibri"/>
              </a:defRPr>
            </a:pPr>
            <a:endParaRPr lang="es-US"/>
          </a:p>
        </c:txPr>
        <c:crossAx val="330400768"/>
        <c:crosses val="max"/>
        <c:crossBetween val="between"/>
        <c:majorUnit val="20"/>
      </c:valAx>
      <c:spPr>
        <a:noFill/>
        <a:ln w="25400">
          <a:noFill/>
        </a:ln>
      </c:spPr>
    </c:plotArea>
    <c:legend>
      <c:legendPos val="b"/>
      <c:layout>
        <c:manualLayout>
          <c:xMode val="edge"/>
          <c:yMode val="edge"/>
          <c:x val="0.20000618707191989"/>
          <c:y val="0.87139174910828443"/>
          <c:w val="0.58847406505126088"/>
          <c:h val="7.3006595329429991E-2"/>
        </c:manualLayout>
      </c:layout>
      <c:overlay val="0"/>
      <c:spPr>
        <a:noFill/>
        <a:ln w="25400">
          <a:noFill/>
        </a:ln>
      </c:spPr>
      <c:txPr>
        <a:bodyPr/>
        <a:lstStyle/>
        <a:p>
          <a:pPr>
            <a:defRPr sz="595" b="0" i="0" u="none" strike="noStrike" baseline="0">
              <a:solidFill>
                <a:srgbClr val="000000"/>
              </a:solidFill>
              <a:latin typeface="Arial"/>
              <a:ea typeface="Arial"/>
              <a:cs typeface="Arial"/>
            </a:defRPr>
          </a:pPr>
          <a:endParaRPr lang="es-US"/>
        </a:p>
      </c:txPr>
    </c:legend>
    <c:plotVisOnly val="1"/>
    <c:dispBlanksAs val="gap"/>
    <c:showDLblsOverMax val="0"/>
  </c:chart>
  <c:spPr>
    <a:solidFill>
      <a:schemeClr val="bg1"/>
    </a:solidFill>
    <a:ln w="22225" cap="flat" cmpd="sng" algn="ctr">
      <a:solidFill>
        <a:srgbClr val="FF0000"/>
      </a:solidFill>
      <a:round/>
    </a:ln>
    <a:effectLst/>
  </c:spPr>
  <c:txPr>
    <a:bodyPr/>
    <a:lstStyle/>
    <a:p>
      <a:pPr>
        <a:defRPr sz="1000" b="0" i="0" u="none" strike="noStrike" baseline="0">
          <a:solidFill>
            <a:srgbClr val="000000"/>
          </a:solidFill>
          <a:latin typeface="Calibri"/>
          <a:ea typeface="Calibri"/>
          <a:cs typeface="Calibri"/>
        </a:defRPr>
      </a:pPr>
      <a:endParaRPr lang="es-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Correlación del consumo de energía eléctrica y la producción equivalente en Mm²</a:t>
            </a:r>
          </a:p>
        </c:rich>
      </c:tx>
      <c:overlay val="0"/>
      <c:spPr>
        <a:noFill/>
        <a:ln>
          <a:noFill/>
        </a:ln>
        <a:effectLst/>
      </c:spPr>
    </c:title>
    <c:autoTitleDeleted val="0"/>
    <c:plotArea>
      <c:layout>
        <c:manualLayout>
          <c:layoutTarget val="inner"/>
          <c:xMode val="edge"/>
          <c:yMode val="edge"/>
          <c:x val="0.15256687464757165"/>
          <c:y val="0.23717068074257155"/>
          <c:w val="0.78968963254593172"/>
          <c:h val="0.56716061533974915"/>
        </c:manualLayout>
      </c:layout>
      <c:scatterChart>
        <c:scatterStyle val="lineMarker"/>
        <c:varyColors val="0"/>
        <c:ser>
          <c:idx val="0"/>
          <c:order val="0"/>
          <c:tx>
            <c:v>Energia electrica vs Prod equivalente. Textilera</c:v>
          </c:tx>
          <c:spPr>
            <a:ln w="25400" cap="rnd">
              <a:noFill/>
              <a:round/>
            </a:ln>
            <a:effectLst/>
          </c:spPr>
          <c:marker>
            <c:symbol val="circle"/>
            <c:size val="5"/>
            <c:spPr>
              <a:solidFill>
                <a:schemeClr val="accent2"/>
              </a:solidFill>
              <a:ln w="9525">
                <a:solidFill>
                  <a:srgbClr val="FF0000"/>
                </a:solidFill>
              </a:ln>
              <a:effectLst/>
            </c:spPr>
          </c:marker>
          <c:trendline>
            <c:spPr>
              <a:ln w="25400" cap="rnd">
                <a:solidFill>
                  <a:srgbClr val="0070C0"/>
                </a:solidFill>
                <a:prstDash val="sysDash"/>
              </a:ln>
              <a:effectLst/>
            </c:spPr>
            <c:trendlineType val="linear"/>
            <c:dispRSqr val="1"/>
            <c:dispEq val="1"/>
            <c:trendlineLbl>
              <c:layout>
                <c:manualLayout>
                  <c:x val="-0.4318590359131938"/>
                  <c:y val="-2.2884889388826397E-2"/>
                </c:manualLayout>
              </c:layout>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1" baseline="0">
                        <a:latin typeface="Arial" panose="020B0604020202020204" pitchFamily="34" charset="0"/>
                        <a:cs typeface="Arial" panose="020B0604020202020204" pitchFamily="34" charset="0"/>
                      </a:rPr>
                      <a:t>y = x + 172,97</a:t>
                    </a:r>
                    <a:br>
                      <a:rPr lang="en-US" sz="1000" b="1" baseline="0">
                        <a:latin typeface="Arial" panose="020B0604020202020204" pitchFamily="34" charset="0"/>
                        <a:cs typeface="Arial" panose="020B0604020202020204" pitchFamily="34" charset="0"/>
                      </a:rPr>
                    </a:br>
                    <a:r>
                      <a:rPr lang="en-US" sz="1000" b="1" baseline="0">
                        <a:latin typeface="Arial" panose="020B0604020202020204" pitchFamily="34" charset="0"/>
                        <a:cs typeface="Arial" panose="020B0604020202020204" pitchFamily="34" charset="0"/>
                      </a:rPr>
                      <a:t>R² = 0,8111</a:t>
                    </a:r>
                  </a:p>
                </c:rich>
              </c:tx>
              <c:numFmt formatCode="General" sourceLinked="0"/>
              <c:spPr>
                <a:noFill/>
                <a:ln w="22225">
                  <a:solidFill>
                    <a:srgbClr val="0070C0"/>
                  </a:solidFill>
                </a:ln>
                <a:effectLst/>
              </c:spPr>
            </c:trendlineLbl>
          </c:trendline>
          <c:xVal>
            <c:numRef>
              <c:f>'EE Prod Equiv (si)'!$J$4:$J$31</c:f>
              <c:numCache>
                <c:formatCode>0</c:formatCode>
                <c:ptCount val="28"/>
                <c:pt idx="0">
                  <c:v>2512.7332577189122</c:v>
                </c:pt>
                <c:pt idx="1">
                  <c:v>2619.5200940186214</c:v>
                </c:pt>
                <c:pt idx="2">
                  <c:v>2397.5253593854604</c:v>
                </c:pt>
                <c:pt idx="3">
                  <c:v>1179.1536651250558</c:v>
                </c:pt>
                <c:pt idx="4">
                  <c:v>110.92220063396188</c:v>
                </c:pt>
                <c:pt idx="5">
                  <c:v>61.413186894087737</c:v>
                </c:pt>
                <c:pt idx="6">
                  <c:v>0.88243909232689177</c:v>
                </c:pt>
                <c:pt idx="7">
                  <c:v>304.68608521807408</c:v>
                </c:pt>
                <c:pt idx="8">
                  <c:v>1372.9479891631386</c:v>
                </c:pt>
                <c:pt idx="9">
                  <c:v>1593.8867299351371</c:v>
                </c:pt>
                <c:pt idx="10">
                  <c:v>1509.0170643693302</c:v>
                </c:pt>
                <c:pt idx="11">
                  <c:v>1280.8212288451409</c:v>
                </c:pt>
                <c:pt idx="12">
                  <c:v>1913.4922599851182</c:v>
                </c:pt>
                <c:pt idx="13">
                  <c:v>1850.2552603567835</c:v>
                </c:pt>
                <c:pt idx="14">
                  <c:v>2082.4343571618774</c:v>
                </c:pt>
                <c:pt idx="15">
                  <c:v>1975.3650391375434</c:v>
                </c:pt>
                <c:pt idx="16">
                  <c:v>1783.8353416967486</c:v>
                </c:pt>
                <c:pt idx="17">
                  <c:v>1767.8978954840286</c:v>
                </c:pt>
                <c:pt idx="18">
                  <c:v>1172.1151561787033</c:v>
                </c:pt>
                <c:pt idx="19">
                  <c:v>1369.1818763691531</c:v>
                </c:pt>
                <c:pt idx="20">
                  <c:v>1648.679197751881</c:v>
                </c:pt>
                <c:pt idx="21">
                  <c:v>1028.8955187534336</c:v>
                </c:pt>
                <c:pt idx="22">
                  <c:v>1331.1909578518519</c:v>
                </c:pt>
                <c:pt idx="23">
                  <c:v>1024.8052535425952</c:v>
                </c:pt>
                <c:pt idx="24">
                  <c:v>1568.2043392515134</c:v>
                </c:pt>
                <c:pt idx="25">
                  <c:v>1226.9580625860563</c:v>
                </c:pt>
                <c:pt idx="26">
                  <c:v>1203.5658293612219</c:v>
                </c:pt>
                <c:pt idx="27">
                  <c:v>1412.4839560734224</c:v>
                </c:pt>
              </c:numCache>
            </c:numRef>
          </c:xVal>
          <c:yVal>
            <c:numRef>
              <c:f>'EE Prod Equiv (si)'!$F$4:$F$31</c:f>
              <c:numCache>
                <c:formatCode>0.000</c:formatCode>
                <c:ptCount val="28"/>
                <c:pt idx="0">
                  <c:v>459.64112000366788</c:v>
                </c:pt>
                <c:pt idx="1">
                  <c:v>394.20745941815079</c:v>
                </c:pt>
                <c:pt idx="2">
                  <c:v>450.93929681039378</c:v>
                </c:pt>
                <c:pt idx="3">
                  <c:v>307.88536632178335</c:v>
                </c:pt>
                <c:pt idx="4">
                  <c:v>176.2425541738271</c:v>
                </c:pt>
                <c:pt idx="5">
                  <c:v>172.43290054262479</c:v>
                </c:pt>
                <c:pt idx="6">
                  <c:v>165.67348747512787</c:v>
                </c:pt>
                <c:pt idx="7">
                  <c:v>258.9027006742906</c:v>
                </c:pt>
                <c:pt idx="8">
                  <c:v>345.28786966626859</c:v>
                </c:pt>
                <c:pt idx="9">
                  <c:v>364.25127890437699</c:v>
                </c:pt>
                <c:pt idx="10">
                  <c:v>368.16364833734588</c:v>
                </c:pt>
                <c:pt idx="11">
                  <c:v>278.27929839724305</c:v>
                </c:pt>
                <c:pt idx="12">
                  <c:v>394.26000623361563</c:v>
                </c:pt>
                <c:pt idx="13">
                  <c:v>393.87960503741317</c:v>
                </c:pt>
                <c:pt idx="14">
                  <c:v>386.06700000000001</c:v>
                </c:pt>
                <c:pt idx="15">
                  <c:v>429.42870250072298</c:v>
                </c:pt>
                <c:pt idx="16">
                  <c:v>433.70481602137397</c:v>
                </c:pt>
                <c:pt idx="17">
                  <c:v>427.20780279690871</c:v>
                </c:pt>
                <c:pt idx="18">
                  <c:v>273.60519110684817</c:v>
                </c:pt>
                <c:pt idx="19">
                  <c:v>269.915395209054</c:v>
                </c:pt>
                <c:pt idx="20">
                  <c:v>338.99878922451666</c:v>
                </c:pt>
                <c:pt idx="21">
                  <c:v>229.78579043195037</c:v>
                </c:pt>
                <c:pt idx="22">
                  <c:v>284.56230156191043</c:v>
                </c:pt>
                <c:pt idx="23">
                  <c:v>255.43156343840857</c:v>
                </c:pt>
                <c:pt idx="24">
                  <c:v>327.99341927945517</c:v>
                </c:pt>
                <c:pt idx="25">
                  <c:v>378.2225284678629</c:v>
                </c:pt>
                <c:pt idx="26">
                  <c:v>298.45577983803628</c:v>
                </c:pt>
                <c:pt idx="27">
                  <c:v>365.86171174127475</c:v>
                </c:pt>
              </c:numCache>
            </c:numRef>
          </c:yVal>
          <c:smooth val="0"/>
          <c:extLst xmlns:c16r2="http://schemas.microsoft.com/office/drawing/2015/06/chart">
            <c:ext xmlns:c16="http://schemas.microsoft.com/office/drawing/2014/chart" uri="{C3380CC4-5D6E-409C-BE32-E72D297353CC}">
              <c16:uniqueId val="{00000000-2F13-4CCE-A84E-44C851ECC342}"/>
            </c:ext>
          </c:extLst>
        </c:ser>
        <c:dLbls>
          <c:showLegendKey val="0"/>
          <c:showVal val="0"/>
          <c:showCatName val="0"/>
          <c:showSerName val="0"/>
          <c:showPercent val="0"/>
          <c:showBubbleSize val="0"/>
        </c:dLbls>
        <c:axId val="323543040"/>
        <c:axId val="323543616"/>
      </c:scatterChart>
      <c:valAx>
        <c:axId val="3235430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b="1">
                    <a:latin typeface="Arial" panose="020B0604020202020204" pitchFamily="34" charset="0"/>
                    <a:cs typeface="Arial" panose="020B0604020202020204" pitchFamily="34" charset="0"/>
                  </a:rPr>
                  <a:t>Produccion equivalente,</a:t>
                </a:r>
                <a:r>
                  <a:rPr lang="es-ES" b="1" baseline="0">
                    <a:latin typeface="Arial" panose="020B0604020202020204" pitchFamily="34" charset="0"/>
                    <a:cs typeface="Arial" panose="020B0604020202020204" pitchFamily="34" charset="0"/>
                  </a:rPr>
                  <a:t> Mm²</a:t>
                </a:r>
                <a:endParaRPr lang="es-ES" b="1">
                  <a:latin typeface="Arial" panose="020B0604020202020204" pitchFamily="34" charset="0"/>
                  <a:cs typeface="Arial" panose="020B0604020202020204" pitchFamily="34" charset="0"/>
                </a:endParaRPr>
              </a:p>
            </c:rich>
          </c:tx>
          <c:layout>
            <c:manualLayout>
              <c:xMode val="edge"/>
              <c:yMode val="edge"/>
              <c:x val="0.55429507287198854"/>
              <c:y val="0.89947394075740528"/>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US"/>
          </a:p>
        </c:txPr>
        <c:crossAx val="323543616"/>
        <c:crosses val="autoZero"/>
        <c:crossBetween val="midCat"/>
      </c:valAx>
      <c:valAx>
        <c:axId val="323543616"/>
        <c:scaling>
          <c:orientation val="minMax"/>
        </c:scaling>
        <c:delete val="0"/>
        <c:axPos val="l"/>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b="1">
                    <a:latin typeface="Arial" panose="020B0604020202020204" pitchFamily="34" charset="0"/>
                    <a:cs typeface="Arial" panose="020B0604020202020204" pitchFamily="34" charset="0"/>
                  </a:rPr>
                  <a:t>MW.h</a:t>
                </a:r>
              </a:p>
            </c:rich>
          </c:tx>
          <c:layout>
            <c:manualLayout>
              <c:xMode val="edge"/>
              <c:yMode val="edge"/>
              <c:x val="5.0505089302861524E-2"/>
              <c:y val="0.14311211098612672"/>
            </c:manualLayout>
          </c:layout>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US"/>
          </a:p>
        </c:txPr>
        <c:crossAx val="323543040"/>
        <c:crosses val="autoZero"/>
        <c:crossBetween val="midCat"/>
        <c:majorUnit val="100"/>
      </c:valAx>
      <c:spPr>
        <a:noFill/>
        <a:ln>
          <a:noFill/>
        </a:ln>
        <a:effectLst/>
      </c:spPr>
    </c:plotArea>
    <c:plotVisOnly val="1"/>
    <c:dispBlanksAs val="gap"/>
    <c:showDLblsOverMax val="0"/>
  </c:chart>
  <c:spPr>
    <a:solidFill>
      <a:schemeClr val="bg1"/>
    </a:solidFill>
    <a:ln w="25400" cap="flat" cmpd="sng" algn="ctr">
      <a:solidFill>
        <a:srgbClr val="FF0000"/>
      </a:solidFill>
      <a:round/>
    </a:ln>
    <a:effectLst/>
  </c:spPr>
  <c:txPr>
    <a:bodyPr/>
    <a:lstStyle/>
    <a:p>
      <a:pPr>
        <a:defRPr/>
      </a:pPr>
      <a:endParaRPr lang="es-U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Pages>
  <Words>3243</Words>
  <Characters>17839</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Maria de los Angeles Garcia Hernandez</cp:lastModifiedBy>
  <cp:revision>2</cp:revision>
  <dcterms:created xsi:type="dcterms:W3CDTF">2023-09-08T13:35:00Z</dcterms:created>
  <dcterms:modified xsi:type="dcterms:W3CDTF">2023-09-08T13:35:00Z</dcterms:modified>
</cp:coreProperties>
</file>