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A305F" w14:textId="51F382B9" w:rsidR="009D67CD" w:rsidRPr="009D5E02" w:rsidRDefault="00A53E70" w:rsidP="00667F10">
      <w:pPr>
        <w:spacing w:after="0"/>
        <w:jc w:val="center"/>
        <w:rPr>
          <w:rFonts w:cs="Times New Roman"/>
          <w:b/>
          <w:sz w:val="28"/>
          <w:szCs w:val="28"/>
        </w:rPr>
      </w:pPr>
      <w:r>
        <w:rPr>
          <w:rFonts w:cs="Times New Roman"/>
          <w:b/>
          <w:sz w:val="28"/>
          <w:szCs w:val="28"/>
        </w:rPr>
        <w:t>CIDES</w:t>
      </w:r>
    </w:p>
    <w:p w14:paraId="1BF12E38" w14:textId="77777777" w:rsidR="00E912D0" w:rsidRDefault="00E912D0" w:rsidP="00667F10">
      <w:pPr>
        <w:spacing w:after="0"/>
        <w:jc w:val="center"/>
        <w:rPr>
          <w:rFonts w:cs="Times New Roman"/>
          <w:b/>
          <w:szCs w:val="24"/>
        </w:rPr>
      </w:pPr>
    </w:p>
    <w:p w14:paraId="0E86DB63" w14:textId="77777777" w:rsidR="008A1C16" w:rsidRPr="009D5E02" w:rsidRDefault="008A1C16" w:rsidP="00667F10">
      <w:pPr>
        <w:spacing w:after="0"/>
        <w:jc w:val="center"/>
        <w:rPr>
          <w:rFonts w:cs="Times New Roman"/>
          <w:b/>
          <w:sz w:val="28"/>
          <w:szCs w:val="28"/>
        </w:rPr>
      </w:pPr>
      <w:r w:rsidRPr="009D5E02">
        <w:rPr>
          <w:rFonts w:cs="Times New Roman"/>
          <w:b/>
          <w:sz w:val="28"/>
          <w:szCs w:val="28"/>
        </w:rPr>
        <w:t>Título</w:t>
      </w:r>
    </w:p>
    <w:p w14:paraId="669B0B8D" w14:textId="642445FA" w:rsidR="008A1C16" w:rsidRDefault="00A53E70" w:rsidP="00667F10">
      <w:pPr>
        <w:spacing w:after="0"/>
        <w:jc w:val="center"/>
        <w:rPr>
          <w:rFonts w:cs="Times New Roman"/>
          <w:szCs w:val="24"/>
        </w:rPr>
      </w:pPr>
      <w:r>
        <w:rPr>
          <w:rFonts w:cs="Times New Roman"/>
          <w:szCs w:val="24"/>
        </w:rPr>
        <w:t>Expansión de la capacidad de generación en Cuba mediante el uso de O</w:t>
      </w:r>
      <w:r w:rsidR="00D37614">
        <w:rPr>
          <w:rFonts w:cs="Times New Roman"/>
          <w:szCs w:val="24"/>
        </w:rPr>
        <w:t>Se</w:t>
      </w:r>
      <w:r>
        <w:rPr>
          <w:rFonts w:cs="Times New Roman"/>
          <w:szCs w:val="24"/>
        </w:rPr>
        <w:t>MOSYS.</w:t>
      </w:r>
    </w:p>
    <w:p w14:paraId="65170EF7" w14:textId="77777777" w:rsidR="00E912D0" w:rsidRDefault="00E912D0" w:rsidP="00667F10">
      <w:pPr>
        <w:spacing w:after="0"/>
        <w:jc w:val="center"/>
        <w:rPr>
          <w:rFonts w:cs="Times New Roman"/>
          <w:b/>
          <w:i/>
          <w:szCs w:val="24"/>
        </w:rPr>
      </w:pPr>
    </w:p>
    <w:p w14:paraId="40A60567" w14:textId="77777777" w:rsidR="008A1C16" w:rsidRPr="003E038B" w:rsidRDefault="008A1C16" w:rsidP="00667F10">
      <w:pPr>
        <w:spacing w:after="0"/>
        <w:jc w:val="center"/>
        <w:rPr>
          <w:rFonts w:cs="Times New Roman"/>
          <w:b/>
          <w:i/>
          <w:sz w:val="28"/>
          <w:szCs w:val="28"/>
          <w:lang w:val="en-GB"/>
        </w:rPr>
      </w:pPr>
      <w:r w:rsidRPr="003E038B">
        <w:rPr>
          <w:rFonts w:cs="Times New Roman"/>
          <w:b/>
          <w:i/>
          <w:sz w:val="28"/>
          <w:szCs w:val="28"/>
          <w:lang w:val="en-GB"/>
        </w:rPr>
        <w:t>Title</w:t>
      </w:r>
    </w:p>
    <w:p w14:paraId="3658067C" w14:textId="70C891FB" w:rsidR="009D5E02" w:rsidRPr="003E038B" w:rsidRDefault="0013546E" w:rsidP="0013546E">
      <w:pPr>
        <w:spacing w:after="0"/>
        <w:jc w:val="center"/>
        <w:rPr>
          <w:rFonts w:cs="Times New Roman"/>
          <w:b/>
          <w:i/>
          <w:iCs/>
          <w:szCs w:val="24"/>
          <w:lang w:val="en-GB"/>
        </w:rPr>
      </w:pPr>
      <w:r w:rsidRPr="003E038B">
        <w:rPr>
          <w:rFonts w:cs="Times New Roman"/>
          <w:i/>
          <w:iCs/>
          <w:szCs w:val="24"/>
          <w:lang w:val="en-GB"/>
        </w:rPr>
        <w:t>Expansion of generation capacity in Cuba through the use of O</w:t>
      </w:r>
      <w:r w:rsidR="00D37614">
        <w:rPr>
          <w:rFonts w:cs="Times New Roman"/>
          <w:i/>
          <w:iCs/>
          <w:szCs w:val="24"/>
          <w:lang w:val="en-GB"/>
        </w:rPr>
        <w:t>Se</w:t>
      </w:r>
      <w:r w:rsidRPr="003E038B">
        <w:rPr>
          <w:rFonts w:cs="Times New Roman"/>
          <w:i/>
          <w:iCs/>
          <w:szCs w:val="24"/>
          <w:lang w:val="en-GB"/>
        </w:rPr>
        <w:t>MOSYS.</w:t>
      </w:r>
    </w:p>
    <w:p w14:paraId="419820B7" w14:textId="77777777" w:rsidR="002E0882" w:rsidRPr="003A36BC" w:rsidRDefault="002E0882" w:rsidP="00FF3346">
      <w:pPr>
        <w:spacing w:after="0"/>
        <w:rPr>
          <w:rFonts w:cs="Times New Roman"/>
          <w:szCs w:val="24"/>
          <w:lang w:val="en-GB"/>
        </w:rPr>
      </w:pPr>
    </w:p>
    <w:p w14:paraId="042BDEE8" w14:textId="77777777" w:rsidR="008A1C16" w:rsidRPr="009D5E02" w:rsidRDefault="009D5E02" w:rsidP="00FF3346">
      <w:pPr>
        <w:spacing w:after="0"/>
        <w:jc w:val="center"/>
        <w:rPr>
          <w:rFonts w:cs="Times New Roman"/>
          <w:b/>
          <w:szCs w:val="24"/>
        </w:rPr>
      </w:pPr>
      <w:r>
        <w:rPr>
          <w:rFonts w:cs="Times New Roman"/>
          <w:b/>
          <w:szCs w:val="24"/>
        </w:rPr>
        <w:t>Nombre y Apellidos</w:t>
      </w:r>
      <w:r>
        <w:rPr>
          <w:rFonts w:cs="Times New Roman"/>
          <w:b/>
          <w:szCs w:val="24"/>
          <w:vertAlign w:val="superscript"/>
        </w:rPr>
        <w:t>1</w:t>
      </w:r>
      <w:r>
        <w:rPr>
          <w:rFonts w:cs="Times New Roman"/>
          <w:b/>
          <w:szCs w:val="24"/>
        </w:rPr>
        <w:t>, Nombre y Apellidos</w:t>
      </w:r>
      <w:r>
        <w:rPr>
          <w:rFonts w:cs="Times New Roman"/>
          <w:b/>
          <w:szCs w:val="24"/>
          <w:vertAlign w:val="superscript"/>
        </w:rPr>
        <w:t>2</w:t>
      </w:r>
      <w:r>
        <w:rPr>
          <w:rFonts w:cs="Times New Roman"/>
          <w:b/>
          <w:szCs w:val="24"/>
        </w:rPr>
        <w:t>, …</w:t>
      </w:r>
    </w:p>
    <w:p w14:paraId="22131644" w14:textId="77777777" w:rsidR="009D5E02" w:rsidRDefault="009D5E02" w:rsidP="00FF3346">
      <w:pPr>
        <w:spacing w:after="0"/>
        <w:rPr>
          <w:rFonts w:cs="Times New Roman"/>
          <w:szCs w:val="24"/>
        </w:rPr>
      </w:pPr>
    </w:p>
    <w:p w14:paraId="5149FA15" w14:textId="6EEDF918" w:rsidR="00E912D0" w:rsidRDefault="00E912D0" w:rsidP="00FF3346">
      <w:pPr>
        <w:spacing w:after="0"/>
        <w:rPr>
          <w:rFonts w:cs="Times New Roman"/>
          <w:szCs w:val="24"/>
        </w:rPr>
      </w:pPr>
      <w:r w:rsidRPr="00E912D0">
        <w:rPr>
          <w:rFonts w:cs="Times New Roman"/>
          <w:szCs w:val="24"/>
        </w:rPr>
        <w:t>1-</w:t>
      </w:r>
      <w:r w:rsidR="00A53E70">
        <w:rPr>
          <w:rFonts w:cs="Times New Roman"/>
          <w:szCs w:val="24"/>
        </w:rPr>
        <w:t>David Rojas Plana</w:t>
      </w:r>
      <w:r w:rsidRPr="00E912D0">
        <w:rPr>
          <w:rFonts w:cs="Times New Roman"/>
          <w:szCs w:val="24"/>
        </w:rPr>
        <w:t xml:space="preserve">. </w:t>
      </w:r>
      <w:r w:rsidR="00A53E70">
        <w:rPr>
          <w:rFonts w:cs="Times New Roman"/>
          <w:szCs w:val="24"/>
        </w:rPr>
        <w:t>Universidad Central Marta Abreu de las Villas</w:t>
      </w:r>
      <w:r w:rsidRPr="00E912D0">
        <w:rPr>
          <w:rFonts w:cs="Times New Roman"/>
          <w:szCs w:val="24"/>
        </w:rPr>
        <w:t xml:space="preserve">, </w:t>
      </w:r>
      <w:r w:rsidR="00A53E70">
        <w:rPr>
          <w:rFonts w:cs="Times New Roman"/>
          <w:szCs w:val="24"/>
        </w:rPr>
        <w:t>Cuba</w:t>
      </w:r>
      <w:r w:rsidRPr="00E912D0">
        <w:rPr>
          <w:rFonts w:cs="Times New Roman"/>
          <w:szCs w:val="24"/>
        </w:rPr>
        <w:t>. E-mail:</w:t>
      </w:r>
      <w:r w:rsidR="00A53E70">
        <w:rPr>
          <w:rFonts w:cs="Times New Roman"/>
          <w:szCs w:val="24"/>
        </w:rPr>
        <w:t xml:space="preserve"> drplana@uclv.edu.cu;  drplana9008@gmail.com</w:t>
      </w:r>
    </w:p>
    <w:p w14:paraId="1E0BC721" w14:textId="18C85CCB" w:rsidR="00E912D0" w:rsidRDefault="00E912D0" w:rsidP="00FF3346">
      <w:pPr>
        <w:spacing w:after="0"/>
        <w:rPr>
          <w:rFonts w:cs="Times New Roman"/>
          <w:szCs w:val="24"/>
        </w:rPr>
      </w:pPr>
      <w:r>
        <w:rPr>
          <w:rFonts w:cs="Times New Roman"/>
          <w:szCs w:val="24"/>
        </w:rPr>
        <w:t>2-</w:t>
      </w:r>
      <w:r w:rsidRPr="00E912D0">
        <w:rPr>
          <w:rFonts w:cs="Times New Roman"/>
          <w:szCs w:val="24"/>
        </w:rPr>
        <w:t xml:space="preserve"> </w:t>
      </w:r>
      <w:r w:rsidR="0013546E">
        <w:rPr>
          <w:rFonts w:cs="Times New Roman"/>
          <w:szCs w:val="24"/>
        </w:rPr>
        <w:t>Victor Samuel Ocaña Guevara</w:t>
      </w:r>
      <w:r w:rsidRPr="00E912D0">
        <w:rPr>
          <w:rFonts w:cs="Times New Roman"/>
          <w:szCs w:val="24"/>
        </w:rPr>
        <w:t xml:space="preserve">. </w:t>
      </w:r>
      <w:r w:rsidR="0013546E">
        <w:rPr>
          <w:rFonts w:cs="Times New Roman"/>
          <w:szCs w:val="24"/>
        </w:rPr>
        <w:t>Universidad Central Marta Abreu de las Villas</w:t>
      </w:r>
      <w:r w:rsidRPr="00E912D0">
        <w:rPr>
          <w:rFonts w:cs="Times New Roman"/>
          <w:szCs w:val="24"/>
        </w:rPr>
        <w:t xml:space="preserve">, </w:t>
      </w:r>
      <w:r w:rsidR="0013546E">
        <w:rPr>
          <w:rFonts w:cs="Times New Roman"/>
          <w:szCs w:val="24"/>
        </w:rPr>
        <w:t>Cuba</w:t>
      </w:r>
      <w:r w:rsidRPr="00E912D0">
        <w:rPr>
          <w:rFonts w:cs="Times New Roman"/>
          <w:szCs w:val="24"/>
        </w:rPr>
        <w:t>. E-mail:</w:t>
      </w:r>
      <w:r w:rsidR="0013546E">
        <w:rPr>
          <w:rFonts w:cs="Times New Roman"/>
          <w:szCs w:val="24"/>
        </w:rPr>
        <w:t>victors@uclv.edu.cu</w:t>
      </w:r>
    </w:p>
    <w:p w14:paraId="599C8CB8" w14:textId="29D130EF" w:rsidR="00BA4D34" w:rsidRDefault="00BA4D34" w:rsidP="00FF3346">
      <w:pPr>
        <w:spacing w:after="0"/>
        <w:rPr>
          <w:rFonts w:cs="Times New Roman"/>
          <w:szCs w:val="24"/>
        </w:rPr>
      </w:pPr>
      <w:r>
        <w:rPr>
          <w:rFonts w:cs="Times New Roman"/>
          <w:szCs w:val="24"/>
        </w:rPr>
        <w:t>3- Joel Betancourt. Unión Nacional Eléctrica (UNE).</w:t>
      </w:r>
      <w:r w:rsidR="00881824">
        <w:rPr>
          <w:rFonts w:cs="Times New Roman"/>
          <w:szCs w:val="24"/>
        </w:rPr>
        <w:t xml:space="preserve"> Email: </w:t>
      </w:r>
      <w:r w:rsidR="00881824" w:rsidRPr="00881824">
        <w:rPr>
          <w:rFonts w:cs="Times New Roman"/>
          <w:szCs w:val="24"/>
        </w:rPr>
        <w:t>espdesarrollo@oc.une.cu</w:t>
      </w:r>
    </w:p>
    <w:p w14:paraId="44E30C1D" w14:textId="77777777" w:rsidR="00E912D0" w:rsidRDefault="00E912D0" w:rsidP="00FF3346">
      <w:pPr>
        <w:spacing w:after="0"/>
        <w:rPr>
          <w:rFonts w:cs="Times New Roman"/>
          <w:b/>
          <w:szCs w:val="24"/>
        </w:rPr>
      </w:pPr>
    </w:p>
    <w:p w14:paraId="4B337EC3" w14:textId="77777777" w:rsidR="00571880" w:rsidRDefault="008A1C16" w:rsidP="00571880">
      <w:pPr>
        <w:spacing w:after="0"/>
        <w:rPr>
          <w:rFonts w:cs="Times New Roman"/>
          <w:szCs w:val="24"/>
        </w:rPr>
      </w:pPr>
      <w:r>
        <w:rPr>
          <w:rFonts w:cs="Times New Roman"/>
          <w:b/>
          <w:szCs w:val="24"/>
        </w:rPr>
        <w:t>Resumen:</w:t>
      </w:r>
      <w:r w:rsidR="009061A5" w:rsidRPr="009061A5">
        <w:rPr>
          <w:rFonts w:cs="Times New Roman"/>
          <w:szCs w:val="24"/>
        </w:rPr>
        <w:t xml:space="preserve"> </w:t>
      </w:r>
    </w:p>
    <w:p w14:paraId="7419385C" w14:textId="57CAABFA" w:rsidR="008A1C16" w:rsidRPr="0013546E" w:rsidRDefault="008A1C16" w:rsidP="0013546E">
      <w:pPr>
        <w:spacing w:after="0"/>
        <w:rPr>
          <w:rFonts w:cs="Times New Roman"/>
          <w:szCs w:val="24"/>
        </w:rPr>
      </w:pPr>
      <w:r w:rsidRPr="005754D8">
        <w:rPr>
          <w:rFonts w:cs="Times New Roman"/>
          <w:b/>
          <w:szCs w:val="24"/>
        </w:rPr>
        <w:t>Problemática:</w:t>
      </w:r>
      <w:r w:rsidR="009061A5" w:rsidRPr="005754D8">
        <w:rPr>
          <w:rFonts w:cs="Times New Roman"/>
          <w:b/>
          <w:szCs w:val="24"/>
        </w:rPr>
        <w:t xml:space="preserve"> </w:t>
      </w:r>
      <w:r w:rsidR="00A53E70">
        <w:rPr>
          <w:rFonts w:cs="Times New Roman"/>
          <w:szCs w:val="24"/>
        </w:rPr>
        <w:t xml:space="preserve">La humanidad </w:t>
      </w:r>
      <w:r w:rsidR="00843F84">
        <w:rPr>
          <w:rFonts w:cs="Times New Roman"/>
          <w:szCs w:val="24"/>
        </w:rPr>
        <w:t xml:space="preserve">atraviesa </w:t>
      </w:r>
      <w:r w:rsidR="00A53E70">
        <w:rPr>
          <w:rFonts w:cs="Times New Roman"/>
          <w:szCs w:val="24"/>
        </w:rPr>
        <w:t xml:space="preserve">por </w:t>
      </w:r>
      <w:r w:rsidR="00843F84">
        <w:rPr>
          <w:rFonts w:cs="Times New Roman"/>
          <w:szCs w:val="24"/>
        </w:rPr>
        <w:t>el</w:t>
      </w:r>
      <w:r w:rsidR="00A53E70">
        <w:rPr>
          <w:rFonts w:cs="Times New Roman"/>
          <w:szCs w:val="24"/>
        </w:rPr>
        <w:t xml:space="preserve"> mayor reto desde su existencia, el calentamiento global</w:t>
      </w:r>
      <w:r w:rsidR="009061A5" w:rsidRPr="005754D8">
        <w:rPr>
          <w:rFonts w:cs="Times New Roman"/>
          <w:szCs w:val="24"/>
        </w:rPr>
        <w:t>.</w:t>
      </w:r>
      <w:r w:rsidR="00A53E70">
        <w:rPr>
          <w:rFonts w:cs="Times New Roman"/>
          <w:szCs w:val="24"/>
        </w:rPr>
        <w:t xml:space="preserve"> </w:t>
      </w:r>
      <w:r w:rsidR="003E038B">
        <w:rPr>
          <w:rFonts w:cs="Times New Roman"/>
          <w:szCs w:val="24"/>
        </w:rPr>
        <w:t>Entre otros factores, la dependencia</w:t>
      </w:r>
      <w:r w:rsidR="001A3C4C">
        <w:rPr>
          <w:rFonts w:cs="Times New Roman"/>
          <w:szCs w:val="24"/>
        </w:rPr>
        <w:t xml:space="preserve"> d</w:t>
      </w:r>
      <w:r w:rsidR="003E038B">
        <w:rPr>
          <w:rFonts w:cs="Times New Roman"/>
          <w:szCs w:val="24"/>
        </w:rPr>
        <w:t>e</w:t>
      </w:r>
      <w:r w:rsidR="00843F84">
        <w:rPr>
          <w:rFonts w:cs="Times New Roman"/>
          <w:szCs w:val="24"/>
        </w:rPr>
        <w:t xml:space="preserve"> los</w:t>
      </w:r>
      <w:r w:rsidR="003E038B">
        <w:rPr>
          <w:rFonts w:cs="Times New Roman"/>
          <w:szCs w:val="24"/>
        </w:rPr>
        <w:t xml:space="preserve"> </w:t>
      </w:r>
      <w:r w:rsidR="00A53E70">
        <w:rPr>
          <w:rFonts w:cs="Times New Roman"/>
          <w:szCs w:val="24"/>
        </w:rPr>
        <w:t>combustibles fósiles</w:t>
      </w:r>
      <w:r w:rsidR="003E038B">
        <w:rPr>
          <w:rFonts w:cs="Times New Roman"/>
          <w:szCs w:val="24"/>
        </w:rPr>
        <w:t xml:space="preserve"> resulta </w:t>
      </w:r>
      <w:r w:rsidR="001A3C4C">
        <w:rPr>
          <w:rFonts w:cs="Times New Roman"/>
          <w:szCs w:val="24"/>
        </w:rPr>
        <w:t>determinante</w:t>
      </w:r>
      <w:r w:rsidR="00752339">
        <w:rPr>
          <w:rFonts w:cs="Times New Roman"/>
          <w:szCs w:val="24"/>
        </w:rPr>
        <w:t xml:space="preserve"> en la tasa del incremento de la temperatura global</w:t>
      </w:r>
      <w:r w:rsidR="00A53E70">
        <w:rPr>
          <w:rFonts w:cs="Times New Roman"/>
          <w:szCs w:val="24"/>
        </w:rPr>
        <w:t>.</w:t>
      </w:r>
      <w:r w:rsidR="001A3C4C">
        <w:rPr>
          <w:rFonts w:cs="Times New Roman"/>
          <w:szCs w:val="24"/>
        </w:rPr>
        <w:t xml:space="preserve"> En la actualidad </w:t>
      </w:r>
      <w:r w:rsidR="00212031">
        <w:rPr>
          <w:rFonts w:cs="Times New Roman"/>
          <w:szCs w:val="24"/>
        </w:rPr>
        <w:t xml:space="preserve">una </w:t>
      </w:r>
      <w:r w:rsidR="001A3C4C">
        <w:rPr>
          <w:rFonts w:cs="Times New Roman"/>
          <w:szCs w:val="24"/>
        </w:rPr>
        <w:t xml:space="preserve">solución viable </w:t>
      </w:r>
      <w:r w:rsidR="00442F53">
        <w:rPr>
          <w:rFonts w:cs="Times New Roman"/>
          <w:szCs w:val="24"/>
        </w:rPr>
        <w:t>es</w:t>
      </w:r>
      <w:r w:rsidR="001A3C4C">
        <w:rPr>
          <w:rFonts w:cs="Times New Roman"/>
          <w:szCs w:val="24"/>
        </w:rPr>
        <w:t xml:space="preserve"> la </w:t>
      </w:r>
      <w:r w:rsidR="00212031">
        <w:rPr>
          <w:rFonts w:cs="Times New Roman"/>
          <w:szCs w:val="24"/>
        </w:rPr>
        <w:t xml:space="preserve">transición hacia </w:t>
      </w:r>
      <w:r w:rsidR="001A3C4C">
        <w:rPr>
          <w:rFonts w:cs="Times New Roman"/>
          <w:szCs w:val="24"/>
        </w:rPr>
        <w:t>el incremento de las</w:t>
      </w:r>
      <w:r w:rsidR="00212031">
        <w:rPr>
          <w:rFonts w:cs="Times New Roman"/>
          <w:szCs w:val="24"/>
        </w:rPr>
        <w:t xml:space="preserve"> fuentes renovables de energía</w:t>
      </w:r>
      <w:r w:rsidR="001A3C4C">
        <w:rPr>
          <w:rFonts w:cs="Times New Roman"/>
          <w:szCs w:val="24"/>
        </w:rPr>
        <w:t xml:space="preserve"> en la matriz de suministro de energía.</w:t>
      </w:r>
      <w:r w:rsidR="00A53E70">
        <w:rPr>
          <w:rFonts w:cs="Times New Roman"/>
          <w:szCs w:val="24"/>
        </w:rPr>
        <w:t xml:space="preserve"> </w:t>
      </w:r>
      <w:r w:rsidR="0081451A">
        <w:rPr>
          <w:rFonts w:cs="Times New Roman"/>
          <w:szCs w:val="24"/>
        </w:rPr>
        <w:t xml:space="preserve">La </w:t>
      </w:r>
      <w:r w:rsidR="00EE2807">
        <w:rPr>
          <w:rFonts w:cs="Times New Roman"/>
          <w:szCs w:val="24"/>
        </w:rPr>
        <w:t xml:space="preserve">matriz energética </w:t>
      </w:r>
      <w:r w:rsidR="0081451A">
        <w:rPr>
          <w:rFonts w:cs="Times New Roman"/>
          <w:szCs w:val="24"/>
        </w:rPr>
        <w:t xml:space="preserve">cubana se compone por </w:t>
      </w:r>
      <w:r w:rsidR="00EE2807">
        <w:rPr>
          <w:rFonts w:cs="Times New Roman"/>
          <w:szCs w:val="24"/>
        </w:rPr>
        <w:t>un 95 % de combustible fósil</w:t>
      </w:r>
      <w:r w:rsidR="0081451A">
        <w:rPr>
          <w:rFonts w:cs="Times New Roman"/>
          <w:szCs w:val="24"/>
        </w:rPr>
        <w:t xml:space="preserve"> y</w:t>
      </w:r>
      <w:r w:rsidR="00EE2807">
        <w:rPr>
          <w:rFonts w:cs="Times New Roman"/>
          <w:szCs w:val="24"/>
        </w:rPr>
        <w:t xml:space="preserve"> </w:t>
      </w:r>
      <w:r w:rsidR="0081451A">
        <w:rPr>
          <w:rFonts w:cs="Times New Roman"/>
          <w:szCs w:val="24"/>
        </w:rPr>
        <w:t>un</w:t>
      </w:r>
      <w:r w:rsidR="00EE2807">
        <w:rPr>
          <w:rFonts w:cs="Times New Roman"/>
          <w:szCs w:val="24"/>
        </w:rPr>
        <w:t xml:space="preserve"> 5 % </w:t>
      </w:r>
      <w:r w:rsidR="00FD0E64">
        <w:rPr>
          <w:rFonts w:cs="Times New Roman"/>
          <w:szCs w:val="24"/>
        </w:rPr>
        <w:t>de</w:t>
      </w:r>
      <w:r w:rsidR="00EE2807">
        <w:rPr>
          <w:rFonts w:cs="Times New Roman"/>
          <w:szCs w:val="24"/>
        </w:rPr>
        <w:t xml:space="preserve"> </w:t>
      </w:r>
      <w:r w:rsidR="003E71BF">
        <w:rPr>
          <w:rFonts w:cs="Times New Roman"/>
          <w:szCs w:val="24"/>
        </w:rPr>
        <w:t>FRE</w:t>
      </w:r>
      <w:r w:rsidR="00EE2807">
        <w:rPr>
          <w:rFonts w:cs="Times New Roman"/>
          <w:szCs w:val="24"/>
        </w:rPr>
        <w:t>. Otr</w:t>
      </w:r>
      <w:r w:rsidR="00FD0E64">
        <w:rPr>
          <w:rFonts w:cs="Times New Roman"/>
          <w:szCs w:val="24"/>
        </w:rPr>
        <w:t>o</w:t>
      </w:r>
      <w:r w:rsidR="00EE2807">
        <w:rPr>
          <w:rFonts w:cs="Times New Roman"/>
          <w:szCs w:val="24"/>
        </w:rPr>
        <w:t xml:space="preserve"> </w:t>
      </w:r>
      <w:r w:rsidR="00FD0E64">
        <w:rPr>
          <w:rFonts w:cs="Times New Roman"/>
          <w:szCs w:val="24"/>
        </w:rPr>
        <w:t>problema</w:t>
      </w:r>
      <w:r w:rsidR="00EE2807">
        <w:rPr>
          <w:rFonts w:cs="Times New Roman"/>
          <w:szCs w:val="24"/>
        </w:rPr>
        <w:t xml:space="preserve"> que afecta al país, es la obsolescencia t</w:t>
      </w:r>
      <w:r w:rsidR="003E71BF">
        <w:rPr>
          <w:rFonts w:cs="Times New Roman"/>
          <w:szCs w:val="24"/>
        </w:rPr>
        <w:t>écnica</w:t>
      </w:r>
      <w:r w:rsidR="005568E2">
        <w:rPr>
          <w:rFonts w:cs="Times New Roman"/>
          <w:szCs w:val="24"/>
        </w:rPr>
        <w:t xml:space="preserve"> del sistema de generación lo que provoca condiciones de baja disponibilidad</w:t>
      </w:r>
      <w:r w:rsidR="0013546E">
        <w:rPr>
          <w:rFonts w:cs="Times New Roman"/>
          <w:szCs w:val="24"/>
        </w:rPr>
        <w:t>.</w:t>
      </w:r>
      <w:r w:rsidR="00EE2807">
        <w:rPr>
          <w:rFonts w:cs="Times New Roman"/>
          <w:szCs w:val="24"/>
        </w:rPr>
        <w:t xml:space="preserve"> </w:t>
      </w:r>
      <w:r w:rsidR="00752339">
        <w:rPr>
          <w:rFonts w:cs="Times New Roman"/>
          <w:szCs w:val="24"/>
        </w:rPr>
        <w:t xml:space="preserve">Por tanto, resulta fundamental </w:t>
      </w:r>
      <w:r w:rsidR="008D3479">
        <w:rPr>
          <w:rFonts w:cs="Times New Roman"/>
          <w:szCs w:val="24"/>
        </w:rPr>
        <w:t>resolver las siguientes interrogantes</w:t>
      </w:r>
      <w:r w:rsidR="00EC2DB3">
        <w:rPr>
          <w:rFonts w:cs="Times New Roman"/>
          <w:szCs w:val="24"/>
        </w:rPr>
        <w:t>: i)</w:t>
      </w:r>
      <w:r w:rsidR="0013546E">
        <w:rPr>
          <w:rFonts w:cs="Times New Roman"/>
          <w:szCs w:val="24"/>
        </w:rPr>
        <w:t>-</w:t>
      </w:r>
      <w:r w:rsidR="00EC2DB3">
        <w:rPr>
          <w:rFonts w:cs="Times New Roman"/>
          <w:szCs w:val="24"/>
        </w:rPr>
        <w:t>¿en qué tecnologías se debe invertir a futuro?, ii)</w:t>
      </w:r>
      <w:r w:rsidR="0013546E">
        <w:rPr>
          <w:rFonts w:cs="Times New Roman"/>
          <w:szCs w:val="24"/>
        </w:rPr>
        <w:t>-</w:t>
      </w:r>
      <w:r w:rsidR="00EC2DB3">
        <w:rPr>
          <w:rFonts w:cs="Times New Roman"/>
          <w:szCs w:val="24"/>
        </w:rPr>
        <w:t>¿cuál es el momento oportuno para hacerlo?, iii)</w:t>
      </w:r>
      <w:r w:rsidR="0013546E">
        <w:rPr>
          <w:rFonts w:cs="Times New Roman"/>
          <w:szCs w:val="24"/>
        </w:rPr>
        <w:t>-</w:t>
      </w:r>
      <w:r w:rsidR="00EC2DB3">
        <w:rPr>
          <w:rFonts w:cs="Times New Roman"/>
          <w:szCs w:val="24"/>
        </w:rPr>
        <w:t>¿cuánto costaría tener una matriz que en su totalidad esté compuesta por FRE?</w:t>
      </w:r>
      <w:r w:rsidR="0013546E">
        <w:rPr>
          <w:rFonts w:cs="Times New Roman"/>
          <w:szCs w:val="24"/>
        </w:rPr>
        <w:t xml:space="preserve"> </w:t>
      </w:r>
      <w:r w:rsidRPr="0013546E">
        <w:rPr>
          <w:rFonts w:cs="Times New Roman"/>
          <w:b/>
          <w:szCs w:val="24"/>
        </w:rPr>
        <w:t>Objetivo</w:t>
      </w:r>
      <w:r w:rsidR="009061A5" w:rsidRPr="0013546E">
        <w:rPr>
          <w:rFonts w:cs="Times New Roman"/>
          <w:b/>
          <w:szCs w:val="24"/>
        </w:rPr>
        <w:t>(</w:t>
      </w:r>
      <w:r w:rsidRPr="0013546E">
        <w:rPr>
          <w:rFonts w:cs="Times New Roman"/>
          <w:b/>
          <w:szCs w:val="24"/>
        </w:rPr>
        <w:t>s</w:t>
      </w:r>
      <w:r w:rsidR="009061A5" w:rsidRPr="0013546E">
        <w:rPr>
          <w:rFonts w:cs="Times New Roman"/>
          <w:b/>
          <w:szCs w:val="24"/>
        </w:rPr>
        <w:t>)</w:t>
      </w:r>
      <w:r w:rsidRPr="0013546E">
        <w:rPr>
          <w:rFonts w:cs="Times New Roman"/>
          <w:b/>
          <w:szCs w:val="24"/>
        </w:rPr>
        <w:t>:</w:t>
      </w:r>
      <w:r w:rsidR="009061A5" w:rsidRPr="0013546E">
        <w:rPr>
          <w:rFonts w:cs="Times New Roman"/>
          <w:b/>
          <w:szCs w:val="24"/>
        </w:rPr>
        <w:t xml:space="preserve"> </w:t>
      </w:r>
      <w:r w:rsidR="00EC2DB3" w:rsidRPr="0013546E">
        <w:rPr>
          <w:rFonts w:cs="Times New Roman"/>
          <w:szCs w:val="24"/>
        </w:rPr>
        <w:t xml:space="preserve">Obtener el camino óptimo </w:t>
      </w:r>
      <w:r w:rsidR="00571880" w:rsidRPr="0013546E">
        <w:rPr>
          <w:rFonts w:cs="Times New Roman"/>
          <w:szCs w:val="24"/>
        </w:rPr>
        <w:t>para</w:t>
      </w:r>
      <w:r w:rsidR="00EC2DB3" w:rsidRPr="0013546E">
        <w:rPr>
          <w:rFonts w:cs="Times New Roman"/>
          <w:szCs w:val="24"/>
        </w:rPr>
        <w:t xml:space="preserve"> realizar la transición energética en Cuba hasta el año 2050 al menor costo posible.</w:t>
      </w:r>
      <w:r w:rsidR="0013546E" w:rsidRPr="0013546E">
        <w:rPr>
          <w:rFonts w:cs="Times New Roman"/>
          <w:szCs w:val="24"/>
        </w:rPr>
        <w:t xml:space="preserve"> </w:t>
      </w:r>
      <w:r w:rsidRPr="0013546E">
        <w:rPr>
          <w:rFonts w:cs="Times New Roman"/>
          <w:b/>
          <w:szCs w:val="24"/>
        </w:rPr>
        <w:t>Metodología:</w:t>
      </w:r>
      <w:r w:rsidR="009061A5" w:rsidRPr="0013546E">
        <w:rPr>
          <w:rFonts w:cs="Times New Roman"/>
          <w:b/>
          <w:szCs w:val="24"/>
        </w:rPr>
        <w:t xml:space="preserve"> </w:t>
      </w:r>
      <w:r w:rsidR="00EE2807" w:rsidRPr="0013546E">
        <w:rPr>
          <w:rFonts w:cs="Times New Roman"/>
          <w:szCs w:val="24"/>
        </w:rPr>
        <w:t xml:space="preserve">Para </w:t>
      </w:r>
      <w:r w:rsidR="00374EE9">
        <w:rPr>
          <w:rFonts w:cs="Times New Roman"/>
          <w:szCs w:val="24"/>
        </w:rPr>
        <w:t>solucionar</w:t>
      </w:r>
      <w:r w:rsidR="00EE2807" w:rsidRPr="0013546E">
        <w:rPr>
          <w:rFonts w:cs="Times New Roman"/>
          <w:szCs w:val="24"/>
        </w:rPr>
        <w:t xml:space="preserve"> la problemática</w:t>
      </w:r>
      <w:r w:rsidR="00843F84">
        <w:rPr>
          <w:rFonts w:cs="Times New Roman"/>
          <w:szCs w:val="24"/>
        </w:rPr>
        <w:t>,</w:t>
      </w:r>
      <w:r w:rsidR="00571880" w:rsidRPr="0013546E">
        <w:rPr>
          <w:rFonts w:cs="Times New Roman"/>
          <w:szCs w:val="24"/>
        </w:rPr>
        <w:t xml:space="preserve"> se </w:t>
      </w:r>
      <w:r w:rsidR="00374EE9">
        <w:rPr>
          <w:rFonts w:cs="Times New Roman"/>
          <w:szCs w:val="24"/>
        </w:rPr>
        <w:t>modela mediante</w:t>
      </w:r>
      <w:r w:rsidR="00571880" w:rsidRPr="0013546E">
        <w:rPr>
          <w:rFonts w:cs="Times New Roman"/>
          <w:szCs w:val="24"/>
        </w:rPr>
        <w:t xml:space="preserve"> </w:t>
      </w:r>
      <w:r w:rsidR="00374EE9" w:rsidRPr="0013546E">
        <w:rPr>
          <w:rFonts w:cs="Times New Roman"/>
          <w:szCs w:val="24"/>
        </w:rPr>
        <w:t xml:space="preserve">OSeMOSYS </w:t>
      </w:r>
      <w:r w:rsidR="00843F84">
        <w:rPr>
          <w:rFonts w:cs="Times New Roman"/>
          <w:szCs w:val="24"/>
        </w:rPr>
        <w:t>para su</w:t>
      </w:r>
      <w:r w:rsidR="00571880" w:rsidRPr="0013546E">
        <w:rPr>
          <w:rFonts w:cs="Times New Roman"/>
          <w:szCs w:val="24"/>
        </w:rPr>
        <w:t xml:space="preserve"> optimización de largo plazo</w:t>
      </w:r>
      <w:r w:rsidR="005D209C" w:rsidRPr="0013546E">
        <w:rPr>
          <w:rFonts w:cs="Times New Roman"/>
          <w:szCs w:val="24"/>
        </w:rPr>
        <w:t>.</w:t>
      </w:r>
      <w:r w:rsidR="00EC2DB3" w:rsidRPr="0013546E">
        <w:rPr>
          <w:rFonts w:cs="Times New Roman"/>
          <w:szCs w:val="24"/>
        </w:rPr>
        <w:t xml:space="preserve"> </w:t>
      </w:r>
      <w:r w:rsidR="005D209C" w:rsidRPr="0013546E">
        <w:rPr>
          <w:rFonts w:cs="Times New Roman"/>
          <w:szCs w:val="24"/>
        </w:rPr>
        <w:t>S</w:t>
      </w:r>
      <w:r w:rsidR="00EC2DB3" w:rsidRPr="0013546E">
        <w:rPr>
          <w:rFonts w:cs="Times New Roman"/>
          <w:szCs w:val="24"/>
        </w:rPr>
        <w:t xml:space="preserve">e </w:t>
      </w:r>
      <w:r w:rsidR="004357B0" w:rsidRPr="0013546E">
        <w:rPr>
          <w:rFonts w:cs="Times New Roman"/>
          <w:szCs w:val="24"/>
        </w:rPr>
        <w:t>evaluaron</w:t>
      </w:r>
      <w:r w:rsidR="00EC2DB3" w:rsidRPr="0013546E">
        <w:rPr>
          <w:rFonts w:cs="Times New Roman"/>
          <w:szCs w:val="24"/>
        </w:rPr>
        <w:t xml:space="preserve"> tres escenarios</w:t>
      </w:r>
      <w:r w:rsidR="005D209C" w:rsidRPr="0013546E">
        <w:rPr>
          <w:rFonts w:cs="Times New Roman"/>
          <w:szCs w:val="24"/>
        </w:rPr>
        <w:t xml:space="preserve"> con diferentes metas en cuanto a penetración de FRE</w:t>
      </w:r>
      <w:r w:rsidR="00EC2DB3" w:rsidRPr="0013546E">
        <w:rPr>
          <w:rFonts w:cs="Times New Roman"/>
          <w:szCs w:val="24"/>
        </w:rPr>
        <w:t>.</w:t>
      </w:r>
      <w:r w:rsidR="0013546E" w:rsidRPr="0013546E">
        <w:rPr>
          <w:rFonts w:cs="Times New Roman"/>
          <w:szCs w:val="24"/>
        </w:rPr>
        <w:t xml:space="preserve"> </w:t>
      </w:r>
      <w:r w:rsidRPr="0013546E">
        <w:rPr>
          <w:rFonts w:cs="Times New Roman"/>
          <w:b/>
          <w:szCs w:val="24"/>
        </w:rPr>
        <w:t>Resultados y discusión:</w:t>
      </w:r>
      <w:r w:rsidR="005D209C" w:rsidRPr="0013546E">
        <w:rPr>
          <w:rFonts w:cs="Times New Roman"/>
          <w:szCs w:val="24"/>
        </w:rPr>
        <w:t xml:space="preserve"> </w:t>
      </w:r>
      <w:r w:rsidR="004357B0" w:rsidRPr="0013546E">
        <w:rPr>
          <w:rFonts w:cs="Times New Roman"/>
          <w:szCs w:val="24"/>
        </w:rPr>
        <w:lastRenderedPageBreak/>
        <w:t xml:space="preserve">La generación de electricidad con PV y biomasa cañera resultaron </w:t>
      </w:r>
      <w:r w:rsidR="008E6FF7">
        <w:rPr>
          <w:rFonts w:cs="Times New Roman"/>
          <w:szCs w:val="24"/>
        </w:rPr>
        <w:t xml:space="preserve">más </w:t>
      </w:r>
      <w:r w:rsidR="004357B0" w:rsidRPr="0013546E">
        <w:rPr>
          <w:rFonts w:cs="Times New Roman"/>
          <w:szCs w:val="24"/>
        </w:rPr>
        <w:t xml:space="preserve">atractivas en el escenario </w:t>
      </w:r>
      <w:r w:rsidR="008E6FF7">
        <w:rPr>
          <w:rFonts w:cs="Times New Roman"/>
          <w:szCs w:val="24"/>
        </w:rPr>
        <w:t>3</w:t>
      </w:r>
      <w:r w:rsidR="004357B0" w:rsidRPr="0013546E">
        <w:rPr>
          <w:rFonts w:cs="Times New Roman"/>
          <w:szCs w:val="24"/>
        </w:rPr>
        <w:t>.</w:t>
      </w:r>
      <w:r w:rsidR="0013546E">
        <w:rPr>
          <w:rFonts w:cs="Times New Roman"/>
          <w:szCs w:val="24"/>
        </w:rPr>
        <w:t xml:space="preserve"> </w:t>
      </w:r>
      <w:r w:rsidRPr="0013546E">
        <w:rPr>
          <w:rFonts w:cs="Times New Roman"/>
          <w:b/>
          <w:szCs w:val="24"/>
        </w:rPr>
        <w:t>Conclusiones:</w:t>
      </w:r>
      <w:r w:rsidR="009061A5" w:rsidRPr="0013546E">
        <w:rPr>
          <w:rFonts w:cs="Times New Roman"/>
          <w:b/>
          <w:szCs w:val="24"/>
        </w:rPr>
        <w:t xml:space="preserve"> </w:t>
      </w:r>
      <w:r w:rsidR="005D209C" w:rsidRPr="0013546E">
        <w:rPr>
          <w:rFonts w:cs="Times New Roman"/>
          <w:szCs w:val="24"/>
        </w:rPr>
        <w:t xml:space="preserve">Mediante el uso de la herramienta OSeMOSYS se pudo obtener el camino menos costoso para cada una de los escenarios evaluados. </w:t>
      </w:r>
    </w:p>
    <w:p w14:paraId="06941CE8" w14:textId="77777777" w:rsidR="009061A5" w:rsidRDefault="009061A5" w:rsidP="00FF3346">
      <w:pPr>
        <w:spacing w:after="0"/>
        <w:rPr>
          <w:rFonts w:cs="Times New Roman"/>
          <w:szCs w:val="24"/>
        </w:rPr>
      </w:pPr>
    </w:p>
    <w:p w14:paraId="7B25B0F1" w14:textId="15346F36" w:rsidR="009061A5" w:rsidRPr="003E038B" w:rsidRDefault="009061A5" w:rsidP="00FF3346">
      <w:pPr>
        <w:spacing w:after="0"/>
        <w:rPr>
          <w:rFonts w:cs="Times New Roman"/>
          <w:szCs w:val="24"/>
          <w:lang w:val="en-GB"/>
        </w:rPr>
      </w:pPr>
      <w:r w:rsidRPr="003E038B">
        <w:rPr>
          <w:rFonts w:cs="Times New Roman"/>
          <w:b/>
          <w:i/>
          <w:szCs w:val="24"/>
          <w:lang w:val="en-GB"/>
        </w:rPr>
        <w:t>Abstract:</w:t>
      </w:r>
      <w:r w:rsidRPr="003E038B">
        <w:rPr>
          <w:rFonts w:cs="Times New Roman"/>
          <w:szCs w:val="24"/>
          <w:lang w:val="en-GB"/>
        </w:rPr>
        <w:t xml:space="preserve"> </w:t>
      </w:r>
      <w:r w:rsidR="0013546E" w:rsidRPr="003E038B">
        <w:rPr>
          <w:rFonts w:cs="Times New Roman"/>
          <w:i/>
          <w:iCs/>
          <w:szCs w:val="24"/>
          <w:lang w:val="en-GB"/>
        </w:rPr>
        <w:t xml:space="preserve">Humanity is facing one of its greatest challenges since its existence, which is global warming. The primary factor causing this problem is the burning of fossil fuels. In addition to this global situation, which implies a transition to renewable energy sources, our country has an energy matrix that generates 95% of its energy from fossil fuels, with only the remaining 5% coming from renewable energy sources. Another issue affecting the country is technological obsolescence, which sometimes leads to plant failures and power outages. The fundamental questions that need to be addressed are as follows: i) What technologies should be invested in for the future? ii) When is the opportune moment to do so? iii) How much would it cost to have a matrix composed entirely of renewable energy sources (RES)? Objectives: To find the optimal path for Cuba's energy transition by 2050 at the lowest possible cost. Methodology: To address the issue, the long-term optimization model OSeMOSYS is used. Three scenarios with different RES penetration goals were evaluated. Results and discussion: Electricity generation from PV and sugarcane biomass proved attractive in the </w:t>
      </w:r>
      <w:r w:rsidR="008E6FF7">
        <w:rPr>
          <w:rFonts w:cs="Times New Roman"/>
          <w:i/>
          <w:iCs/>
          <w:szCs w:val="24"/>
          <w:lang w:val="en-GB"/>
        </w:rPr>
        <w:t>third</w:t>
      </w:r>
      <w:r w:rsidR="0013546E" w:rsidRPr="003E038B">
        <w:rPr>
          <w:rFonts w:cs="Times New Roman"/>
          <w:i/>
          <w:iCs/>
          <w:szCs w:val="24"/>
          <w:lang w:val="en-GB"/>
        </w:rPr>
        <w:t xml:space="preserve"> scenario. Conclusions: Using the OSeMOSYS tool, the least costly path for each of the evaluated scenarios could be determined.</w:t>
      </w:r>
    </w:p>
    <w:p w14:paraId="70020462" w14:textId="77777777" w:rsidR="009061A5" w:rsidRPr="003E038B" w:rsidRDefault="009061A5" w:rsidP="00FF3346">
      <w:pPr>
        <w:spacing w:after="0"/>
        <w:rPr>
          <w:rFonts w:cs="Times New Roman"/>
          <w:szCs w:val="24"/>
          <w:lang w:val="en-GB"/>
        </w:rPr>
      </w:pPr>
    </w:p>
    <w:p w14:paraId="186F271A" w14:textId="0B317150" w:rsidR="009061A5" w:rsidRDefault="009061A5" w:rsidP="00FF3346">
      <w:pPr>
        <w:spacing w:after="0"/>
        <w:rPr>
          <w:rFonts w:cs="Times New Roman"/>
          <w:szCs w:val="24"/>
        </w:rPr>
      </w:pPr>
      <w:r w:rsidRPr="009061A5">
        <w:rPr>
          <w:rFonts w:cs="Times New Roman"/>
          <w:b/>
          <w:szCs w:val="24"/>
        </w:rPr>
        <w:t>Palabras Clave:</w:t>
      </w:r>
      <w:r>
        <w:rPr>
          <w:rFonts w:cs="Times New Roman"/>
          <w:szCs w:val="24"/>
        </w:rPr>
        <w:t xml:space="preserve"> </w:t>
      </w:r>
      <w:r w:rsidR="0013546E">
        <w:rPr>
          <w:rFonts w:cs="Times New Roman"/>
          <w:szCs w:val="24"/>
        </w:rPr>
        <w:t>Sistemas energéticos, Optimización, Planeación energética.</w:t>
      </w:r>
    </w:p>
    <w:p w14:paraId="7B3BE1E4" w14:textId="77777777" w:rsidR="009061A5" w:rsidRDefault="009061A5" w:rsidP="00FF3346">
      <w:pPr>
        <w:spacing w:after="0"/>
        <w:rPr>
          <w:rFonts w:cs="Times New Roman"/>
          <w:szCs w:val="24"/>
        </w:rPr>
      </w:pPr>
    </w:p>
    <w:p w14:paraId="4355D2AD" w14:textId="2A21DF11" w:rsidR="009061A5" w:rsidRPr="003E038B" w:rsidRDefault="009061A5" w:rsidP="00FF3346">
      <w:pPr>
        <w:spacing w:after="0"/>
        <w:rPr>
          <w:rFonts w:cs="Times New Roman"/>
          <w:szCs w:val="24"/>
          <w:lang w:val="en-GB"/>
        </w:rPr>
      </w:pPr>
      <w:r w:rsidRPr="003E038B">
        <w:rPr>
          <w:rFonts w:cs="Times New Roman"/>
          <w:b/>
          <w:i/>
          <w:szCs w:val="24"/>
          <w:lang w:val="en-GB"/>
        </w:rPr>
        <w:t>Keywords:</w:t>
      </w:r>
      <w:r w:rsidRPr="003E038B">
        <w:rPr>
          <w:rFonts w:cs="Times New Roman"/>
          <w:szCs w:val="24"/>
          <w:lang w:val="en-GB"/>
        </w:rPr>
        <w:t xml:space="preserve"> </w:t>
      </w:r>
      <w:r w:rsidR="0013546E" w:rsidRPr="003E038B">
        <w:rPr>
          <w:rFonts w:cs="Times New Roman"/>
          <w:i/>
          <w:iCs/>
          <w:szCs w:val="24"/>
          <w:lang w:val="en-GB"/>
        </w:rPr>
        <w:t>Energy system, Optimization, Energy Planning</w:t>
      </w:r>
    </w:p>
    <w:p w14:paraId="4E801196" w14:textId="6DF863C3" w:rsidR="003A36BC" w:rsidRDefault="003A36BC">
      <w:pPr>
        <w:spacing w:line="276" w:lineRule="auto"/>
        <w:jc w:val="left"/>
        <w:rPr>
          <w:rFonts w:cs="Times New Roman"/>
          <w:szCs w:val="24"/>
          <w:lang w:val="en-GB"/>
        </w:rPr>
      </w:pPr>
      <w:r>
        <w:rPr>
          <w:rFonts w:cs="Times New Roman"/>
          <w:szCs w:val="24"/>
          <w:lang w:val="en-GB"/>
        </w:rPr>
        <w:br w:type="page"/>
      </w:r>
    </w:p>
    <w:p w14:paraId="222F800F" w14:textId="77777777" w:rsidR="00A21A1F" w:rsidRDefault="00A21A1F" w:rsidP="00FF3346">
      <w:pPr>
        <w:spacing w:after="0"/>
        <w:rPr>
          <w:rFonts w:cs="Times New Roman"/>
          <w:b/>
          <w:szCs w:val="24"/>
        </w:rPr>
      </w:pPr>
      <w:r>
        <w:rPr>
          <w:rFonts w:cs="Times New Roman"/>
          <w:b/>
          <w:szCs w:val="24"/>
        </w:rPr>
        <w:lastRenderedPageBreak/>
        <w:t xml:space="preserve">1. </w:t>
      </w:r>
      <w:r w:rsidRPr="00A21A1F">
        <w:rPr>
          <w:rFonts w:cs="Times New Roman"/>
          <w:b/>
          <w:szCs w:val="24"/>
        </w:rPr>
        <w:t>Introducción</w:t>
      </w:r>
    </w:p>
    <w:p w14:paraId="11F69EB2" w14:textId="281F1DC0" w:rsidR="003C3A7B" w:rsidRDefault="003C3A7B" w:rsidP="00FF3346">
      <w:pPr>
        <w:spacing w:after="0"/>
        <w:rPr>
          <w:rFonts w:cs="Times New Roman"/>
          <w:szCs w:val="24"/>
        </w:rPr>
      </w:pPr>
      <w:r>
        <w:rPr>
          <w:rFonts w:cs="Times New Roman"/>
          <w:szCs w:val="24"/>
        </w:rPr>
        <w:t>En la actualidad la comunidad científica ha expresado la gran preocupación que existe entorno al cambio climático. Uno de los principales problemas es el asociado al incremento de la temperatura media global debido a la quema que combustibles fósiles</w:t>
      </w:r>
      <w:r w:rsidR="006E1F0E">
        <w:rPr>
          <w:rFonts w:cs="Times New Roman"/>
          <w:szCs w:val="24"/>
        </w:rPr>
        <w:fldChar w:fldCharType="begin"/>
      </w:r>
      <w:r w:rsidR="00155462">
        <w:rPr>
          <w:rFonts w:cs="Times New Roman"/>
          <w:szCs w:val="24"/>
        </w:rPr>
        <w:instrText xml:space="preserve"> ADDIN EN.CITE &lt;EndNote&gt;&lt;Cite&gt;&lt;Author&gt;IPCC&lt;/Author&gt;&lt;Year&gt;2023&lt;/Year&gt;&lt;RecNum&gt;683&lt;/RecNum&gt;&lt;DisplayText&gt;[1]&lt;/DisplayText&gt;&lt;record&gt;&lt;rec-number&gt;683&lt;/rec-number&gt;&lt;foreign-keys&gt;&lt;key app="EN" db-id="0frrtdxtxevvrge9vfkpszxqrzs2wzz59x90" timestamp="1696283347"&gt;683&lt;/key&gt;&lt;/foreign-keys&gt;&lt;ref-type name="Report"&gt;27&lt;/ref-type&gt;&lt;contributors&gt;&lt;authors&gt;&lt;author&gt;IPCC&lt;/author&gt;&lt;/authors&gt;&lt;/contributors&gt;&lt;titles&gt;&lt;title&gt;Climate Change 2023: Synthesis Report. Contribution of Working Groups I, II and III to the Sixth Assessment Report of the Intergovernmental Panel on Climate Change&lt;/title&gt;&lt;/titles&gt;&lt;dates&gt;&lt;year&gt;2023&lt;/year&gt;&lt;/dates&gt;&lt;isbn&gt;929169164X&lt;/isbn&gt;&lt;urls&gt;&lt;/urls&gt;&lt;electronic-resource-num&gt;doi: 10.59327/IPCC/AR6-9789291691647&lt;/electronic-resource-num&gt;&lt;/record&gt;&lt;/Cite&gt;&lt;/EndNote&gt;</w:instrText>
      </w:r>
      <w:r w:rsidR="006E1F0E">
        <w:rPr>
          <w:rFonts w:cs="Times New Roman"/>
          <w:szCs w:val="24"/>
        </w:rPr>
        <w:fldChar w:fldCharType="separate"/>
      </w:r>
      <w:r w:rsidR="00155462">
        <w:rPr>
          <w:rFonts w:cs="Times New Roman"/>
          <w:noProof/>
          <w:szCs w:val="24"/>
        </w:rPr>
        <w:t>[1]</w:t>
      </w:r>
      <w:r w:rsidR="006E1F0E">
        <w:rPr>
          <w:rFonts w:cs="Times New Roman"/>
          <w:szCs w:val="24"/>
        </w:rPr>
        <w:fldChar w:fldCharType="end"/>
      </w:r>
      <w:r w:rsidR="00864C74">
        <w:rPr>
          <w:rFonts w:cs="Times New Roman"/>
          <w:szCs w:val="24"/>
        </w:rPr>
        <w:t xml:space="preserve">. </w:t>
      </w:r>
      <w:r w:rsidR="00E138CE">
        <w:rPr>
          <w:rFonts w:cs="Times New Roman"/>
          <w:szCs w:val="24"/>
        </w:rPr>
        <w:t>A  pesar de las alarmas, l</w:t>
      </w:r>
      <w:r w:rsidR="00864C74">
        <w:rPr>
          <w:rFonts w:cs="Times New Roman"/>
          <w:szCs w:val="24"/>
        </w:rPr>
        <w:t xml:space="preserve">a </w:t>
      </w:r>
      <w:r w:rsidR="00E138CE">
        <w:rPr>
          <w:rFonts w:cs="Times New Roman"/>
          <w:szCs w:val="24"/>
        </w:rPr>
        <w:fldChar w:fldCharType="begin"/>
      </w:r>
      <w:r w:rsidR="00155462">
        <w:rPr>
          <w:rFonts w:cs="Times New Roman"/>
          <w:szCs w:val="24"/>
        </w:rPr>
        <w:instrText xml:space="preserve"> ADDIN EN.CITE &lt;EndNote&gt;&lt;Cite AuthorYear="1"&gt;&lt;Author&gt;IEA&lt;/Author&gt;&lt;Year&gt;2023&lt;/Year&gt;&lt;RecNum&gt;684&lt;/RecNum&gt;&lt;DisplayText&gt;IEA [2]&lt;/DisplayText&gt;&lt;record&gt;&lt;rec-number&gt;684&lt;/rec-number&gt;&lt;foreign-keys&gt;&lt;key app="EN" db-id="0frrtdxtxevvrge9vfkpszxqrzs2wzz59x90" timestamp="1696283903"&gt;684&lt;/key&gt;&lt;/foreign-keys&gt;&lt;ref-type name="Report"&gt;27&lt;/ref-type&gt;&lt;contributors&gt;&lt;authors&gt;&lt;author&gt;IEA&lt;/author&gt;&lt;/authors&gt;&lt;/contributors&gt;&lt;titles&gt;&lt;title&gt;Net Zero Roadmap: A Global Pathway to Keep the 1.5 °C Goal in Reach&lt;/title&gt;&lt;/titles&gt;&lt;dates&gt;&lt;year&gt;2023&lt;/year&gt;&lt;/dates&gt;&lt;pub-location&gt;Paris&lt;/pub-location&gt;&lt;publisher&gt;IEA&lt;/publisher&gt;&lt;urls&gt;&lt;related-urls&gt;&lt;url&gt;https://www.iea.org/reports/net-zero-roadmap-a-global-pathway-to-keep-the-15-0c-goal-in-reach&lt;/url&gt;&lt;/related-urls&gt;&lt;/urls&gt;&lt;/record&gt;&lt;/Cite&gt;&lt;/EndNote&gt;</w:instrText>
      </w:r>
      <w:r w:rsidR="00E138CE">
        <w:rPr>
          <w:rFonts w:cs="Times New Roman"/>
          <w:szCs w:val="24"/>
        </w:rPr>
        <w:fldChar w:fldCharType="separate"/>
      </w:r>
      <w:r w:rsidR="00155462">
        <w:rPr>
          <w:rFonts w:cs="Times New Roman"/>
          <w:noProof/>
          <w:szCs w:val="24"/>
        </w:rPr>
        <w:t>IEA [2]</w:t>
      </w:r>
      <w:r w:rsidR="00E138CE">
        <w:rPr>
          <w:rFonts w:cs="Times New Roman"/>
          <w:szCs w:val="24"/>
        </w:rPr>
        <w:fldChar w:fldCharType="end"/>
      </w:r>
      <w:r w:rsidR="00E138CE">
        <w:rPr>
          <w:rFonts w:cs="Times New Roman"/>
          <w:szCs w:val="24"/>
        </w:rPr>
        <w:t xml:space="preserve"> en su reporte de 2023 plantea que las </w:t>
      </w:r>
      <w:r w:rsidR="00864C74">
        <w:rPr>
          <w:rFonts w:cs="Times New Roman"/>
          <w:szCs w:val="24"/>
        </w:rPr>
        <w:t>emisiones de gases de efecto invernadero se han mantenido altas</w:t>
      </w:r>
      <w:r w:rsidR="00E138CE">
        <w:rPr>
          <w:rFonts w:cs="Times New Roman"/>
          <w:szCs w:val="24"/>
        </w:rPr>
        <w:t>, con un valor de</w:t>
      </w:r>
      <w:r w:rsidR="00864C74">
        <w:rPr>
          <w:rFonts w:cs="Times New Roman"/>
          <w:szCs w:val="24"/>
        </w:rPr>
        <w:t xml:space="preserve"> 37 Gt</w:t>
      </w:r>
      <w:r w:rsidR="00E138CE">
        <w:rPr>
          <w:rFonts w:cs="Times New Roman"/>
          <w:szCs w:val="24"/>
        </w:rPr>
        <w:t xml:space="preserve"> de CO2 en 2022, representando un incremento del 1% con respecto al año 2019. </w:t>
      </w:r>
      <w:r w:rsidR="00651A44">
        <w:rPr>
          <w:rFonts w:cs="Times New Roman"/>
          <w:szCs w:val="24"/>
        </w:rPr>
        <w:t xml:space="preserve">En relación a las temperaturas, julio y agosto del año 2023, ha mostrado records históricos. </w:t>
      </w:r>
      <w:r w:rsidR="007E2FBE">
        <w:rPr>
          <w:rFonts w:cs="Times New Roman"/>
          <w:szCs w:val="24"/>
        </w:rPr>
        <w:t>Por lo tanto,</w:t>
      </w:r>
      <w:r w:rsidR="00651A44">
        <w:rPr>
          <w:rFonts w:cs="Times New Roman"/>
          <w:szCs w:val="24"/>
        </w:rPr>
        <w:t xml:space="preserve"> urge</w:t>
      </w:r>
      <w:r w:rsidR="00A8100D">
        <w:rPr>
          <w:rFonts w:cs="Times New Roman"/>
          <w:szCs w:val="24"/>
        </w:rPr>
        <w:t xml:space="preserve"> desarrollar </w:t>
      </w:r>
      <w:r w:rsidR="007E2FBE">
        <w:rPr>
          <w:rFonts w:cs="Times New Roman"/>
          <w:szCs w:val="24"/>
        </w:rPr>
        <w:t xml:space="preserve">estrategias </w:t>
      </w:r>
      <w:r w:rsidR="004C7302">
        <w:rPr>
          <w:rFonts w:cs="Times New Roman"/>
          <w:szCs w:val="24"/>
        </w:rPr>
        <w:t xml:space="preserve">a largo plazo para alcanzar los objetivos propuestos </w:t>
      </w:r>
      <w:r w:rsidR="00651A44">
        <w:rPr>
          <w:rFonts w:cs="Times New Roman"/>
          <w:szCs w:val="24"/>
        </w:rPr>
        <w:t xml:space="preserve">por las diferentes organizaciones para evitar un aumento de la temperatura de 1.5°C </w:t>
      </w:r>
      <w:r w:rsidR="00651A44">
        <w:rPr>
          <w:rFonts w:cs="Times New Roman"/>
          <w:szCs w:val="24"/>
        </w:rPr>
        <w:fldChar w:fldCharType="begin"/>
      </w:r>
      <w:r w:rsidR="00155462">
        <w:rPr>
          <w:rFonts w:cs="Times New Roman"/>
          <w:szCs w:val="24"/>
        </w:rPr>
        <w:instrText xml:space="preserve"> ADDIN EN.CITE &lt;EndNote&gt;&lt;Cite&gt;&lt;Author&gt;IEA&lt;/Author&gt;&lt;Year&gt;2023&lt;/Year&gt;&lt;RecNum&gt;684&lt;/RecNum&gt;&lt;DisplayText&gt;[1, 2]&lt;/DisplayText&gt;&lt;record&gt;&lt;rec-number&gt;684&lt;/rec-number&gt;&lt;foreign-keys&gt;&lt;key app="EN" db-id="0frrtdxtxevvrge9vfkpszxqrzs2wzz59x90" timestamp="1696283903"&gt;684&lt;/key&gt;&lt;/foreign-keys&gt;&lt;ref-type name="Report"&gt;27&lt;/ref-type&gt;&lt;contributors&gt;&lt;authors&gt;&lt;author&gt;IEA&lt;/author&gt;&lt;/authors&gt;&lt;/contributors&gt;&lt;titles&gt;&lt;title&gt;Net Zero Roadmap: A Global Pathway to Keep the 1.5 °C Goal in Reach&lt;/title&gt;&lt;/titles&gt;&lt;dates&gt;&lt;year&gt;2023&lt;/year&gt;&lt;/dates&gt;&lt;pub-location&gt;Paris&lt;/pub-location&gt;&lt;publisher&gt;IEA&lt;/publisher&gt;&lt;urls&gt;&lt;related-urls&gt;&lt;url&gt;https://www.iea.org/reports/net-zero-roadmap-a-global-pathway-to-keep-the-15-0c-goal-in-reach&lt;/url&gt;&lt;/related-urls&gt;&lt;/urls&gt;&lt;/record&gt;&lt;/Cite&gt;&lt;Cite&gt;&lt;Author&gt;IPCC&lt;/Author&gt;&lt;Year&gt;2023&lt;/Year&gt;&lt;RecNum&gt;683&lt;/RecNum&gt;&lt;record&gt;&lt;rec-number&gt;683&lt;/rec-number&gt;&lt;foreign-keys&gt;&lt;key app="EN" db-id="0frrtdxtxevvrge9vfkpszxqrzs2wzz59x90" timestamp="1696283347"&gt;683&lt;/key&gt;&lt;/foreign-keys&gt;&lt;ref-type name="Report"&gt;27&lt;/ref-type&gt;&lt;contributors&gt;&lt;authors&gt;&lt;author&gt;IPCC&lt;/author&gt;&lt;/authors&gt;&lt;/contributors&gt;&lt;titles&gt;&lt;title&gt;Climate Change 2023: Synthesis Report. Contribution of Working Groups I, II and III to the Sixth Assessment Report of the Intergovernmental Panel on Climate Change&lt;/title&gt;&lt;/titles&gt;&lt;dates&gt;&lt;year&gt;2023&lt;/year&gt;&lt;/dates&gt;&lt;isbn&gt;929169164X&lt;/isbn&gt;&lt;urls&gt;&lt;/urls&gt;&lt;electronic-resource-num&gt;doi: 10.59327/IPCC/AR6-9789291691647&lt;/electronic-resource-num&gt;&lt;/record&gt;&lt;/Cite&gt;&lt;/EndNote&gt;</w:instrText>
      </w:r>
      <w:r w:rsidR="00651A44">
        <w:rPr>
          <w:rFonts w:cs="Times New Roman"/>
          <w:szCs w:val="24"/>
        </w:rPr>
        <w:fldChar w:fldCharType="separate"/>
      </w:r>
      <w:r w:rsidR="00155462">
        <w:rPr>
          <w:rFonts w:cs="Times New Roman"/>
          <w:noProof/>
          <w:szCs w:val="24"/>
        </w:rPr>
        <w:t>[1, 2]</w:t>
      </w:r>
      <w:r w:rsidR="00651A44">
        <w:rPr>
          <w:rFonts w:cs="Times New Roman"/>
          <w:szCs w:val="24"/>
        </w:rPr>
        <w:fldChar w:fldCharType="end"/>
      </w:r>
      <w:r w:rsidR="00651A44">
        <w:rPr>
          <w:rFonts w:cs="Times New Roman"/>
          <w:szCs w:val="24"/>
        </w:rPr>
        <w:t xml:space="preserve"> y cumplir con los acuerdos tomados en </w:t>
      </w:r>
      <w:r w:rsidR="003A1564">
        <w:rPr>
          <w:rFonts w:cs="Times New Roman"/>
          <w:szCs w:val="24"/>
        </w:rPr>
        <w:t>Par</w:t>
      </w:r>
      <w:r w:rsidR="003374EB">
        <w:rPr>
          <w:rFonts w:cs="Times New Roman"/>
          <w:szCs w:val="24"/>
        </w:rPr>
        <w:t>í</w:t>
      </w:r>
      <w:r w:rsidR="003A1564">
        <w:rPr>
          <w:rFonts w:cs="Times New Roman"/>
          <w:szCs w:val="24"/>
        </w:rPr>
        <w:t>s.</w:t>
      </w:r>
    </w:p>
    <w:p w14:paraId="1DCF509E" w14:textId="25236A12" w:rsidR="007E2FBE" w:rsidRDefault="00243907" w:rsidP="00FF3346">
      <w:pPr>
        <w:spacing w:after="0"/>
        <w:rPr>
          <w:rFonts w:cs="Times New Roman"/>
          <w:szCs w:val="24"/>
        </w:rPr>
      </w:pPr>
      <w:r>
        <w:rPr>
          <w:rFonts w:cs="Times New Roman"/>
          <w:szCs w:val="24"/>
        </w:rPr>
        <w:t xml:space="preserve">En este contexto se plantea que los países subdesarrollados o en vías de desarrollo, pequeñas islas, se verán afectadas en mayor medida por los efectos del cambio climático.  En este artículo se analizará el caso de Cuba, que es una isla ubicada en el Caribe, con una población de 11 millones de habitantes. </w:t>
      </w:r>
    </w:p>
    <w:p w14:paraId="247E708E" w14:textId="4ACD6641" w:rsidR="00381524" w:rsidRDefault="00C06BE9" w:rsidP="00FF3346">
      <w:pPr>
        <w:spacing w:after="0"/>
        <w:rPr>
          <w:rFonts w:cs="Times New Roman"/>
          <w:szCs w:val="24"/>
        </w:rPr>
      </w:pPr>
      <w:r>
        <w:rPr>
          <w:rFonts w:cs="Times New Roman"/>
          <w:szCs w:val="24"/>
        </w:rPr>
        <w:t>Por otra parte, s</w:t>
      </w:r>
      <w:r w:rsidR="00381524">
        <w:rPr>
          <w:rFonts w:cs="Times New Roman"/>
          <w:szCs w:val="24"/>
        </w:rPr>
        <w:t xml:space="preserve">egún datos de la </w:t>
      </w:r>
      <w:r>
        <w:rPr>
          <w:rFonts w:cs="Times New Roman"/>
          <w:szCs w:val="24"/>
        </w:rPr>
        <w:fldChar w:fldCharType="begin"/>
      </w:r>
      <w:r w:rsidR="00155462">
        <w:rPr>
          <w:rFonts w:cs="Times New Roman"/>
          <w:szCs w:val="24"/>
        </w:rPr>
        <w:instrText xml:space="preserve"> ADDIN EN.CITE &lt;EndNote&gt;&lt;Cite AuthorYear="1"&gt;&lt;Author&gt;ONEI&lt;/Author&gt;&lt;Year&gt;2021&lt;/Year&gt;&lt;RecNum&gt;673&lt;/RecNum&gt;&lt;DisplayText&gt;ONEI [3]&lt;/DisplayText&gt;&lt;record&gt;&lt;rec-number&gt;673&lt;/rec-number&gt;&lt;foreign-keys&gt;&lt;key app="EN" db-id="0frrtdxtxevvrge9vfkpszxqrzs2wzz59x90" timestamp="1669371191"&gt;673&lt;/key&gt;&lt;/foreign-keys&gt;&lt;ref-type name="Generic"&gt;13&lt;/ref-type&gt;&lt;contributors&gt;&lt;authors&gt;&lt;author&gt;ONEI&lt;/author&gt;&lt;/authors&gt;&lt;/contributors&gt;&lt;auth-address&gt;La Habana&lt;/auth-address&gt;&lt;titles&gt;&lt;title&gt;ELECTRICIDAD EN CUBA INDICADORES SELECCIONADOS&lt;/title&gt;&lt;/titles&gt;&lt;dates&gt;&lt;year&gt;2021&lt;/year&gt;&lt;/dates&gt;&lt;urls&gt;&lt;related-urls&gt;&lt;url&gt;http://www.onei.gob.cu/publicaciones-tipo/Anuario&lt;/url&gt;&lt;/related-urls&gt;&lt;/urls&gt;&lt;language&gt;Español&lt;/language&gt;&lt;/record&gt;&lt;/Cite&gt;&lt;Cite AuthorYear="1"&gt;&lt;Author&gt;ONEI&lt;/Author&gt;&lt;Year&gt;2021&lt;/Year&gt;&lt;RecNum&gt;673&lt;/RecNum&gt;&lt;record&gt;&lt;rec-number&gt;673&lt;/rec-number&gt;&lt;foreign-keys&gt;&lt;key app="EN" db-id="0frrtdxtxevvrge9vfkpszxqrzs2wzz59x90" timestamp="1669371191"&gt;673&lt;/key&gt;&lt;/foreign-keys&gt;&lt;ref-type name="Generic"&gt;13&lt;/ref-type&gt;&lt;contributors&gt;&lt;authors&gt;&lt;author&gt;ONEI&lt;/author&gt;&lt;/authors&gt;&lt;/contributors&gt;&lt;auth-address&gt;La Habana&lt;/auth-address&gt;&lt;titles&gt;&lt;title&gt;ELECTRICIDAD EN CUBA INDICADORES SELECCIONADOS&lt;/title&gt;&lt;/titles&gt;&lt;dates&gt;&lt;year&gt;2021&lt;/year&gt;&lt;/dates&gt;&lt;urls&gt;&lt;related-urls&gt;&lt;url&gt;http://www.onei.gob.cu/publicaciones-tipo/Anuario&lt;/url&gt;&lt;/related-urls&gt;&lt;/urls&gt;&lt;language&gt;Español&lt;/language&gt;&lt;/record&gt;&lt;/Cite&gt;&lt;/EndNote&gt;</w:instrText>
      </w:r>
      <w:r>
        <w:rPr>
          <w:rFonts w:cs="Times New Roman"/>
          <w:szCs w:val="24"/>
        </w:rPr>
        <w:fldChar w:fldCharType="separate"/>
      </w:r>
      <w:r w:rsidR="00155462">
        <w:rPr>
          <w:rFonts w:cs="Times New Roman"/>
          <w:noProof/>
          <w:szCs w:val="24"/>
        </w:rPr>
        <w:t>ONEI [3]</w:t>
      </w:r>
      <w:r>
        <w:rPr>
          <w:rFonts w:cs="Times New Roman"/>
          <w:szCs w:val="24"/>
        </w:rPr>
        <w:fldChar w:fldCharType="end"/>
      </w:r>
      <w:r>
        <w:rPr>
          <w:rFonts w:cs="Times New Roman"/>
          <w:szCs w:val="24"/>
        </w:rPr>
        <w:t xml:space="preserve"> en el año 2021</w:t>
      </w:r>
      <w:r w:rsidR="00381524">
        <w:rPr>
          <w:rFonts w:cs="Times New Roman"/>
          <w:szCs w:val="24"/>
        </w:rPr>
        <w:t>, la generación de electricidad con FRE en Cuba tuvo una participación de solo 4,8 % de FRE, mientras que un 95,2 % fue generado a partir de combustibles fósiles (</w:t>
      </w:r>
      <w:r w:rsidR="00E35602">
        <w:rPr>
          <w:rFonts w:cs="Times New Roman"/>
          <w:szCs w:val="24"/>
        </w:rPr>
        <w:t xml:space="preserve">ver </w:t>
      </w:r>
      <w:r w:rsidR="00381524">
        <w:rPr>
          <w:rFonts w:cs="Times New Roman"/>
          <w:szCs w:val="24"/>
        </w:rPr>
        <w:t>Fig 1</w:t>
      </w:r>
      <w:r w:rsidR="00E35602">
        <w:rPr>
          <w:rFonts w:cs="Times New Roman"/>
          <w:szCs w:val="24"/>
        </w:rPr>
        <w:t xml:space="preserve"> para más detalles</w:t>
      </w:r>
      <w:r w:rsidR="00381524">
        <w:rPr>
          <w:rFonts w:cs="Times New Roman"/>
          <w:szCs w:val="24"/>
        </w:rPr>
        <w:t xml:space="preserve">). </w:t>
      </w:r>
      <w:r w:rsidR="00E35602">
        <w:rPr>
          <w:rFonts w:cs="Times New Roman"/>
          <w:szCs w:val="24"/>
        </w:rPr>
        <w:t>Es importante mencionar que gran parte de estos combustibles fósiles provienen del exterior, es decir, que son importados lo cual afecta la soberanía, seguridad e independencia energética</w:t>
      </w:r>
      <w:r w:rsidR="00381524">
        <w:rPr>
          <w:rFonts w:cs="Times New Roman"/>
          <w:szCs w:val="24"/>
        </w:rPr>
        <w:t xml:space="preserve"> </w:t>
      </w:r>
      <w:r w:rsidR="00E35602">
        <w:rPr>
          <w:rFonts w:cs="Times New Roman"/>
          <w:szCs w:val="24"/>
        </w:rPr>
        <w:t>del país.</w:t>
      </w:r>
      <w:r w:rsidR="00C04FBE">
        <w:rPr>
          <w:rFonts w:cs="Times New Roman"/>
          <w:szCs w:val="24"/>
        </w:rPr>
        <w:t xml:space="preserve">  </w:t>
      </w:r>
    </w:p>
    <w:p w14:paraId="1A9F39A1" w14:textId="5B2E7B6C" w:rsidR="0028440F" w:rsidRDefault="00DD78D2" w:rsidP="00DD78D2">
      <w:pPr>
        <w:spacing w:after="0"/>
        <w:jc w:val="center"/>
        <w:rPr>
          <w:rFonts w:cs="Times New Roman"/>
          <w:b/>
          <w:bCs/>
          <w:szCs w:val="24"/>
        </w:rPr>
      </w:pPr>
      <w:r w:rsidRPr="00DD78D2">
        <w:rPr>
          <w:noProof/>
        </w:rPr>
        <w:drawing>
          <wp:inline distT="0" distB="0" distL="0" distR="0" wp14:anchorId="24F767A1" wp14:editId="0962D65B">
            <wp:extent cx="3212710" cy="2337683"/>
            <wp:effectExtent l="0" t="0" r="698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045" t="5574" b="4464"/>
                    <a:stretch/>
                  </pic:blipFill>
                  <pic:spPr bwMode="auto">
                    <a:xfrm>
                      <a:off x="0" y="0"/>
                      <a:ext cx="3221988" cy="2344434"/>
                    </a:xfrm>
                    <a:prstGeom prst="rect">
                      <a:avLst/>
                    </a:prstGeom>
                    <a:noFill/>
                    <a:ln>
                      <a:noFill/>
                    </a:ln>
                    <a:extLst>
                      <a:ext uri="{53640926-AAD7-44D8-BBD7-CCE9431645EC}">
                        <a14:shadowObscured xmlns:a14="http://schemas.microsoft.com/office/drawing/2010/main"/>
                      </a:ext>
                    </a:extLst>
                  </pic:spPr>
                </pic:pic>
              </a:graphicData>
            </a:graphic>
          </wp:inline>
        </w:drawing>
      </w:r>
    </w:p>
    <w:p w14:paraId="49FBAA8E" w14:textId="30623662" w:rsidR="0028440F" w:rsidRDefault="00DD78D2" w:rsidP="00DD78D2">
      <w:pPr>
        <w:spacing w:after="0"/>
        <w:jc w:val="center"/>
        <w:rPr>
          <w:rFonts w:cs="Times New Roman"/>
          <w:b/>
          <w:bCs/>
          <w:i/>
          <w:iCs/>
          <w:sz w:val="20"/>
          <w:szCs w:val="20"/>
          <w:lang w:val="es-ES_tradnl"/>
        </w:rPr>
      </w:pPr>
      <w:r w:rsidRPr="00015E8B">
        <w:rPr>
          <w:rFonts w:cs="Times New Roman"/>
          <w:sz w:val="20"/>
          <w:szCs w:val="20"/>
        </w:rPr>
        <w:t>Fig</w:t>
      </w:r>
      <w:r w:rsidR="00015E8B">
        <w:rPr>
          <w:rFonts w:cs="Times New Roman"/>
          <w:sz w:val="20"/>
          <w:szCs w:val="20"/>
        </w:rPr>
        <w:t>ura</w:t>
      </w:r>
      <w:r w:rsidRPr="00015E8B">
        <w:rPr>
          <w:rFonts w:cs="Times New Roman"/>
          <w:sz w:val="20"/>
          <w:szCs w:val="20"/>
        </w:rPr>
        <w:t xml:space="preserve"> 1. Elaboración propia a partir de datos de la ONEI 2021</w:t>
      </w:r>
      <w:r w:rsidRPr="00DD78D2">
        <w:rPr>
          <w:rFonts w:cs="Times New Roman"/>
          <w:b/>
          <w:bCs/>
          <w:i/>
          <w:iCs/>
          <w:sz w:val="20"/>
          <w:szCs w:val="20"/>
        </w:rPr>
        <w:t xml:space="preserve"> </w:t>
      </w:r>
      <w:hyperlink r:id="rId8" w:history="1">
        <w:r w:rsidRPr="00F74864">
          <w:rPr>
            <w:rStyle w:val="Hyperlink"/>
            <w:rFonts w:cs="Times New Roman"/>
            <w:b/>
            <w:bCs/>
            <w:i/>
            <w:iCs/>
            <w:sz w:val="20"/>
            <w:szCs w:val="20"/>
            <w:lang w:val="es-ES_tradnl"/>
          </w:rPr>
          <w:t>http://www.onei.gob.cu/node/18491</w:t>
        </w:r>
      </w:hyperlink>
    </w:p>
    <w:p w14:paraId="3F032637" w14:textId="15619E01" w:rsidR="000B0463" w:rsidRDefault="00243907" w:rsidP="003D0FF3">
      <w:pPr>
        <w:spacing w:after="0"/>
        <w:rPr>
          <w:rFonts w:cs="Times New Roman"/>
          <w:szCs w:val="24"/>
          <w:lang w:val="es-ES_tradnl"/>
        </w:rPr>
      </w:pPr>
      <w:r>
        <w:rPr>
          <w:rFonts w:cs="Times New Roman"/>
          <w:szCs w:val="24"/>
          <w:lang w:val="es-ES_tradnl"/>
        </w:rPr>
        <w:lastRenderedPageBreak/>
        <w:t>E</w:t>
      </w:r>
      <w:r w:rsidR="00C04FBE">
        <w:rPr>
          <w:rFonts w:cs="Times New Roman"/>
          <w:szCs w:val="24"/>
          <w:lang w:val="es-ES_tradnl"/>
        </w:rPr>
        <w:t>n 2014, el gobierno cubano implementó una política</w:t>
      </w:r>
      <w:r w:rsidR="004351BA">
        <w:rPr>
          <w:rFonts w:cs="Times New Roman"/>
          <w:szCs w:val="24"/>
          <w:lang w:val="es-ES_tradnl"/>
        </w:rPr>
        <w:t xml:space="preserve"> para el desarrollo de las fuentes renovables de energía y el uso eficiente de la energía. Esta política inicialmente estaba concebida para aumentar la penetración de FRE hasta un 24%. Posteriormente se actualizó hasta alcanzar 15% de biomasa, 9 % de parques eólicos, 12 % de solar fotovoltaica y 1% de hidroeléctricas sumando un total de 37%</w:t>
      </w:r>
      <w:r w:rsidR="009853AF">
        <w:rPr>
          <w:rFonts w:cs="Times New Roman"/>
          <w:szCs w:val="24"/>
          <w:lang w:val="es-ES_tradnl"/>
        </w:rPr>
        <w:t xml:space="preserve"> </w:t>
      </w:r>
      <w:r w:rsidR="004351BA">
        <w:rPr>
          <w:rFonts w:cs="Times New Roman"/>
          <w:szCs w:val="24"/>
          <w:lang w:val="es-ES_tradnl"/>
        </w:rPr>
        <w:fldChar w:fldCharType="begin"/>
      </w:r>
      <w:r w:rsidR="00155462">
        <w:rPr>
          <w:rFonts w:cs="Times New Roman"/>
          <w:szCs w:val="24"/>
          <w:lang w:val="es-ES_tradnl"/>
        </w:rPr>
        <w:instrText xml:space="preserve"> ADDIN EN.CITE &lt;EndNote&gt;&lt;Cite&gt;&lt;Author&gt;JUSTICIA&lt;/Author&gt;&lt;Year&gt;2019&lt;/Year&gt;&lt;RecNum&gt;676&lt;/RecNum&gt;&lt;DisplayText&gt;[4, 5]&lt;/DisplayText&gt;&lt;record&gt;&lt;rec-number&gt;676&lt;/rec-number&gt;&lt;foreign-keys&gt;&lt;key app="EN" db-id="0frrtdxtxevvrge9vfkpszxqrzs2wzz59x90" timestamp="1669385748"&gt;676&lt;/key&gt;&lt;/foreign-keys&gt;&lt;ref-type name="Government Document"&gt;46&lt;/ref-type&gt;&lt;contributors&gt;&lt;authors&gt;&lt;author&gt;MINISTERIO DE JUSTICIA&lt;/author&gt;&lt;/authors&gt;&lt;/contributors&gt;&lt;auth-address&gt;Calle Zanja No. 352 esquina a Escobar, Centro Habana&lt;/auth-address&gt;&lt;titles&gt;&lt;title&gt;DECRETO-LEY NO. 345 &amp;quot;DEL DESARROLLO DE LAS FUENTES RENOVABLES Y EL USO EFICIENTE DE LA ENERGÍA&amp;quot;&lt;/title&gt;&lt;/titles&gt;&lt;pages&gt;2123&lt;/pages&gt;&lt;volume&gt;95&lt;/volume&gt;&lt;dates&gt;&lt;year&gt;2019&lt;/year&gt;&lt;/dates&gt;&lt;urls&gt;&lt;related-urls&gt;&lt;url&gt;http://www.gacetaoficial.gob.cu/&lt;/url&gt;&lt;/related-urls&gt;&lt;/urls&gt;&lt;language&gt;Español&lt;/language&gt;&lt;/record&gt;&lt;/Cite&gt;&lt;Cite&gt;&lt;Author&gt;Figueredo  Reinaldo&lt;/Author&gt;&lt;Year&gt;2022&lt;/Year&gt;&lt;RecNum&gt;675&lt;/RecNum&gt;&lt;record&gt;&lt;rec-number&gt;675&lt;/rec-number&gt;&lt;foreign-keys&gt;&lt;key app="EN" db-id="0frrtdxtxevvrge9vfkpszxqrzs2wzz59x90" timestamp="1669385083"&gt;675&lt;/key&gt;&lt;/foreign-keys&gt;&lt;ref-type name="Newspaper Article"&gt;23&lt;/ref-type&gt;&lt;contributors&gt;&lt;authors&gt;&lt;author&gt; Figueredo  Reinaldo,   Oscar&lt;/author&gt;&lt;author&gt;Edilberto Carmona,  Tamayo&lt;/author&gt;&lt;/authors&gt;&lt;/contributors&gt;&lt;titles&gt;&lt;title&gt;Cuba en Datos: El ineludible cambio de la matriz energética que necesitamos&lt;/title&gt;&lt;secondary-title&gt;Cubadebate&lt;/secondary-title&gt;&lt;/titles&gt;&lt;dates&gt;&lt;year&gt;2022&lt;/year&gt;&lt;/dates&gt;&lt;pub-location&gt;Cuba en Datos&lt;/pub-location&gt;&lt;urls&gt;&lt;related-urls&gt;&lt;url&gt;http://www.cubadebate.cu/especiales/2022/07/01/cuba-en-datos-el-ineludible-cambio-de-la-matriz-energetica-que-necesitamos/&lt;/url&gt;&lt;/related-urls&gt;&lt;/urls&gt;&lt;/record&gt;&lt;/Cite&gt;&lt;/EndNote&gt;</w:instrText>
      </w:r>
      <w:r w:rsidR="004351BA">
        <w:rPr>
          <w:rFonts w:cs="Times New Roman"/>
          <w:szCs w:val="24"/>
          <w:lang w:val="es-ES_tradnl"/>
        </w:rPr>
        <w:fldChar w:fldCharType="separate"/>
      </w:r>
      <w:r w:rsidR="00155462">
        <w:rPr>
          <w:rFonts w:cs="Times New Roman"/>
          <w:noProof/>
          <w:szCs w:val="24"/>
          <w:lang w:val="es-ES_tradnl"/>
        </w:rPr>
        <w:t>[4, 5]</w:t>
      </w:r>
      <w:r w:rsidR="004351BA">
        <w:rPr>
          <w:rFonts w:cs="Times New Roman"/>
          <w:szCs w:val="24"/>
          <w:lang w:val="es-ES_tradnl"/>
        </w:rPr>
        <w:fldChar w:fldCharType="end"/>
      </w:r>
      <w:r w:rsidR="004351BA">
        <w:rPr>
          <w:rFonts w:cs="Times New Roman"/>
          <w:szCs w:val="24"/>
          <w:lang w:val="es-ES_tradnl"/>
        </w:rPr>
        <w:t>.</w:t>
      </w:r>
      <w:r>
        <w:rPr>
          <w:rFonts w:cs="Times New Roman"/>
          <w:szCs w:val="24"/>
          <w:lang w:val="es-ES_tradnl"/>
        </w:rPr>
        <w:t xml:space="preserve"> La implementación de este programa pretende alcanzar objetivos tales como, </w:t>
      </w:r>
      <w:r w:rsidR="009C175A">
        <w:rPr>
          <w:rFonts w:cs="Times New Roman"/>
          <w:szCs w:val="24"/>
          <w:lang w:val="es-ES_tradnl"/>
        </w:rPr>
        <w:t>reducir las importaciones de combustible, disminuir el costo de producción de la electricidad, incrementar el acceso a la electricidad en la población y en la industria y disminuir las emisiones de CO2 a la atm</w:t>
      </w:r>
      <w:r w:rsidR="004020C8">
        <w:rPr>
          <w:rFonts w:cs="Times New Roman"/>
          <w:szCs w:val="24"/>
          <w:lang w:val="es-ES_tradnl"/>
        </w:rPr>
        <w:t>ó</w:t>
      </w:r>
      <w:r w:rsidR="009C175A">
        <w:rPr>
          <w:rFonts w:cs="Times New Roman"/>
          <w:szCs w:val="24"/>
          <w:lang w:val="es-ES_tradnl"/>
        </w:rPr>
        <w:t>sfera</w:t>
      </w:r>
      <w:r w:rsidR="004020C8">
        <w:rPr>
          <w:rFonts w:cs="Times New Roman"/>
          <w:szCs w:val="24"/>
          <w:lang w:val="es-ES_tradnl"/>
        </w:rPr>
        <w:t>.</w:t>
      </w:r>
    </w:p>
    <w:p w14:paraId="0C54ACD6" w14:textId="4221FACA" w:rsidR="00146AB8" w:rsidRDefault="004020C8" w:rsidP="003D0FF3">
      <w:pPr>
        <w:spacing w:after="0"/>
        <w:rPr>
          <w:rFonts w:cs="Times New Roman"/>
          <w:szCs w:val="24"/>
          <w:lang w:val="es-ES_tradnl"/>
        </w:rPr>
      </w:pPr>
      <w:r>
        <w:rPr>
          <w:rFonts w:cs="Times New Roman"/>
          <w:szCs w:val="24"/>
          <w:lang w:val="es-ES_tradnl"/>
        </w:rPr>
        <w:t>Dada la complejidad de los sistemas energéticos, es de vital importancia diseñar de forma óptima la matriz energética del futuro</w:t>
      </w:r>
      <w:r w:rsidR="00155462">
        <w:rPr>
          <w:rFonts w:cs="Times New Roman"/>
          <w:szCs w:val="24"/>
          <w:lang w:val="es-ES_tradnl"/>
        </w:rPr>
        <w:t>. En este sentido, varias herramientas han sido desarrolladas</w:t>
      </w:r>
      <w:r w:rsidR="00080DA6">
        <w:rPr>
          <w:rFonts w:cs="Times New Roman"/>
          <w:szCs w:val="24"/>
          <w:lang w:val="es-ES_tradnl"/>
        </w:rPr>
        <w:t>,</w:t>
      </w:r>
      <w:r w:rsidR="00155462">
        <w:rPr>
          <w:rFonts w:cs="Times New Roman"/>
          <w:szCs w:val="24"/>
          <w:lang w:val="es-ES_tradnl"/>
        </w:rPr>
        <w:t xml:space="preserve"> para ayudar </w:t>
      </w:r>
      <w:r w:rsidR="00080DA6">
        <w:rPr>
          <w:rFonts w:cs="Times New Roman"/>
          <w:szCs w:val="24"/>
          <w:lang w:val="es-ES_tradnl"/>
        </w:rPr>
        <w:t>en el</w:t>
      </w:r>
      <w:r w:rsidR="00155462">
        <w:rPr>
          <w:rFonts w:cs="Times New Roman"/>
          <w:szCs w:val="24"/>
          <w:lang w:val="es-ES_tradnl"/>
        </w:rPr>
        <w:t xml:space="preserve"> proceso de toma de decisiones. </w:t>
      </w:r>
      <w:r w:rsidR="00155462">
        <w:rPr>
          <w:rFonts w:cs="Times New Roman"/>
          <w:szCs w:val="24"/>
          <w:lang w:val="es-ES_tradnl"/>
        </w:rPr>
        <w:fldChar w:fldCharType="begin"/>
      </w:r>
      <w:r w:rsidR="00026F6E">
        <w:rPr>
          <w:rFonts w:cs="Times New Roman"/>
          <w:szCs w:val="24"/>
          <w:lang w:val="es-ES_tradnl"/>
        </w:rPr>
        <w:instrText xml:space="preserve"> ADDIN EN.CITE &lt;EndNote&gt;&lt;Cite AuthorYear="1"&gt;&lt;Author&gt;Ringkjøb&lt;/Author&gt;&lt;Year&gt;2018&lt;/Year&gt;&lt;RecNum&gt;660&lt;/RecNum&gt;&lt;DisplayText&gt;Ringkjøb, et al. [6]&lt;/DisplayText&gt;&lt;record&gt;&lt;rec-number&gt;660&lt;/rec-number&gt;&lt;foreign-keys&gt;&lt;key app="EN" db-id="0frrtdxtxevvrge9vfkpszxqrzs2wzz59x90" timestamp="1643478048"&gt;660&lt;/key&gt;&lt;/foreign-keys&gt;&lt;ref-type name="Journal Article"&gt;17&lt;/ref-type&gt;&lt;contributors&gt;&lt;authors&gt;&lt;author&gt;Ringkjøb, Hans-Kristian&lt;/author&gt;&lt;author&gt;Haugan, Peter M.&lt;/author&gt;&lt;author&gt;Solbrekke, Ida Marie&lt;/author&gt;&lt;/authors&gt;&lt;/contributors&gt;&lt;titles&gt;&lt;title&gt;A review of modelling tools for energy and electricity systems with large shares of variable renewables&lt;/title&gt;&lt;secondary-title&gt;Renewable and Sustainable Energy Reviews&lt;/secondary-title&gt;&lt;/titles&gt;&lt;periodical&gt;&lt;full-title&gt;Renewable and Sustainable Energy Reviews&lt;/full-title&gt;&lt;/periodical&gt;&lt;pages&gt;440-459&lt;/pages&gt;&lt;volume&gt;96&lt;/volume&gt;&lt;keywords&gt;&lt;keyword&gt;Renewable energy&lt;/keyword&gt;&lt;keyword&gt;Energy modelling tools&lt;/keyword&gt;&lt;keyword&gt;Energy models&lt;/keyword&gt;&lt;keyword&gt;Electricity models&lt;/keyword&gt;&lt;keyword&gt;Energy systems&lt;/keyword&gt;&lt;/keywords&gt;&lt;dates&gt;&lt;year&gt;2018&lt;/year&gt;&lt;pub-dates&gt;&lt;date&gt;2018/11/01/&lt;/date&gt;&lt;/pub-dates&gt;&lt;/dates&gt;&lt;isbn&gt;1364-0321&lt;/isbn&gt;&lt;urls&gt;&lt;related-urls&gt;&lt;url&gt;https://www.sciencedirect.com/science/article/pii/S1364032118305690&lt;/url&gt;&lt;/related-urls&gt;&lt;/urls&gt;&lt;electronic-resource-num&gt;https://doi.org/10.1016/j.rser.2018.08.002&lt;/electronic-resource-num&gt;&lt;/record&gt;&lt;/Cite&gt;&lt;/EndNote&gt;</w:instrText>
      </w:r>
      <w:r w:rsidR="00155462">
        <w:rPr>
          <w:rFonts w:cs="Times New Roman"/>
          <w:szCs w:val="24"/>
          <w:lang w:val="es-ES_tradnl"/>
        </w:rPr>
        <w:fldChar w:fldCharType="separate"/>
      </w:r>
      <w:r w:rsidR="00026F6E">
        <w:rPr>
          <w:rFonts w:cs="Times New Roman"/>
          <w:noProof/>
          <w:szCs w:val="24"/>
          <w:lang w:val="es-ES_tradnl"/>
        </w:rPr>
        <w:t>Ringkjøb, et al. [6]</w:t>
      </w:r>
      <w:r w:rsidR="00155462">
        <w:rPr>
          <w:rFonts w:cs="Times New Roman"/>
          <w:szCs w:val="24"/>
          <w:lang w:val="es-ES_tradnl"/>
        </w:rPr>
        <w:fldChar w:fldCharType="end"/>
      </w:r>
      <w:r w:rsidR="00155462">
        <w:rPr>
          <w:rFonts w:cs="Times New Roman"/>
          <w:szCs w:val="24"/>
          <w:lang w:val="es-ES_tradnl"/>
        </w:rPr>
        <w:t xml:space="preserve"> en su trabajo </w:t>
      </w:r>
      <w:r w:rsidR="00E17715">
        <w:rPr>
          <w:rFonts w:cs="Times New Roman"/>
          <w:szCs w:val="24"/>
          <w:lang w:val="es-ES_tradnl"/>
        </w:rPr>
        <w:t>se realizó</w:t>
      </w:r>
      <w:r w:rsidR="00155462">
        <w:rPr>
          <w:rFonts w:cs="Times New Roman"/>
          <w:szCs w:val="24"/>
          <w:lang w:val="es-ES_tradnl"/>
        </w:rPr>
        <w:t xml:space="preserve"> una revisión </w:t>
      </w:r>
      <w:r w:rsidR="00E17715">
        <w:rPr>
          <w:rFonts w:cs="Times New Roman"/>
          <w:szCs w:val="24"/>
          <w:lang w:val="es-ES_tradnl"/>
        </w:rPr>
        <w:t>bibliográfica, donde se analizaron</w:t>
      </w:r>
      <w:r w:rsidR="00155462">
        <w:rPr>
          <w:rFonts w:cs="Times New Roman"/>
          <w:szCs w:val="24"/>
          <w:lang w:val="es-ES_tradnl"/>
        </w:rPr>
        <w:t xml:space="preserve"> 75 modelos usados </w:t>
      </w:r>
      <w:r w:rsidR="00AA74CB">
        <w:rPr>
          <w:rFonts w:cs="Times New Roman"/>
          <w:szCs w:val="24"/>
          <w:lang w:val="es-ES_tradnl"/>
        </w:rPr>
        <w:t>en la modelación de sistemas energéticos.</w:t>
      </w:r>
      <w:r w:rsidR="00146AB8">
        <w:rPr>
          <w:rFonts w:cs="Times New Roman"/>
          <w:szCs w:val="24"/>
          <w:lang w:val="es-ES_tradnl"/>
        </w:rPr>
        <w:t xml:space="preserve"> Por otra parte, </w:t>
      </w:r>
      <w:r w:rsidR="00146AB8">
        <w:rPr>
          <w:rFonts w:cs="Times New Roman"/>
          <w:szCs w:val="24"/>
          <w:lang w:val="es-ES_tradnl"/>
        </w:rPr>
        <w:fldChar w:fldCharType="begin"/>
      </w:r>
      <w:r w:rsidR="00026F6E">
        <w:rPr>
          <w:rFonts w:cs="Times New Roman"/>
          <w:szCs w:val="24"/>
          <w:lang w:val="es-ES_tradnl"/>
        </w:rPr>
        <w:instrText xml:space="preserve"> ADDIN EN.CITE &lt;EndNote&gt;&lt;Cite AuthorYear="1"&gt;&lt;Author&gt;Lopion&lt;/Author&gt;&lt;Year&gt;2018&lt;/Year&gt;&lt;RecNum&gt;632&lt;/RecNum&gt;&lt;DisplayText&gt;Lopion, et al. [7]&lt;/DisplayText&gt;&lt;record&gt;&lt;rec-number&gt;632&lt;/rec-number&gt;&lt;foreign-keys&gt;&lt;key app="EN" db-id="0frrtdxtxevvrge9vfkpszxqrzs2wzz59x90" timestamp="1617203615"&gt;632&lt;/key&gt;&lt;/foreign-keys&gt;&lt;ref-type name="Journal Article"&gt;17&lt;/ref-type&gt;&lt;contributors&gt;&lt;authors&gt;&lt;author&gt;Lopion, Peter&lt;/author&gt;&lt;author&gt;Markewitz, Peter&lt;/author&gt;&lt;author&gt;Robinius, Martin&lt;/author&gt;&lt;author&gt;Stolten, Detlef %J Renewable&lt;/author&gt;&lt;author&gt;sustainable energy reviews&lt;/author&gt;&lt;/authors&gt;&lt;/contributors&gt;&lt;titles&gt;&lt;title&gt;A review of current challenges and trends in energy systems modeling&lt;/title&gt;&lt;/titles&gt;&lt;pages&gt;156-166&lt;/pages&gt;&lt;volume&gt;96&lt;/volume&gt;&lt;dates&gt;&lt;year&gt;2018&lt;/year&gt;&lt;/dates&gt;&lt;isbn&gt;1364-0321&lt;/isbn&gt;&lt;urls&gt;&lt;/urls&gt;&lt;/record&gt;&lt;/Cite&gt;&lt;/EndNote&gt;</w:instrText>
      </w:r>
      <w:r w:rsidR="00146AB8">
        <w:rPr>
          <w:rFonts w:cs="Times New Roman"/>
          <w:szCs w:val="24"/>
          <w:lang w:val="es-ES_tradnl"/>
        </w:rPr>
        <w:fldChar w:fldCharType="separate"/>
      </w:r>
      <w:r w:rsidR="00026F6E">
        <w:rPr>
          <w:rFonts w:cs="Times New Roman"/>
          <w:noProof/>
          <w:szCs w:val="24"/>
          <w:lang w:val="es-ES_tradnl"/>
        </w:rPr>
        <w:t>Lopion, et al. [7]</w:t>
      </w:r>
      <w:r w:rsidR="00146AB8">
        <w:rPr>
          <w:rFonts w:cs="Times New Roman"/>
          <w:szCs w:val="24"/>
          <w:lang w:val="es-ES_tradnl"/>
        </w:rPr>
        <w:fldChar w:fldCharType="end"/>
      </w:r>
      <w:r w:rsidR="00146AB8">
        <w:rPr>
          <w:rFonts w:cs="Times New Roman"/>
          <w:szCs w:val="24"/>
          <w:lang w:val="es-ES_tradnl"/>
        </w:rPr>
        <w:t xml:space="preserve"> analiza los principales retos y tendencias en los modelos de sistemas energéticos. Este revisa 24 modelos y se pueden arribar a conclusiones similares, si </w:t>
      </w:r>
      <w:r w:rsidR="00906922">
        <w:rPr>
          <w:rFonts w:cs="Times New Roman"/>
          <w:szCs w:val="24"/>
          <w:lang w:val="es-ES_tradnl"/>
        </w:rPr>
        <w:t>se compara</w:t>
      </w:r>
      <w:r w:rsidR="00146AB8">
        <w:rPr>
          <w:rFonts w:cs="Times New Roman"/>
          <w:szCs w:val="24"/>
          <w:lang w:val="es-ES_tradnl"/>
        </w:rPr>
        <w:t xml:space="preserve"> con el autor anteriormente mencionado</w:t>
      </w:r>
      <w:r w:rsidR="00DE1CB8">
        <w:rPr>
          <w:rFonts w:cs="Times New Roman"/>
          <w:szCs w:val="24"/>
          <w:lang w:val="es-ES_tradnl"/>
        </w:rPr>
        <w:t xml:space="preserve"> donde encuentra que los modelos de optimización son los más usados, además son los “</w:t>
      </w:r>
      <w:r w:rsidR="00DE1CB8" w:rsidRPr="00DE1CB8">
        <w:rPr>
          <w:rFonts w:cs="Times New Roman"/>
          <w:i/>
          <w:iCs/>
          <w:szCs w:val="24"/>
          <w:lang w:val="es-ES_tradnl"/>
        </w:rPr>
        <w:t>Bottom-up</w:t>
      </w:r>
      <w:r w:rsidR="00DE1CB8">
        <w:rPr>
          <w:rFonts w:cs="Times New Roman"/>
          <w:i/>
          <w:iCs/>
          <w:szCs w:val="24"/>
          <w:lang w:val="es-ES_tradnl"/>
        </w:rPr>
        <w:t xml:space="preserve">” </w:t>
      </w:r>
      <w:r w:rsidR="00DE1CB8">
        <w:rPr>
          <w:rFonts w:cs="Times New Roman"/>
          <w:szCs w:val="24"/>
          <w:lang w:val="es-ES_tradnl"/>
        </w:rPr>
        <w:t>enfocados en las decisiones de inversión</w:t>
      </w:r>
      <w:r w:rsidR="00146AB8">
        <w:rPr>
          <w:rFonts w:cs="Times New Roman"/>
          <w:szCs w:val="24"/>
          <w:lang w:val="es-ES_tradnl"/>
        </w:rPr>
        <w:t xml:space="preserve">. </w:t>
      </w:r>
    </w:p>
    <w:p w14:paraId="5F2AB232" w14:textId="395FD6C7" w:rsidR="00A16548" w:rsidRDefault="00A16548" w:rsidP="003D0FF3">
      <w:pPr>
        <w:spacing w:after="0"/>
        <w:rPr>
          <w:rFonts w:cs="Times New Roman"/>
          <w:szCs w:val="24"/>
          <w:lang w:val="es-ES_tradnl"/>
        </w:rPr>
      </w:pPr>
      <w:r>
        <w:rPr>
          <w:rFonts w:cs="Times New Roman"/>
          <w:szCs w:val="24"/>
          <w:lang w:val="es-ES_tradnl"/>
        </w:rPr>
        <w:t>U</w:t>
      </w:r>
      <w:r w:rsidR="00146AB8">
        <w:rPr>
          <w:rFonts w:cs="Times New Roman"/>
          <w:szCs w:val="24"/>
          <w:lang w:val="es-ES_tradnl"/>
        </w:rPr>
        <w:t xml:space="preserve">na categoría fundamental para </w:t>
      </w:r>
      <w:r>
        <w:rPr>
          <w:rFonts w:cs="Times New Roman"/>
          <w:szCs w:val="24"/>
          <w:lang w:val="es-ES_tradnl"/>
        </w:rPr>
        <w:t xml:space="preserve">elaborar el estudio de caso Cuba, es conocer el nivel de </w:t>
      </w:r>
      <w:r w:rsidR="00D349A8">
        <w:rPr>
          <w:rFonts w:cs="Times New Roman"/>
          <w:szCs w:val="24"/>
          <w:lang w:val="es-ES_tradnl"/>
        </w:rPr>
        <w:t xml:space="preserve">transparencia con </w:t>
      </w:r>
      <w:r>
        <w:rPr>
          <w:rFonts w:cs="Times New Roman"/>
          <w:szCs w:val="24"/>
          <w:lang w:val="es-ES_tradnl"/>
        </w:rPr>
        <w:t>d</w:t>
      </w:r>
      <w:r w:rsidR="00D349A8">
        <w:rPr>
          <w:rFonts w:cs="Times New Roman"/>
          <w:szCs w:val="24"/>
          <w:lang w:val="es-ES_tradnl"/>
        </w:rPr>
        <w:t>el modelo</w:t>
      </w:r>
      <w:r>
        <w:rPr>
          <w:rFonts w:cs="Times New Roman"/>
          <w:szCs w:val="24"/>
          <w:lang w:val="es-ES_tradnl"/>
        </w:rPr>
        <w:t xml:space="preserve"> a seleccionar</w:t>
      </w:r>
      <w:r w:rsidR="00D349A8">
        <w:rPr>
          <w:rFonts w:cs="Times New Roman"/>
          <w:szCs w:val="24"/>
          <w:lang w:val="es-ES_tradnl"/>
        </w:rPr>
        <w:t>.</w:t>
      </w:r>
      <w:r>
        <w:rPr>
          <w:rFonts w:cs="Times New Roman"/>
          <w:szCs w:val="24"/>
          <w:lang w:val="es-ES_tradnl"/>
        </w:rPr>
        <w:t xml:space="preserve"> </w:t>
      </w:r>
      <w:r>
        <w:rPr>
          <w:rFonts w:cs="Times New Roman"/>
          <w:szCs w:val="24"/>
          <w:lang w:val="es-ES_tradnl"/>
        </w:rPr>
        <w:fldChar w:fldCharType="begin"/>
      </w:r>
      <w:r w:rsidR="00026F6E">
        <w:rPr>
          <w:rFonts w:cs="Times New Roman"/>
          <w:szCs w:val="24"/>
          <w:lang w:val="es-ES_tradnl"/>
        </w:rPr>
        <w:instrText xml:space="preserve"> ADDIN EN.CITE &lt;EndNote&gt;&lt;Cite AuthorYear="1"&gt;&lt;Author&gt;Prina&lt;/Author&gt;&lt;Year&gt;2020&lt;/Year&gt;&lt;RecNum&gt;631&lt;/RecNum&gt;&lt;DisplayText&gt;Prina, et al. [8]&lt;/DisplayText&gt;&lt;record&gt;&lt;rec-number&gt;631&lt;/rec-number&gt;&lt;foreign-keys&gt;&lt;key app="EN" db-id="0frrtdxtxevvrge9vfkpszxqrzs2wzz59x90" timestamp="1617157326"&gt;631&lt;/key&gt;&lt;/foreign-keys&gt;&lt;ref-type name="Journal Article"&gt;17&lt;/ref-type&gt;&lt;contributors&gt;&lt;authors&gt;&lt;author&gt;Prina, Matteo Giacomo&lt;/author&gt;&lt;author&gt;Manzolini, Giampaolo&lt;/author&gt;&lt;author&gt;Moser, David&lt;/author&gt;&lt;author&gt;Nastasi, Benedetto&lt;/author&gt;&lt;author&gt;Sparber, Wolfram&lt;/author&gt;&lt;/authors&gt;&lt;/contributors&gt;&lt;titles&gt;&lt;title&gt;Classification and challenges of bottom-up energy system models - A review&lt;/title&gt;&lt;secondary-title&gt;Renewable and Sustainable Energy Reviews&lt;/secondary-title&gt;&lt;/titles&gt;&lt;periodical&gt;&lt;full-title&gt;Renewable and Sustainable Energy Reviews&lt;/full-title&gt;&lt;/periodical&gt;&lt;pages&gt;109917&lt;/pages&gt;&lt;volume&gt;129&lt;/volume&gt;&lt;keywords&gt;&lt;keyword&gt;Classification&lt;/keyword&gt;&lt;keyword&gt;Challenges&lt;/keyword&gt;&lt;keyword&gt;Energy planning&lt;/keyword&gt;&lt;keyword&gt;Energy system modelling&lt;/keyword&gt;&lt;keyword&gt;Bottom-up&lt;/keyword&gt;&lt;/keywords&gt;&lt;dates&gt;&lt;year&gt;2020&lt;/year&gt;&lt;pub-dates&gt;&lt;date&gt;2020/09/01/&lt;/date&gt;&lt;/pub-dates&gt;&lt;/dates&gt;&lt;isbn&gt;1364-0321&lt;/isbn&gt;&lt;urls&gt;&lt;related-urls&gt;&lt;url&gt;https://www.sciencedirect.com/science/article/pii/S1364032120302082&lt;/url&gt;&lt;/related-urls&gt;&lt;/urls&gt;&lt;electronic-resource-num&gt;https://doi.org/10.1016/j.rser.2020.109917&lt;/electronic-resource-num&gt;&lt;/record&gt;&lt;/Cite&gt;&lt;/EndNote&gt;</w:instrText>
      </w:r>
      <w:r>
        <w:rPr>
          <w:rFonts w:cs="Times New Roman"/>
          <w:szCs w:val="24"/>
          <w:lang w:val="es-ES_tradnl"/>
        </w:rPr>
        <w:fldChar w:fldCharType="separate"/>
      </w:r>
      <w:r w:rsidR="00026F6E">
        <w:rPr>
          <w:rFonts w:cs="Times New Roman"/>
          <w:noProof/>
          <w:szCs w:val="24"/>
          <w:lang w:val="es-ES_tradnl"/>
        </w:rPr>
        <w:t>Prina, et al. [8]</w:t>
      </w:r>
      <w:r>
        <w:rPr>
          <w:rFonts w:cs="Times New Roman"/>
          <w:szCs w:val="24"/>
          <w:lang w:val="es-ES_tradnl"/>
        </w:rPr>
        <w:fldChar w:fldCharType="end"/>
      </w:r>
      <w:r>
        <w:rPr>
          <w:rFonts w:cs="Times New Roman"/>
          <w:szCs w:val="24"/>
          <w:lang w:val="es-ES_tradnl"/>
        </w:rPr>
        <w:t xml:space="preserve"> plantea</w:t>
      </w:r>
      <w:r w:rsidR="00906922">
        <w:rPr>
          <w:rFonts w:cs="Times New Roman"/>
          <w:szCs w:val="24"/>
          <w:lang w:val="es-ES_tradnl"/>
        </w:rPr>
        <w:t xml:space="preserve"> que</w:t>
      </w:r>
      <w:r>
        <w:rPr>
          <w:rFonts w:cs="Times New Roman"/>
          <w:szCs w:val="24"/>
          <w:lang w:val="es-ES_tradnl"/>
        </w:rPr>
        <w:t xml:space="preserve"> se considera de alta transparencia aquel modelo que cuenta con una documentación detallada, además de conocer en su totalidad cuáles son los datos de entrada y salida del mismo. </w:t>
      </w:r>
      <w:r w:rsidR="00711469">
        <w:rPr>
          <w:rFonts w:cs="Times New Roman"/>
          <w:szCs w:val="24"/>
          <w:lang w:val="es-ES_tradnl"/>
        </w:rPr>
        <w:t xml:space="preserve">En este trabajo se analizan los principales modelos </w:t>
      </w:r>
      <w:r w:rsidR="00711469" w:rsidRPr="00711469">
        <w:rPr>
          <w:rFonts w:cs="Times New Roman"/>
          <w:i/>
          <w:iCs/>
          <w:szCs w:val="24"/>
          <w:lang w:val="es-ES_tradnl"/>
        </w:rPr>
        <w:t>“Bottom-up”</w:t>
      </w:r>
      <w:r w:rsidR="00711469">
        <w:rPr>
          <w:rFonts w:cs="Times New Roman"/>
          <w:szCs w:val="24"/>
          <w:lang w:val="es-ES_tradnl"/>
        </w:rPr>
        <w:t xml:space="preserve"> ya sean de corto o largo plazo.</w:t>
      </w:r>
    </w:p>
    <w:p w14:paraId="46406D0F" w14:textId="7FCCD74A" w:rsidR="00026F6E" w:rsidRDefault="00026F6E" w:rsidP="00026F6E">
      <w:pPr>
        <w:spacing w:after="0"/>
        <w:rPr>
          <w:rFonts w:cs="Times New Roman"/>
          <w:szCs w:val="24"/>
          <w:lang w:val="es-ES_tradnl"/>
        </w:rPr>
      </w:pPr>
      <w:r>
        <w:rPr>
          <w:rFonts w:cs="Times New Roman"/>
          <w:szCs w:val="24"/>
          <w:lang w:val="es-ES_tradnl"/>
        </w:rPr>
        <w:t xml:space="preserve">Por otra parte, uno de los grandes retos en la transición consiste en integrar adecuadamente las FRE variables o intermitentes y esto ha añadido más complejidad en los sistemas energéticos </w:t>
      </w:r>
      <w:r>
        <w:rPr>
          <w:rFonts w:cs="Times New Roman"/>
          <w:szCs w:val="24"/>
          <w:lang w:val="es-ES_tradnl"/>
        </w:rPr>
        <w:fldChar w:fldCharType="begin"/>
      </w:r>
      <w:r>
        <w:rPr>
          <w:rFonts w:cs="Times New Roman"/>
          <w:szCs w:val="24"/>
          <w:lang w:val="es-ES_tradnl"/>
        </w:rPr>
        <w:instrText xml:space="preserve"> ADDIN EN.CITE &lt;EndNote&gt;&lt;Cite&gt;&lt;Author&gt;Deng&lt;/Author&gt;&lt;Year&gt;2020&lt;/Year&gt;&lt;RecNum&gt;664&lt;/RecNum&gt;&lt;DisplayText&gt;[9]&lt;/DisplayText&gt;&lt;record&gt;&lt;rec-number&gt;664&lt;/rec-number&gt;&lt;foreign-keys&gt;&lt;key app="EN" db-id="0frrtdxtxevvrge9vfkpszxqrzs2wzz59x90" timestamp="1643479101"&gt;664&lt;/key&gt;&lt;/foreign-keys&gt;&lt;ref-type name="Journal Article"&gt;17&lt;/ref-type&gt;&lt;contributors&gt;&lt;authors&gt;&lt;author&gt;Deng, Xu&lt;/author&gt;&lt;author&gt;Lv, Tao&lt;/author&gt;&lt;/authors&gt;&lt;/contributors&gt;&lt;titles&gt;&lt;title&gt;Power system planning with increasing variable renewable energy: A review of optimization models&lt;/title&gt;&lt;secondary-title&gt;Journal of Cleaner Production&lt;/secondary-title&gt;&lt;/titles&gt;&lt;periodical&gt;&lt;full-title&gt;Journal of Cleaner Production&lt;/full-title&gt;&lt;/periodical&gt;&lt;pages&gt;118962&lt;/pages&gt;&lt;volume&gt;246&lt;/volume&gt;&lt;keywords&gt;&lt;keyword&gt;Power system planning&lt;/keyword&gt;&lt;keyword&gt;Optimization models&lt;/keyword&gt;&lt;keyword&gt;Variable renewable energy&lt;/keyword&gt;&lt;keyword&gt;Long-term planning&lt;/keyword&gt;&lt;keyword&gt;Short-term operation&lt;/keyword&gt;&lt;keyword&gt;Flexibility options&lt;/keyword&gt;&lt;/keywords&gt;&lt;dates&gt;&lt;year&gt;2020&lt;/year&gt;&lt;pub-dates&gt;&lt;date&gt;2020/02/10/&lt;/date&gt;&lt;/pub-dates&gt;&lt;/dates&gt;&lt;isbn&gt;0959-6526&lt;/isbn&gt;&lt;urls&gt;&lt;related-urls&gt;&lt;url&gt;https://www.sciencedirect.com/science/article/pii/S0959652619338326&lt;/url&gt;&lt;/related-urls&gt;&lt;/urls&gt;&lt;electronic-resource-num&gt;https://doi.org/10.1016/j.jclepro.2019.118962&lt;/electronic-resource-num&gt;&lt;/record&gt;&lt;/Cite&gt;&lt;/EndNote&gt;</w:instrText>
      </w:r>
      <w:r>
        <w:rPr>
          <w:rFonts w:cs="Times New Roman"/>
          <w:szCs w:val="24"/>
          <w:lang w:val="es-ES_tradnl"/>
        </w:rPr>
        <w:fldChar w:fldCharType="separate"/>
      </w:r>
      <w:r>
        <w:rPr>
          <w:rFonts w:cs="Times New Roman"/>
          <w:noProof/>
          <w:szCs w:val="24"/>
          <w:lang w:val="es-ES_tradnl"/>
        </w:rPr>
        <w:t>[9]</w:t>
      </w:r>
      <w:r>
        <w:rPr>
          <w:rFonts w:cs="Times New Roman"/>
          <w:szCs w:val="24"/>
          <w:lang w:val="es-ES_tradnl"/>
        </w:rPr>
        <w:fldChar w:fldCharType="end"/>
      </w:r>
      <w:r>
        <w:rPr>
          <w:rFonts w:cs="Times New Roman"/>
          <w:szCs w:val="24"/>
          <w:lang w:val="es-ES_tradnl"/>
        </w:rPr>
        <w:t xml:space="preserve">. Por lo tanto es importante considerar las nuevas características generadas por altas penetraciones de FRE variables. Asociado a esto se une la necesidad de almacenamiento, flexibilidad y opciones de gestión de la demanda lo cual hace que se necesite incrementar la resolución de tiempo </w:t>
      </w:r>
      <w:r>
        <w:rPr>
          <w:rFonts w:cs="Times New Roman"/>
          <w:szCs w:val="24"/>
          <w:lang w:val="es-ES_tradnl"/>
        </w:rPr>
        <w:fldChar w:fldCharType="begin"/>
      </w:r>
      <w:r>
        <w:rPr>
          <w:rFonts w:cs="Times New Roman"/>
          <w:szCs w:val="24"/>
          <w:lang w:val="es-ES_tradnl"/>
        </w:rPr>
        <w:instrText xml:space="preserve"> ADDIN EN.CITE &lt;EndNote&gt;&lt;Cite&gt;&lt;Author&gt;Prina&lt;/Author&gt;&lt;Year&gt;2020&lt;/Year&gt;&lt;RecNum&gt;631&lt;/RecNum&gt;&lt;DisplayText&gt;[8]&lt;/DisplayText&gt;&lt;record&gt;&lt;rec-number&gt;631&lt;/rec-number&gt;&lt;foreign-keys&gt;&lt;key app="EN" db-id="0frrtdxtxevvrge9vfkpszxqrzs2wzz59x90" timestamp="1617157326"&gt;631&lt;/key&gt;&lt;/foreign-keys&gt;&lt;ref-type name="Journal Article"&gt;17&lt;/ref-type&gt;&lt;contributors&gt;&lt;authors&gt;&lt;author&gt;Prina, Matteo Giacomo&lt;/author&gt;&lt;author&gt;Manzolini, Giampaolo&lt;/author&gt;&lt;author&gt;Moser, David&lt;/author&gt;&lt;author&gt;Nastasi, Benedetto&lt;/author&gt;&lt;author&gt;Sparber, Wolfram&lt;/author&gt;&lt;/authors&gt;&lt;/contributors&gt;&lt;titles&gt;&lt;title&gt;Classification and challenges of bottom-up energy system models - A review&lt;/title&gt;&lt;secondary-title&gt;Renewable and Sustainable Energy Reviews&lt;/secondary-title&gt;&lt;/titles&gt;&lt;periodical&gt;&lt;full-title&gt;Renewable and Sustainable Energy Reviews&lt;/full-title&gt;&lt;/periodical&gt;&lt;pages&gt;109917&lt;/pages&gt;&lt;volume&gt;129&lt;/volume&gt;&lt;keywords&gt;&lt;keyword&gt;Classification&lt;/keyword&gt;&lt;keyword&gt;Challenges&lt;/keyword&gt;&lt;keyword&gt;Energy planning&lt;/keyword&gt;&lt;keyword&gt;Energy system modelling&lt;/keyword&gt;&lt;keyword&gt;Bottom-up&lt;/keyword&gt;&lt;/keywords&gt;&lt;dates&gt;&lt;year&gt;2020&lt;/year&gt;&lt;pub-dates&gt;&lt;date&gt;2020/09/01/&lt;/date&gt;&lt;/pub-dates&gt;&lt;/dates&gt;&lt;isbn&gt;1364-0321&lt;/isbn&gt;&lt;urls&gt;&lt;related-urls&gt;&lt;url&gt;https://www.sciencedirect.com/science/article/pii/S1364032120302082&lt;/url&gt;&lt;/related-urls&gt;&lt;/urls&gt;&lt;electronic-resource-num&gt;https://doi.org/10.1016/j.rser.2020.109917&lt;/electronic-resource-num&gt;&lt;/record&gt;&lt;/Cite&gt;&lt;/EndNote&gt;</w:instrText>
      </w:r>
      <w:r>
        <w:rPr>
          <w:rFonts w:cs="Times New Roman"/>
          <w:szCs w:val="24"/>
          <w:lang w:val="es-ES_tradnl"/>
        </w:rPr>
        <w:fldChar w:fldCharType="separate"/>
      </w:r>
      <w:r>
        <w:rPr>
          <w:rFonts w:cs="Times New Roman"/>
          <w:noProof/>
          <w:szCs w:val="24"/>
          <w:lang w:val="es-ES_tradnl"/>
        </w:rPr>
        <w:t>[8]</w:t>
      </w:r>
      <w:r>
        <w:rPr>
          <w:rFonts w:cs="Times New Roman"/>
          <w:szCs w:val="24"/>
          <w:lang w:val="es-ES_tradnl"/>
        </w:rPr>
        <w:fldChar w:fldCharType="end"/>
      </w:r>
      <w:r>
        <w:rPr>
          <w:rFonts w:cs="Times New Roman"/>
          <w:szCs w:val="24"/>
          <w:lang w:val="es-ES_tradnl"/>
        </w:rPr>
        <w:t>.</w:t>
      </w:r>
    </w:p>
    <w:p w14:paraId="34596296" w14:textId="06CA8EFF" w:rsidR="00080DA6" w:rsidRDefault="00A16548" w:rsidP="003D0FF3">
      <w:pPr>
        <w:spacing w:after="0"/>
        <w:rPr>
          <w:rFonts w:cs="Times New Roman"/>
          <w:szCs w:val="24"/>
          <w:lang w:val="es-ES_tradnl"/>
        </w:rPr>
      </w:pPr>
      <w:r>
        <w:rPr>
          <w:rFonts w:cs="Times New Roman"/>
          <w:szCs w:val="24"/>
          <w:lang w:val="es-ES_tradnl"/>
        </w:rPr>
        <w:t xml:space="preserve">A partir de </w:t>
      </w:r>
      <w:r w:rsidR="00026F6E">
        <w:rPr>
          <w:rFonts w:cs="Times New Roman"/>
          <w:szCs w:val="24"/>
          <w:lang w:val="es-ES_tradnl"/>
        </w:rPr>
        <w:t>las</w:t>
      </w:r>
      <w:r>
        <w:rPr>
          <w:rFonts w:cs="Times New Roman"/>
          <w:szCs w:val="24"/>
          <w:lang w:val="es-ES_tradnl"/>
        </w:rPr>
        <w:t xml:space="preserve"> revisiones </w:t>
      </w:r>
      <w:r w:rsidR="00026F6E">
        <w:rPr>
          <w:rFonts w:cs="Times New Roman"/>
          <w:szCs w:val="24"/>
          <w:lang w:val="es-ES_tradnl"/>
        </w:rPr>
        <w:t xml:space="preserve">bibliográficas </w:t>
      </w:r>
      <w:r>
        <w:rPr>
          <w:rFonts w:cs="Times New Roman"/>
          <w:szCs w:val="24"/>
          <w:lang w:val="es-ES_tradnl"/>
        </w:rPr>
        <w:t xml:space="preserve">se </w:t>
      </w:r>
      <w:r w:rsidR="00711469">
        <w:rPr>
          <w:rFonts w:cs="Times New Roman"/>
          <w:szCs w:val="24"/>
          <w:lang w:val="es-ES_tradnl"/>
        </w:rPr>
        <w:t>identificaron como modelos de corto plazo que pueden ser usados Calliope, Oemof, PyPSA</w:t>
      </w:r>
      <w:r w:rsidR="007C51E1">
        <w:rPr>
          <w:rFonts w:cs="Times New Roman"/>
          <w:szCs w:val="24"/>
          <w:lang w:val="es-ES_tradnl"/>
        </w:rPr>
        <w:t xml:space="preserve"> y de largo plazo OSeMOSYS, Temoa, </w:t>
      </w:r>
      <w:r w:rsidR="007C51E1">
        <w:rPr>
          <w:rFonts w:cs="Times New Roman"/>
          <w:szCs w:val="24"/>
          <w:lang w:val="es-ES_tradnl"/>
        </w:rPr>
        <w:lastRenderedPageBreak/>
        <w:t>Balmorel.</w:t>
      </w:r>
      <w:r w:rsidR="00906922">
        <w:rPr>
          <w:rFonts w:cs="Times New Roman"/>
          <w:szCs w:val="24"/>
          <w:lang w:val="es-ES_tradnl"/>
        </w:rPr>
        <w:t xml:space="preserve"> </w:t>
      </w:r>
      <w:r w:rsidR="00080DA6">
        <w:rPr>
          <w:rFonts w:cs="Times New Roman"/>
          <w:szCs w:val="24"/>
          <w:lang w:val="es-ES_tradnl"/>
        </w:rPr>
        <w:t>Este trabajo se encuentra enfocado en la planeación energética a largo plazo</w:t>
      </w:r>
      <w:r w:rsidR="00906922">
        <w:rPr>
          <w:rFonts w:cs="Times New Roman"/>
          <w:szCs w:val="24"/>
          <w:lang w:val="es-ES_tradnl"/>
        </w:rPr>
        <w:t xml:space="preserve"> por lo que se seleccionó OSeMOSYS finalmente.</w:t>
      </w:r>
    </w:p>
    <w:p w14:paraId="145AD179" w14:textId="31429AEB" w:rsidR="00A21A1F" w:rsidRDefault="0028440F" w:rsidP="00FF3346">
      <w:pPr>
        <w:spacing w:after="0"/>
        <w:rPr>
          <w:rFonts w:cs="Times New Roman"/>
          <w:szCs w:val="24"/>
        </w:rPr>
      </w:pPr>
      <w:r w:rsidRPr="0028440F">
        <w:rPr>
          <w:rFonts w:cs="Times New Roman"/>
          <w:b/>
          <w:bCs/>
          <w:szCs w:val="24"/>
        </w:rPr>
        <w:t>Objetivo general</w:t>
      </w:r>
      <w:r>
        <w:rPr>
          <w:rFonts w:cs="Times New Roman"/>
          <w:szCs w:val="24"/>
        </w:rPr>
        <w:t xml:space="preserve">: </w:t>
      </w:r>
      <w:r w:rsidRPr="0013546E">
        <w:rPr>
          <w:rFonts w:cs="Times New Roman"/>
          <w:szCs w:val="24"/>
        </w:rPr>
        <w:t>Obtener el camino óptimo para realizar la transición energética en Cuba hasta el año 2050 al menor costo posible</w:t>
      </w:r>
      <w:r>
        <w:rPr>
          <w:rFonts w:cs="Times New Roman"/>
          <w:szCs w:val="24"/>
        </w:rPr>
        <w:t>.</w:t>
      </w:r>
    </w:p>
    <w:p w14:paraId="7B22D6CF" w14:textId="4A6086AE" w:rsidR="00A21A1F" w:rsidRDefault="00A21A1F" w:rsidP="00FF3346">
      <w:pPr>
        <w:spacing w:after="0"/>
        <w:rPr>
          <w:rFonts w:cs="Times New Roman"/>
          <w:b/>
          <w:szCs w:val="24"/>
        </w:rPr>
      </w:pPr>
      <w:r w:rsidRPr="00A21A1F">
        <w:rPr>
          <w:rFonts w:cs="Times New Roman"/>
          <w:b/>
          <w:szCs w:val="24"/>
        </w:rPr>
        <w:t>2. Metodología</w:t>
      </w:r>
    </w:p>
    <w:p w14:paraId="4738D41C" w14:textId="260321A1" w:rsidR="00E13F7D" w:rsidRDefault="00E13F7D" w:rsidP="00FF3346">
      <w:pPr>
        <w:spacing w:after="0"/>
        <w:rPr>
          <w:rFonts w:cs="Times New Roman"/>
          <w:szCs w:val="24"/>
        </w:rPr>
      </w:pPr>
      <w:r>
        <w:rPr>
          <w:rFonts w:cs="Times New Roman"/>
          <w:b/>
          <w:bCs/>
          <w:szCs w:val="24"/>
        </w:rPr>
        <w:t>Principales características de OSeMOSYS.</w:t>
      </w:r>
    </w:p>
    <w:p w14:paraId="142AA658" w14:textId="2A8EE6CB" w:rsidR="00C807EF" w:rsidRDefault="00DE1CB8" w:rsidP="00FF3346">
      <w:pPr>
        <w:spacing w:after="0"/>
        <w:rPr>
          <w:rFonts w:cs="Times New Roman"/>
          <w:szCs w:val="24"/>
        </w:rPr>
      </w:pPr>
      <w:r>
        <w:rPr>
          <w:rFonts w:cs="Times New Roman"/>
          <w:szCs w:val="24"/>
        </w:rPr>
        <w:t>En este estudio se usa OSeMOSYS para el model</w:t>
      </w:r>
      <w:r w:rsidR="003374EB">
        <w:rPr>
          <w:rFonts w:cs="Times New Roman"/>
          <w:szCs w:val="24"/>
        </w:rPr>
        <w:t>ado</w:t>
      </w:r>
      <w:r>
        <w:rPr>
          <w:rFonts w:cs="Times New Roman"/>
          <w:szCs w:val="24"/>
        </w:rPr>
        <w:t xml:space="preserve"> del sistema energético cubano. OSeMOSYS es una herramienta de código abierto principalmente enfocada para informar estrategias y políticas a diferentes escalas, las cuales pueden ser locales, nacionales o globales incluso. </w:t>
      </w:r>
      <w:r w:rsidR="003374EB">
        <w:rPr>
          <w:rFonts w:cs="Times New Roman"/>
          <w:szCs w:val="24"/>
        </w:rPr>
        <w:t xml:space="preserve">Su metodología está basada en programación lineal, donde el objetivo principal es satisfacer la demanda de un determinado sistema, minimizando los costes totales descontados a partir de un año de referencia. </w:t>
      </w:r>
    </w:p>
    <w:p w14:paraId="144CAB70" w14:textId="7682FA45" w:rsidR="00A21A1F" w:rsidRDefault="003374EB" w:rsidP="00FF3346">
      <w:pPr>
        <w:spacing w:after="0"/>
        <w:rPr>
          <w:rFonts w:cs="Times New Roman"/>
          <w:szCs w:val="24"/>
        </w:rPr>
      </w:pPr>
      <w:r>
        <w:rPr>
          <w:rFonts w:cs="Times New Roman"/>
          <w:szCs w:val="24"/>
        </w:rPr>
        <w:t xml:space="preserve">Algo importante que cabe mencionar es la estructuración en bloques </w:t>
      </w:r>
      <w:r w:rsidR="00677207">
        <w:rPr>
          <w:rFonts w:cs="Times New Roman"/>
          <w:szCs w:val="24"/>
        </w:rPr>
        <w:t xml:space="preserve">de las ecuaciones del modelo. Esto quiere decir que se pueden seleccionar ecuaciones para investigar una particularidad de un determinado sistema. Debido a la detallada descripción de cada ecuación, formulación algebraica y escritura de código </w:t>
      </w:r>
      <w:r w:rsidR="00B13203">
        <w:rPr>
          <w:rFonts w:cs="Times New Roman"/>
          <w:szCs w:val="24"/>
        </w:rPr>
        <w:t>hace que los usuarios no</w:t>
      </w:r>
      <w:r w:rsidR="00C807EF">
        <w:rPr>
          <w:rFonts w:cs="Times New Roman"/>
          <w:szCs w:val="24"/>
        </w:rPr>
        <w:t>b</w:t>
      </w:r>
      <w:r w:rsidR="00B13203">
        <w:rPr>
          <w:rFonts w:cs="Times New Roman"/>
          <w:szCs w:val="24"/>
        </w:rPr>
        <w:t xml:space="preserve">eles </w:t>
      </w:r>
      <w:r w:rsidR="00C807EF">
        <w:rPr>
          <w:rFonts w:cs="Times New Roman"/>
          <w:szCs w:val="24"/>
        </w:rPr>
        <w:t xml:space="preserve">aprendan relativamente rápido. </w:t>
      </w:r>
      <w:r>
        <w:rPr>
          <w:rFonts w:cs="Times New Roman"/>
          <w:szCs w:val="24"/>
        </w:rPr>
        <w:t xml:space="preserve">Ha sido usado en la literatura científica, en la enseñanza académica y en el desarrollo de habilidades de planeadores energéticos </w:t>
      </w:r>
      <w:r>
        <w:rPr>
          <w:rFonts w:cs="Times New Roman"/>
          <w:szCs w:val="24"/>
        </w:rPr>
        <w:fldChar w:fldCharType="begin"/>
      </w:r>
      <w:r w:rsidR="00026F6E">
        <w:rPr>
          <w:rFonts w:cs="Times New Roman"/>
          <w:szCs w:val="24"/>
        </w:rPr>
        <w:instrText xml:space="preserve"> ADDIN EN.CITE &lt;EndNote&gt;&lt;Cite&gt;&lt;Author&gt;Gardumi&lt;/Author&gt;&lt;Year&gt;2018&lt;/Year&gt;&lt;RecNum&gt;559&lt;/RecNum&gt;&lt;DisplayText&gt;[10]&lt;/DisplayText&gt;&lt;record&gt;&lt;rec-number&gt;559&lt;/rec-number&gt;&lt;foreign-keys&gt;&lt;key app="EN" db-id="0frrtdxtxevvrge9vfkpszxqrzs2wzz59x90" timestamp="1581695791"&gt;559&lt;/key&gt;&lt;/foreign-keys&gt;&lt;ref-type name="Journal Article"&gt;17&lt;/ref-type&gt;&lt;contributors&gt;&lt;authors&gt;&lt;author&gt;Gardumi, Francesco&lt;/author&gt;&lt;author&gt;Shivakumar, Abhishek&lt;/author&gt;&lt;author&gt;Morrison, Robbie&lt;/author&gt;&lt;author&gt;Taliotis, Constantinos&lt;/author&gt;&lt;author&gt;Broad, Oliver&lt;/author&gt;&lt;author&gt;Beltramo, Agnese&lt;/author&gt;&lt;author&gt;Sridharan, Vignesh&lt;/author&gt;&lt;author&gt;Howells, Mark&lt;/author&gt;&lt;author&gt;Hörsch, Jonas&lt;/author&gt;&lt;author&gt;Niet, Taco&lt;/author&gt;&lt;author&gt;Almulla, Youssef&lt;/author&gt;&lt;author&gt;Ramos, Eunice&lt;/author&gt;&lt;author&gt;Burandt, Thorsten&lt;/author&gt;&lt;author&gt;Balderrama, Gabriela Peña&lt;/author&gt;&lt;author&gt;Pinto de Moura, Gustavo Nikolaus&lt;/author&gt;&lt;author&gt;Zepeda, Eduardo&lt;/author&gt;&lt;author&gt;Alfstad, Thomas&lt;/author&gt;&lt;/authors&gt;&lt;/contributors&gt;&lt;titles&gt;&lt;title&gt;From the development of an open-source energy modelling tool to its application and the creation of communities of practice: The example of OSeMOSYS&lt;/title&gt;&lt;secondary-title&gt;Energy Strategy Reviews&lt;/secondary-title&gt;&lt;/titles&gt;&lt;periodical&gt;&lt;full-title&gt;Energy Strategy Reviews&lt;/full-title&gt;&lt;/periodical&gt;&lt;pages&gt;209-228&lt;/pages&gt;&lt;volume&gt;20&lt;/volume&gt;&lt;keywords&gt;&lt;keyword&gt;Energy system modelling tool&lt;/keyword&gt;&lt;keyword&gt;Open-source software&lt;/keyword&gt;&lt;keyword&gt;Model-based public policy&lt;/keyword&gt;&lt;keyword&gt;Software development practice&lt;/keyword&gt;&lt;keyword&gt;Outreach practice&lt;/keyword&gt;&lt;/keywords&gt;&lt;dates&gt;&lt;year&gt;2018&lt;/year&gt;&lt;pub-dates&gt;&lt;date&gt;2018/04/01/&lt;/date&gt;&lt;/pub-dates&gt;&lt;/dates&gt;&lt;isbn&gt;2211-467X&lt;/isbn&gt;&lt;urls&gt;&lt;related-urls&gt;&lt;url&gt;http://www.sciencedirect.com/science/article/pii/S2211467X18300142&lt;/url&gt;&lt;/related-urls&gt;&lt;/urls&gt;&lt;electronic-resource-num&gt;https://doi.org/10.1016/j.esr.2018.03.005&lt;/electronic-resource-num&gt;&lt;/record&gt;&lt;/Cite&gt;&lt;/EndNote&gt;</w:instrText>
      </w:r>
      <w:r>
        <w:rPr>
          <w:rFonts w:cs="Times New Roman"/>
          <w:szCs w:val="24"/>
        </w:rPr>
        <w:fldChar w:fldCharType="separate"/>
      </w:r>
      <w:r w:rsidR="00026F6E">
        <w:rPr>
          <w:rFonts w:cs="Times New Roman"/>
          <w:noProof/>
          <w:szCs w:val="24"/>
        </w:rPr>
        <w:t>[10]</w:t>
      </w:r>
      <w:r>
        <w:rPr>
          <w:rFonts w:cs="Times New Roman"/>
          <w:szCs w:val="24"/>
        </w:rPr>
        <w:fldChar w:fldCharType="end"/>
      </w:r>
      <w:r>
        <w:rPr>
          <w:rFonts w:cs="Times New Roman"/>
          <w:szCs w:val="24"/>
        </w:rPr>
        <w:t>.</w:t>
      </w:r>
    </w:p>
    <w:p w14:paraId="1A105F32" w14:textId="71CDFD49" w:rsidR="00E13F7D" w:rsidRPr="00E13F7D" w:rsidRDefault="00E13F7D" w:rsidP="00FF3346">
      <w:pPr>
        <w:spacing w:after="0"/>
        <w:rPr>
          <w:rFonts w:cs="Times New Roman"/>
          <w:b/>
          <w:bCs/>
          <w:szCs w:val="24"/>
        </w:rPr>
      </w:pPr>
      <w:r w:rsidRPr="00E13F7D">
        <w:rPr>
          <w:rFonts w:cs="Times New Roman"/>
          <w:b/>
          <w:bCs/>
          <w:szCs w:val="24"/>
        </w:rPr>
        <w:t>Pasos a seguir con la herramienta</w:t>
      </w:r>
    </w:p>
    <w:p w14:paraId="035B6567" w14:textId="7E48DD15" w:rsidR="00375DBF" w:rsidRDefault="00E13F7D" w:rsidP="00FF3346">
      <w:pPr>
        <w:spacing w:after="0"/>
        <w:rPr>
          <w:rFonts w:cs="Times New Roman"/>
          <w:szCs w:val="24"/>
        </w:rPr>
      </w:pPr>
      <w:r>
        <w:rPr>
          <w:rFonts w:cs="Times New Roman"/>
          <w:szCs w:val="24"/>
        </w:rPr>
        <w:t xml:space="preserve">Primeramente </w:t>
      </w:r>
      <w:r w:rsidR="00447608">
        <w:rPr>
          <w:rFonts w:cs="Times New Roman"/>
          <w:szCs w:val="24"/>
        </w:rPr>
        <w:t>se definió</w:t>
      </w:r>
      <w:r w:rsidR="00C807EF">
        <w:rPr>
          <w:rFonts w:cs="Times New Roman"/>
          <w:szCs w:val="24"/>
        </w:rPr>
        <w:t xml:space="preserve"> el sistema de referencia</w:t>
      </w:r>
      <w:r>
        <w:rPr>
          <w:rFonts w:cs="Times New Roman"/>
          <w:szCs w:val="24"/>
        </w:rPr>
        <w:t xml:space="preserve"> energético</w:t>
      </w:r>
      <w:r w:rsidR="00C807EF">
        <w:rPr>
          <w:rFonts w:cs="Times New Roman"/>
          <w:szCs w:val="24"/>
        </w:rPr>
        <w:t>. Este incluye todas las tecnologías que serán usadas</w:t>
      </w:r>
      <w:r>
        <w:rPr>
          <w:rFonts w:cs="Times New Roman"/>
          <w:szCs w:val="24"/>
        </w:rPr>
        <w:t xml:space="preserve"> o podrán ser usadas y que no existen instaladas en un primer momento de la modelación</w:t>
      </w:r>
      <w:r w:rsidR="00C807EF">
        <w:rPr>
          <w:rFonts w:cs="Times New Roman"/>
          <w:szCs w:val="24"/>
        </w:rPr>
        <w:t>, desde el proceso de importación/extracción hasta el uso final de la energía</w:t>
      </w:r>
      <w:r w:rsidR="008606CB">
        <w:rPr>
          <w:rFonts w:cs="Times New Roman"/>
          <w:szCs w:val="24"/>
        </w:rPr>
        <w:t xml:space="preserve">. </w:t>
      </w:r>
      <w:r w:rsidR="00375DBF">
        <w:rPr>
          <w:rFonts w:cs="Times New Roman"/>
          <w:szCs w:val="24"/>
        </w:rPr>
        <w:t xml:space="preserve">Usualmente, las tecnologías de un mismo tipo se agregan en OSeMOSYS, pero por preferencia se decidió modelar cada una de las </w:t>
      </w:r>
      <w:r w:rsidR="00F364BA">
        <w:rPr>
          <w:rFonts w:cs="Times New Roman"/>
          <w:szCs w:val="24"/>
        </w:rPr>
        <w:t>centrales</w:t>
      </w:r>
      <w:r w:rsidR="00375DBF">
        <w:rPr>
          <w:rFonts w:cs="Times New Roman"/>
          <w:szCs w:val="24"/>
        </w:rPr>
        <w:t xml:space="preserve"> t</w:t>
      </w:r>
      <w:r w:rsidR="00F364BA">
        <w:rPr>
          <w:rFonts w:cs="Times New Roman"/>
          <w:szCs w:val="24"/>
        </w:rPr>
        <w:t>ermoeléctricas</w:t>
      </w:r>
      <w:r w:rsidR="00375DBF">
        <w:rPr>
          <w:rFonts w:cs="Times New Roman"/>
          <w:szCs w:val="24"/>
        </w:rPr>
        <w:t xml:space="preserve"> por separado.</w:t>
      </w:r>
    </w:p>
    <w:p w14:paraId="3D26CFDA" w14:textId="490A1393" w:rsidR="00FF2DCC" w:rsidRDefault="00FF2DCC" w:rsidP="00FF3346">
      <w:pPr>
        <w:spacing w:after="0"/>
        <w:rPr>
          <w:rFonts w:cs="Times New Roman"/>
          <w:szCs w:val="24"/>
        </w:rPr>
      </w:pPr>
      <w:r>
        <w:rPr>
          <w:rFonts w:cs="Times New Roman"/>
          <w:szCs w:val="24"/>
        </w:rPr>
        <w:t xml:space="preserve">La configuración general del modelo se muestra en la figura 2. Para el estudio se consideró </w:t>
      </w:r>
      <w:r w:rsidR="008E1D5A">
        <w:rPr>
          <w:rFonts w:cs="Times New Roman"/>
          <w:szCs w:val="24"/>
        </w:rPr>
        <w:t>como año base 2019 para calibrar el modelo y se extiende hasta el año 2050</w:t>
      </w:r>
      <w:r>
        <w:rPr>
          <w:rFonts w:cs="Times New Roman"/>
          <w:szCs w:val="24"/>
        </w:rPr>
        <w:t xml:space="preserve">. Cuenta con un total de 4 estaciones, dos días tipo y 8 divisiones del día para capturar </w:t>
      </w:r>
      <w:r w:rsidR="005D169D">
        <w:rPr>
          <w:rFonts w:cs="Times New Roman"/>
          <w:szCs w:val="24"/>
        </w:rPr>
        <w:t>fenómenos relacionados con los picos de la demanda</w:t>
      </w:r>
      <w:r>
        <w:rPr>
          <w:rFonts w:cs="Times New Roman"/>
          <w:szCs w:val="24"/>
        </w:rPr>
        <w:t>.</w:t>
      </w:r>
      <w:r w:rsidR="005D169D">
        <w:rPr>
          <w:rFonts w:cs="Times New Roman"/>
          <w:szCs w:val="24"/>
        </w:rPr>
        <w:t xml:space="preserve"> Esto da un total de 64 timeslices para cada año de la modelación</w:t>
      </w:r>
      <w:r w:rsidR="008606CB">
        <w:rPr>
          <w:rFonts w:cs="Times New Roman"/>
          <w:szCs w:val="24"/>
        </w:rPr>
        <w:t xml:space="preserve"> (fig</w:t>
      </w:r>
      <w:r w:rsidR="0053477F">
        <w:rPr>
          <w:rFonts w:cs="Times New Roman"/>
          <w:szCs w:val="24"/>
        </w:rPr>
        <w:t>ura</w:t>
      </w:r>
      <w:r w:rsidR="008606CB">
        <w:rPr>
          <w:rFonts w:cs="Times New Roman"/>
          <w:szCs w:val="24"/>
        </w:rPr>
        <w:t xml:space="preserve"> 2)</w:t>
      </w:r>
      <w:r w:rsidR="005D169D">
        <w:rPr>
          <w:rFonts w:cs="Times New Roman"/>
          <w:szCs w:val="24"/>
        </w:rPr>
        <w:t>.</w:t>
      </w:r>
      <w:r>
        <w:rPr>
          <w:rFonts w:cs="Times New Roman"/>
          <w:szCs w:val="24"/>
        </w:rPr>
        <w:t xml:space="preserve"> </w:t>
      </w:r>
    </w:p>
    <w:p w14:paraId="199B167D" w14:textId="5317557E" w:rsidR="009A26D0" w:rsidRDefault="009A26D0" w:rsidP="00FF3346">
      <w:pPr>
        <w:spacing w:after="0"/>
        <w:rPr>
          <w:rFonts w:cs="Times New Roman"/>
          <w:szCs w:val="24"/>
        </w:rPr>
      </w:pPr>
      <w:r>
        <w:rPr>
          <w:rFonts w:cs="Times New Roman"/>
          <w:szCs w:val="24"/>
        </w:rPr>
        <w:t xml:space="preserve">Se confeccionaron </w:t>
      </w:r>
      <w:r w:rsidR="00915A0C">
        <w:rPr>
          <w:rFonts w:cs="Times New Roman"/>
          <w:szCs w:val="24"/>
        </w:rPr>
        <w:t xml:space="preserve">tres </w:t>
      </w:r>
      <w:r>
        <w:rPr>
          <w:rFonts w:cs="Times New Roman"/>
          <w:szCs w:val="24"/>
        </w:rPr>
        <w:t xml:space="preserve">escenarios principales donde uno es el sistema tradicional Cubano (BAU), el segundo donde se pretende investigar 37% de penetración de FRE hasta 2030, </w:t>
      </w:r>
      <w:r>
        <w:rPr>
          <w:rFonts w:cs="Times New Roman"/>
          <w:szCs w:val="24"/>
        </w:rPr>
        <w:lastRenderedPageBreak/>
        <w:t xml:space="preserve">y </w:t>
      </w:r>
      <w:r w:rsidR="00E15ABF">
        <w:rPr>
          <w:rFonts w:cs="Times New Roman"/>
          <w:szCs w:val="24"/>
        </w:rPr>
        <w:t>por último, un escenario que cuenta con</w:t>
      </w:r>
      <w:r w:rsidR="00915A0C">
        <w:rPr>
          <w:rFonts w:cs="Times New Roman"/>
          <w:szCs w:val="24"/>
        </w:rPr>
        <w:t xml:space="preserve"> un precio </w:t>
      </w:r>
      <w:r w:rsidR="00E15ABF">
        <w:rPr>
          <w:rFonts w:cs="Times New Roman"/>
          <w:szCs w:val="24"/>
        </w:rPr>
        <w:t xml:space="preserve">de </w:t>
      </w:r>
      <w:r w:rsidR="00915A0C">
        <w:rPr>
          <w:rFonts w:cs="Times New Roman"/>
          <w:szCs w:val="24"/>
        </w:rPr>
        <w:t xml:space="preserve">la </w:t>
      </w:r>
      <w:r w:rsidR="00E15ABF">
        <w:rPr>
          <w:rFonts w:cs="Times New Roman"/>
          <w:szCs w:val="24"/>
        </w:rPr>
        <w:t xml:space="preserve">biomasa más favorable </w:t>
      </w:r>
      <w:r w:rsidR="00915A0C">
        <w:rPr>
          <w:rFonts w:cs="Times New Roman"/>
          <w:szCs w:val="24"/>
        </w:rPr>
        <w:t>que el estimado de 85 $/MWh</w:t>
      </w:r>
      <w:r w:rsidR="00447608">
        <w:rPr>
          <w:rFonts w:cs="Times New Roman"/>
          <w:szCs w:val="24"/>
        </w:rPr>
        <w:t xml:space="preserve"> por </w:t>
      </w:r>
      <w:r w:rsidR="00915A0C">
        <w:rPr>
          <w:rFonts w:cs="Times New Roman"/>
          <w:szCs w:val="24"/>
        </w:rPr>
        <w:t xml:space="preserve">. EL reporte global de biomasa muestra que el precio más elevado de la biomasa es </w:t>
      </w:r>
      <w:r w:rsidR="00377FEB">
        <w:rPr>
          <w:rFonts w:cs="Times New Roman"/>
          <w:szCs w:val="24"/>
        </w:rPr>
        <w:t xml:space="preserve">alrededor de </w:t>
      </w:r>
      <w:r w:rsidR="00915A0C">
        <w:rPr>
          <w:rFonts w:cs="Times New Roman"/>
          <w:szCs w:val="24"/>
        </w:rPr>
        <w:t xml:space="preserve">40 $/MWh </w:t>
      </w:r>
      <w:r w:rsidR="00915A0C">
        <w:rPr>
          <w:rFonts w:cs="Times New Roman"/>
          <w:szCs w:val="24"/>
        </w:rPr>
        <w:fldChar w:fldCharType="begin"/>
      </w:r>
      <w:r w:rsidR="00026F6E">
        <w:rPr>
          <w:rFonts w:cs="Times New Roman"/>
          <w:szCs w:val="24"/>
        </w:rPr>
        <w:instrText xml:space="preserve"> ADDIN EN.CITE &lt;EndNote&gt;&lt;Cite&gt;&lt;Author&gt;Howes&lt;/Author&gt;&lt;Year&gt;2018&lt;/Year&gt;&lt;RecNum&gt;685&lt;/RecNum&gt;&lt;DisplayText&gt;[11]&lt;/DisplayText&gt;&lt;record&gt;&lt;rec-number&gt;685&lt;/rec-number&gt;&lt;foreign-keys&gt;&lt;key app="EN" db-id="0frrtdxtxevvrge9vfkpszxqrzs2wzz59x90" timestamp="1697736365"&gt;685&lt;/key&gt;&lt;/foreign-keys&gt;&lt;ref-type name="Report"&gt;27&lt;/ref-type&gt;&lt;contributors&gt;&lt;authors&gt;&lt;author&gt;P. Howes&lt;/author&gt;&lt;author&gt;J. Bates&lt;/author&gt;&lt;author&gt;A. Brown&lt;/author&gt;&lt;author&gt;R. Diaz-Chavez &lt;/author&gt;&lt;author&gt;S. Christie&lt;/author&gt;&lt;author&gt;A. Bayley&lt;/author&gt;&lt;/authors&gt;&lt;/contributors&gt;&lt;titles&gt;&lt;title&gt;Global Biomass Markets Final Report&lt;/title&gt;&lt;/titles&gt;&lt;dates&gt;&lt;year&gt;2018&lt;/year&gt;&lt;/dates&gt;&lt;urls&gt;&lt;related-urls&gt;&lt;url&gt;https://assets.publishing.service.gov.uk/government/uploads/system/uploads/attachment_data/file/795029/Global_Biomass_Markets_Final_report.pdf&lt;/url&gt;&lt;/related-urls&gt;&lt;/urls&gt;&lt;/record&gt;&lt;/Cite&gt;&lt;/EndNote&gt;</w:instrText>
      </w:r>
      <w:r w:rsidR="00915A0C">
        <w:rPr>
          <w:rFonts w:cs="Times New Roman"/>
          <w:szCs w:val="24"/>
        </w:rPr>
        <w:fldChar w:fldCharType="separate"/>
      </w:r>
      <w:r w:rsidR="00026F6E">
        <w:rPr>
          <w:rFonts w:cs="Times New Roman"/>
          <w:noProof/>
          <w:szCs w:val="24"/>
        </w:rPr>
        <w:t>[11]</w:t>
      </w:r>
      <w:r w:rsidR="00915A0C">
        <w:rPr>
          <w:rFonts w:cs="Times New Roman"/>
          <w:szCs w:val="24"/>
        </w:rPr>
        <w:fldChar w:fldCharType="end"/>
      </w:r>
      <w:r w:rsidR="00A17012">
        <w:rPr>
          <w:rFonts w:cs="Times New Roman"/>
          <w:szCs w:val="24"/>
        </w:rPr>
        <w:t xml:space="preserve"> y el más bajo de 14 $/MWh.</w:t>
      </w:r>
      <w:r w:rsidR="00377FEB">
        <w:rPr>
          <w:rFonts w:cs="Times New Roman"/>
          <w:szCs w:val="24"/>
        </w:rPr>
        <w:t xml:space="preserve"> </w:t>
      </w:r>
      <w:r w:rsidR="00377FEB">
        <w:rPr>
          <w:rFonts w:cs="Times New Roman"/>
          <w:szCs w:val="24"/>
        </w:rPr>
        <w:fldChar w:fldCharType="begin"/>
      </w:r>
      <w:r w:rsidR="00026F6E">
        <w:rPr>
          <w:rFonts w:cs="Times New Roman"/>
          <w:szCs w:val="24"/>
        </w:rPr>
        <w:instrText xml:space="preserve"> ADDIN EN.CITE &lt;EndNote&gt;&lt;Cite AuthorYear="1"&gt;&lt;Author&gt;Rubio-González&lt;/Author&gt;&lt;RecNum&gt;606&lt;/RecNum&gt;&lt;DisplayText&gt;Rubio-González, et al. [12]&lt;/DisplayText&gt;&lt;record&gt;&lt;rec-number&gt;606&lt;/rec-number&gt;&lt;foreign-keys&gt;&lt;key app="EN" db-id="0frrtdxtxevvrge9vfkpszxqrzs2wzz59x90" timestamp="1613080501"&gt;606&lt;/key&gt;&lt;/foreign-keys&gt;&lt;ref-type name="Journal Article"&gt;17&lt;/ref-type&gt;&lt;contributors&gt;&lt;authors&gt;&lt;author&gt;Rubio-González, Angel&lt;/author&gt;&lt;author&gt;Hernández Martínez, Barbara&lt;/author&gt;&lt;author&gt;Rubio Rodríguez, Manuel&lt;/author&gt;&lt;/authors&gt;&lt;/contributors&gt;&lt;titles&gt;&lt;title&gt;Programa cubano para el máximo aprovechamiento de la biomasa cañera para la generación de electricidad&lt;/title&gt;&lt;/titles&gt;&lt;dates&gt;&lt;/dates&gt;&lt;urls&gt;&lt;/urls&gt;&lt;/record&gt;&lt;/Cite&gt;&lt;/EndNote&gt;</w:instrText>
      </w:r>
      <w:r w:rsidR="00377FEB">
        <w:rPr>
          <w:rFonts w:cs="Times New Roman"/>
          <w:szCs w:val="24"/>
        </w:rPr>
        <w:fldChar w:fldCharType="separate"/>
      </w:r>
      <w:r w:rsidR="00026F6E">
        <w:rPr>
          <w:rFonts w:cs="Times New Roman"/>
          <w:noProof/>
          <w:szCs w:val="24"/>
        </w:rPr>
        <w:t>Rubio-González, et al. [12]</w:t>
      </w:r>
      <w:r w:rsidR="00377FEB">
        <w:rPr>
          <w:rFonts w:cs="Times New Roman"/>
          <w:szCs w:val="24"/>
        </w:rPr>
        <w:fldChar w:fldCharType="end"/>
      </w:r>
      <w:r w:rsidR="00377FEB">
        <w:rPr>
          <w:rFonts w:cs="Times New Roman"/>
          <w:szCs w:val="24"/>
        </w:rPr>
        <w:t xml:space="preserve"> </w:t>
      </w:r>
      <w:r w:rsidR="00116108">
        <w:rPr>
          <w:rFonts w:cs="Times New Roman"/>
          <w:szCs w:val="24"/>
        </w:rPr>
        <w:t xml:space="preserve"> y </w:t>
      </w:r>
      <w:r w:rsidR="00116108">
        <w:rPr>
          <w:rFonts w:cs="Times New Roman"/>
          <w:szCs w:val="24"/>
        </w:rPr>
        <w:fldChar w:fldCharType="begin"/>
      </w:r>
      <w:r w:rsidR="00026F6E">
        <w:rPr>
          <w:rFonts w:cs="Times New Roman"/>
          <w:szCs w:val="24"/>
        </w:rPr>
        <w:instrText xml:space="preserve"> ADDIN EN.CITE &lt;EndNote&gt;&lt;Cite AuthorYear="1"&gt;&lt;Author&gt;Plazas-Niño&lt;/Author&gt;&lt;Year&gt;2023&lt;/Year&gt;&lt;RecNum&gt;687&lt;/RecNum&gt;&lt;DisplayText&gt;Plazas-Niño, et al. [13]&lt;/DisplayText&gt;&lt;record&gt;&lt;rec-number&gt;687&lt;/rec-number&gt;&lt;foreign-keys&gt;&lt;key app="EN" db-id="0frrtdxtxevvrge9vfkpszxqrzs2wzz59x90" timestamp="1697739130"&gt;687&lt;/key&gt;&lt;/foreign-keys&gt;&lt;ref-type name="Journal Article"&gt;17&lt;/ref-type&gt;&lt;contributors&gt;&lt;authors&gt;&lt;author&gt;Plazas-Niño, F. A.&lt;/author&gt;&lt;author&gt;Ortiz-Pimiento, N. R.&lt;/author&gt;&lt;author&gt;Quirós-Tortós, J.&lt;/author&gt;&lt;/authors&gt;&lt;/contributors&gt;&lt;titles&gt;&lt;title&gt;Supporting energy system modelling in developing countries: Techno-economic energy dataset for open modelling of decarbonization pathways in Colombia&lt;/title&gt;&lt;secondary-title&gt;Data in Brief&lt;/secondary-title&gt;&lt;/titles&gt;&lt;periodical&gt;&lt;full-title&gt;Data in Brief&lt;/full-title&gt;&lt;/periodical&gt;&lt;pages&gt;109268&lt;/pages&gt;&lt;volume&gt;48&lt;/volume&gt;&lt;keywords&gt;&lt;keyword&gt;Energy modelling&lt;/keyword&gt;&lt;keyword&gt;Energy transition&lt;/keyword&gt;&lt;keyword&gt;Energy planning&lt;/keyword&gt;&lt;keyword&gt;OSeMOSYS&lt;/keyword&gt;&lt;keyword&gt;Energy policy&lt;/keyword&gt;&lt;/keywords&gt;&lt;dates&gt;&lt;year&gt;2023&lt;/year&gt;&lt;pub-dates&gt;&lt;date&gt;2023/06/01/&lt;/date&gt;&lt;/pub-dates&gt;&lt;/dates&gt;&lt;isbn&gt;2352-3409&lt;/isbn&gt;&lt;urls&gt;&lt;related-urls&gt;&lt;url&gt;https://www.sciencedirect.com/science/article/pii/S2352340923003876&lt;/url&gt;&lt;/related-urls&gt;&lt;/urls&gt;&lt;electronic-resource-num&gt;https://doi.org/10.1016/j.dib.2023.109268&lt;/electronic-resource-num&gt;&lt;/record&gt;&lt;/Cite&gt;&lt;/EndNote&gt;</w:instrText>
      </w:r>
      <w:r w:rsidR="00116108">
        <w:rPr>
          <w:rFonts w:cs="Times New Roman"/>
          <w:szCs w:val="24"/>
        </w:rPr>
        <w:fldChar w:fldCharType="separate"/>
      </w:r>
      <w:r w:rsidR="00026F6E">
        <w:rPr>
          <w:rFonts w:cs="Times New Roman"/>
          <w:noProof/>
          <w:szCs w:val="24"/>
        </w:rPr>
        <w:t>Plazas-Niño, et al. [13]</w:t>
      </w:r>
      <w:r w:rsidR="00116108">
        <w:rPr>
          <w:rFonts w:cs="Times New Roman"/>
          <w:szCs w:val="24"/>
        </w:rPr>
        <w:fldChar w:fldCharType="end"/>
      </w:r>
      <w:r w:rsidR="00116108">
        <w:rPr>
          <w:rFonts w:cs="Times New Roman"/>
          <w:szCs w:val="24"/>
        </w:rPr>
        <w:t xml:space="preserve"> </w:t>
      </w:r>
      <w:r w:rsidR="00377FEB">
        <w:rPr>
          <w:rFonts w:cs="Times New Roman"/>
          <w:szCs w:val="24"/>
        </w:rPr>
        <w:t>muestra</w:t>
      </w:r>
      <w:r w:rsidR="00116108">
        <w:rPr>
          <w:rFonts w:cs="Times New Roman"/>
          <w:szCs w:val="24"/>
        </w:rPr>
        <w:t>n</w:t>
      </w:r>
      <w:r w:rsidR="00377FEB">
        <w:rPr>
          <w:rFonts w:cs="Times New Roman"/>
          <w:szCs w:val="24"/>
        </w:rPr>
        <w:t xml:space="preserve"> </w:t>
      </w:r>
      <w:r w:rsidR="00116108">
        <w:rPr>
          <w:rFonts w:cs="Times New Roman"/>
          <w:szCs w:val="24"/>
        </w:rPr>
        <w:t xml:space="preserve">en sus artículos </w:t>
      </w:r>
      <w:r w:rsidR="00377FEB">
        <w:rPr>
          <w:rFonts w:cs="Times New Roman"/>
          <w:szCs w:val="24"/>
        </w:rPr>
        <w:t>un valor de 21 $/MWh</w:t>
      </w:r>
      <w:r w:rsidR="00A17012">
        <w:rPr>
          <w:rFonts w:cs="Times New Roman"/>
          <w:szCs w:val="24"/>
        </w:rPr>
        <w:t xml:space="preserve"> </w:t>
      </w:r>
      <w:r w:rsidR="00116108">
        <w:rPr>
          <w:rFonts w:cs="Times New Roman"/>
          <w:szCs w:val="24"/>
        </w:rPr>
        <w:t xml:space="preserve">y 8 $/MWh respectivamente. </w:t>
      </w:r>
      <w:r w:rsidR="00447608">
        <w:rPr>
          <w:rFonts w:cs="Times New Roman"/>
          <w:szCs w:val="24"/>
        </w:rPr>
        <w:t xml:space="preserve">En este </w:t>
      </w:r>
      <w:r w:rsidR="0023205F">
        <w:rPr>
          <w:rFonts w:cs="Times New Roman"/>
          <w:szCs w:val="24"/>
        </w:rPr>
        <w:t>último escenario</w:t>
      </w:r>
      <w:r w:rsidR="00447608">
        <w:rPr>
          <w:rFonts w:cs="Times New Roman"/>
          <w:szCs w:val="24"/>
        </w:rPr>
        <w:t xml:space="preserve"> se usó </w:t>
      </w:r>
      <w:r w:rsidR="0023205F">
        <w:rPr>
          <w:rFonts w:cs="Times New Roman"/>
          <w:szCs w:val="24"/>
        </w:rPr>
        <w:t>40 $/MWh</w:t>
      </w:r>
      <w:r w:rsidR="00447608">
        <w:rPr>
          <w:rFonts w:cs="Times New Roman"/>
          <w:szCs w:val="24"/>
        </w:rPr>
        <w:t>.</w:t>
      </w:r>
    </w:p>
    <w:p w14:paraId="7AC63005" w14:textId="1F962A44" w:rsidR="00C15B5B" w:rsidRDefault="00C15B5B" w:rsidP="00FF3346">
      <w:pPr>
        <w:spacing w:after="0"/>
        <w:rPr>
          <w:rFonts w:cs="Times New Roman"/>
          <w:szCs w:val="24"/>
        </w:rPr>
      </w:pPr>
      <w:r>
        <w:rPr>
          <w:rFonts w:cs="Times New Roman"/>
          <w:noProof/>
          <w:szCs w:val="24"/>
        </w:rPr>
        <w:drawing>
          <wp:inline distT="0" distB="0" distL="0" distR="0" wp14:anchorId="3B8A301B" wp14:editId="5C13971E">
            <wp:extent cx="5290519" cy="30001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2082" cy="3006676"/>
                    </a:xfrm>
                    <a:prstGeom prst="rect">
                      <a:avLst/>
                    </a:prstGeom>
                    <a:noFill/>
                    <a:ln>
                      <a:noFill/>
                    </a:ln>
                  </pic:spPr>
                </pic:pic>
              </a:graphicData>
            </a:graphic>
          </wp:inline>
        </w:drawing>
      </w:r>
    </w:p>
    <w:p w14:paraId="46CB3E3F" w14:textId="3507FA79" w:rsidR="00C15B5B" w:rsidRPr="00FB6BBE" w:rsidRDefault="00FB6BBE" w:rsidP="00FB6BBE">
      <w:pPr>
        <w:pStyle w:val="ListParagraph"/>
        <w:numPr>
          <w:ilvl w:val="0"/>
          <w:numId w:val="4"/>
        </w:numPr>
        <w:spacing w:after="0"/>
        <w:ind w:firstLine="0"/>
        <w:jc w:val="center"/>
        <w:rPr>
          <w:rFonts w:cs="Times New Roman"/>
          <w:sz w:val="20"/>
          <w:szCs w:val="20"/>
        </w:rPr>
      </w:pPr>
      <w:r>
        <w:rPr>
          <w:rFonts w:cs="Times New Roman"/>
          <w:sz w:val="20"/>
          <w:szCs w:val="20"/>
        </w:rPr>
        <w:t xml:space="preserve"> </w:t>
      </w:r>
      <w:r w:rsidR="00FF2DCC" w:rsidRPr="00FB6BBE">
        <w:rPr>
          <w:rFonts w:cs="Times New Roman"/>
          <w:sz w:val="20"/>
          <w:szCs w:val="20"/>
        </w:rPr>
        <w:t>Configuración del general del modelo.</w:t>
      </w:r>
      <w:r w:rsidR="00A119A4" w:rsidRPr="00FB6BBE">
        <w:rPr>
          <w:rFonts w:cs="Times New Roman"/>
          <w:sz w:val="20"/>
          <w:szCs w:val="20"/>
        </w:rPr>
        <w:t xml:space="preserve"> Elaboración propia.</w:t>
      </w:r>
    </w:p>
    <w:p w14:paraId="4201F610" w14:textId="37DC02F2" w:rsidR="00605ACD" w:rsidRDefault="00A21A1F" w:rsidP="00FF3346">
      <w:pPr>
        <w:spacing w:after="0"/>
        <w:rPr>
          <w:rFonts w:cs="Times New Roman"/>
          <w:b/>
          <w:szCs w:val="24"/>
        </w:rPr>
      </w:pPr>
      <w:r w:rsidRPr="009D5E02">
        <w:rPr>
          <w:rFonts w:cs="Times New Roman"/>
          <w:b/>
          <w:szCs w:val="24"/>
        </w:rPr>
        <w:t>3. Resultados y discusión</w:t>
      </w:r>
      <w:r w:rsidR="00605ACD">
        <w:rPr>
          <w:rFonts w:cs="Times New Roman"/>
          <w:b/>
          <w:szCs w:val="24"/>
        </w:rPr>
        <w:t>.</w:t>
      </w:r>
    </w:p>
    <w:p w14:paraId="51AAF06E" w14:textId="77777777" w:rsidR="00060427" w:rsidRDefault="00C140B2" w:rsidP="00F11C98">
      <w:pPr>
        <w:spacing w:after="0"/>
        <w:rPr>
          <w:noProof/>
        </w:rPr>
      </w:pPr>
      <w:r>
        <w:rPr>
          <w:noProof/>
        </w:rPr>
        <w:t>Como se mencionó en la metodología primeramente se seleccionaron datos del año 2019 para la calibración del modelo.</w:t>
      </w:r>
      <w:r w:rsidR="007A7508">
        <w:rPr>
          <w:noProof/>
        </w:rPr>
        <w:t xml:space="preserve"> </w:t>
      </w:r>
      <w:r>
        <w:rPr>
          <w:noProof/>
        </w:rPr>
        <w:t>Por lo tanto se comenzará la discusión mostranto el primer escenario con el cubrimiento realizado de forma anual y también en cada uno de los timesclices.</w:t>
      </w:r>
      <w:r w:rsidR="004C0137">
        <w:rPr>
          <w:noProof/>
        </w:rPr>
        <w:t xml:space="preserve"> </w:t>
      </w:r>
    </w:p>
    <w:p w14:paraId="0E197231" w14:textId="4E528B3F" w:rsidR="00605ACD" w:rsidRDefault="004C0137" w:rsidP="00F11C98">
      <w:pPr>
        <w:spacing w:after="0"/>
        <w:rPr>
          <w:noProof/>
        </w:rPr>
      </w:pPr>
      <w:r>
        <w:rPr>
          <w:noProof/>
        </w:rPr>
        <w:t xml:space="preserve">En el gráfico 1 se observa que en los primeros años hay un predominio de la generación con centrales termoeléctricas </w:t>
      </w:r>
      <w:r w:rsidRPr="00F8005C">
        <w:rPr>
          <w:b/>
          <w:bCs/>
          <w:noProof/>
          <w:color w:val="404040" w:themeColor="text1" w:themeTint="BF"/>
        </w:rPr>
        <w:t>(CT)</w:t>
      </w:r>
      <w:r w:rsidRPr="00F8005C">
        <w:rPr>
          <w:noProof/>
          <w:color w:val="404040" w:themeColor="text1" w:themeTint="BF"/>
        </w:rPr>
        <w:t xml:space="preserve"> </w:t>
      </w:r>
      <w:r>
        <w:rPr>
          <w:noProof/>
        </w:rPr>
        <w:t>que actualmente están en funcionamiento</w:t>
      </w:r>
      <w:r w:rsidR="00060427">
        <w:rPr>
          <w:noProof/>
        </w:rPr>
        <w:t xml:space="preserve"> y se consideró retirarlas a partir del año 2025. Siguiendo las tendencias actuales de los precios sin fluctuaciones, la producción en este escenario en los años siguientes se realiza en gran parte con centrales termoeléctricas nuevas. La generación móvil y la generación desaparecen por completo en los años posteriores al 2024, generándose la electricidad con plantas de gas</w:t>
      </w:r>
      <w:r w:rsidR="00F8005C">
        <w:rPr>
          <w:noProof/>
        </w:rPr>
        <w:t xml:space="preserve"> </w:t>
      </w:r>
      <w:r w:rsidR="00F8005C" w:rsidRPr="00F8005C">
        <w:rPr>
          <w:b/>
          <w:bCs/>
          <w:noProof/>
          <w:color w:val="404040" w:themeColor="text1" w:themeTint="BF"/>
        </w:rPr>
        <w:t>(NG)</w:t>
      </w:r>
      <w:r w:rsidR="00060427" w:rsidRPr="00F8005C">
        <w:rPr>
          <w:b/>
          <w:bCs/>
          <w:noProof/>
          <w:color w:val="404040" w:themeColor="text1" w:themeTint="BF"/>
        </w:rPr>
        <w:t>,</w:t>
      </w:r>
      <w:r w:rsidR="00060427" w:rsidRPr="00F8005C">
        <w:rPr>
          <w:noProof/>
          <w:color w:val="404040" w:themeColor="text1" w:themeTint="BF"/>
        </w:rPr>
        <w:t xml:space="preserve"> </w:t>
      </w:r>
      <w:r w:rsidR="00060427">
        <w:rPr>
          <w:noProof/>
        </w:rPr>
        <w:t>nuevas centrales termoeléctricas y una importante contribución de se generación solar</w:t>
      </w:r>
      <w:r w:rsidR="00F8005C">
        <w:rPr>
          <w:noProof/>
        </w:rPr>
        <w:t xml:space="preserve"> </w:t>
      </w:r>
      <w:r w:rsidR="00F8005C" w:rsidRPr="00F8005C">
        <w:rPr>
          <w:b/>
          <w:bCs/>
          <w:noProof/>
          <w:color w:val="404040" w:themeColor="text1" w:themeTint="BF"/>
        </w:rPr>
        <w:t>(PV)</w:t>
      </w:r>
      <w:r w:rsidR="00060427" w:rsidRPr="00F8005C">
        <w:rPr>
          <w:b/>
          <w:bCs/>
          <w:noProof/>
          <w:color w:val="404040" w:themeColor="text1" w:themeTint="BF"/>
        </w:rPr>
        <w:t xml:space="preserve"> </w:t>
      </w:r>
      <w:r w:rsidR="00060427">
        <w:rPr>
          <w:noProof/>
        </w:rPr>
        <w:t>y eólica.</w:t>
      </w:r>
    </w:p>
    <w:p w14:paraId="5708C41D" w14:textId="00244D49" w:rsidR="00060427" w:rsidRDefault="00060427" w:rsidP="00F11C98">
      <w:pPr>
        <w:spacing w:after="0"/>
        <w:rPr>
          <w:noProof/>
        </w:rPr>
      </w:pPr>
    </w:p>
    <w:p w14:paraId="1F7365ED" w14:textId="0CC8459A" w:rsidR="00C140B2" w:rsidRDefault="007A7508" w:rsidP="007A7508">
      <w:pPr>
        <w:spacing w:after="0"/>
        <w:jc w:val="center"/>
        <w:rPr>
          <w:noProof/>
        </w:rPr>
      </w:pPr>
      <w:r>
        <w:rPr>
          <w:noProof/>
        </w:rPr>
        <w:lastRenderedPageBreak/>
        <w:drawing>
          <wp:inline distT="0" distB="0" distL="0" distR="0" wp14:anchorId="134050E6" wp14:editId="4BB8CC4B">
            <wp:extent cx="5400040" cy="3218815"/>
            <wp:effectExtent l="0" t="0" r="0" b="635"/>
            <wp:docPr id="11" name="Chart 11">
              <a:extLst xmlns:a="http://schemas.openxmlformats.org/drawingml/2006/main">
                <a:ext uri="{FF2B5EF4-FFF2-40B4-BE49-F238E27FC236}">
                  <a16:creationId xmlns:a16="http://schemas.microsoft.com/office/drawing/2014/main" id="{A21FCC07-9240-4C39-AE1D-FA810E41E7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A22DB6A" w14:textId="45FA42E2" w:rsidR="00EE0A11" w:rsidRDefault="005B174B" w:rsidP="005B174B">
      <w:pPr>
        <w:pStyle w:val="ListParagraph"/>
        <w:numPr>
          <w:ilvl w:val="0"/>
          <w:numId w:val="2"/>
        </w:numPr>
        <w:spacing w:after="0"/>
        <w:ind w:firstLine="0"/>
        <w:jc w:val="center"/>
        <w:rPr>
          <w:noProof/>
        </w:rPr>
      </w:pPr>
      <w:r>
        <w:rPr>
          <w:noProof/>
        </w:rPr>
        <w:t xml:space="preserve"> </w:t>
      </w:r>
      <w:r w:rsidRPr="00FB6BBE">
        <w:rPr>
          <w:noProof/>
          <w:sz w:val="20"/>
          <w:szCs w:val="18"/>
        </w:rPr>
        <w:t xml:space="preserve">Producción de energía anual </w:t>
      </w:r>
      <w:r w:rsidR="00F8005C">
        <w:rPr>
          <w:noProof/>
          <w:sz w:val="20"/>
          <w:szCs w:val="18"/>
        </w:rPr>
        <w:t>en PJ, escenario 1.</w:t>
      </w:r>
    </w:p>
    <w:p w14:paraId="660BF11F" w14:textId="77777777" w:rsidR="00D12136" w:rsidRDefault="00EE0A11" w:rsidP="00EE0A11">
      <w:pPr>
        <w:spacing w:after="0"/>
        <w:rPr>
          <w:noProof/>
        </w:rPr>
      </w:pPr>
      <w:r>
        <w:rPr>
          <w:noProof/>
        </w:rPr>
        <w:t xml:space="preserve">Una de las preguntas que se desea </w:t>
      </w:r>
      <w:r w:rsidR="00274855">
        <w:rPr>
          <w:noProof/>
        </w:rPr>
        <w:t>responder a través de la modelación es el cubrimiento energético pero en lugar de anual, por cada timeslice.</w:t>
      </w:r>
      <w:r>
        <w:rPr>
          <w:noProof/>
        </w:rPr>
        <w:t xml:space="preserve"> </w:t>
      </w:r>
      <w:r w:rsidR="00274855">
        <w:rPr>
          <w:noProof/>
        </w:rPr>
        <w:t xml:space="preserve">Se debe destacar que el OSeMOSYS al no ser un modelo de despacho energético, posee limitaciones a la hora de realizar el cubrimiento. </w:t>
      </w:r>
    </w:p>
    <w:p w14:paraId="6A2E966E" w14:textId="503465F8" w:rsidR="00274855" w:rsidRDefault="00140E6A" w:rsidP="00EE0A11">
      <w:pPr>
        <w:spacing w:after="0"/>
        <w:rPr>
          <w:noProof/>
        </w:rPr>
      </w:pPr>
      <w:r>
        <w:rPr>
          <w:noProof/>
        </w:rPr>
        <w:drawing>
          <wp:inline distT="0" distB="0" distL="0" distR="0" wp14:anchorId="0538AD25" wp14:editId="33FE9AAA">
            <wp:extent cx="5400040" cy="2731325"/>
            <wp:effectExtent l="0" t="0" r="0" b="0"/>
            <wp:docPr id="13" name="Chart 13">
              <a:extLst xmlns:a="http://schemas.openxmlformats.org/drawingml/2006/main">
                <a:ext uri="{FF2B5EF4-FFF2-40B4-BE49-F238E27FC236}">
                  <a16:creationId xmlns:a16="http://schemas.microsoft.com/office/drawing/2014/main" id="{7D69D277-D712-4DF2-A5F8-7E93FBD65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3FA9F71" w14:textId="7C2FCAD3" w:rsidR="001668F2" w:rsidRDefault="001668F2" w:rsidP="001668F2">
      <w:pPr>
        <w:pStyle w:val="ListParagraph"/>
        <w:numPr>
          <w:ilvl w:val="0"/>
          <w:numId w:val="2"/>
        </w:numPr>
        <w:spacing w:after="0"/>
        <w:ind w:firstLine="0"/>
        <w:jc w:val="center"/>
        <w:rPr>
          <w:noProof/>
        </w:rPr>
      </w:pPr>
      <w:r>
        <w:rPr>
          <w:noProof/>
          <w:sz w:val="20"/>
          <w:szCs w:val="18"/>
        </w:rPr>
        <w:t xml:space="preserve"> </w:t>
      </w:r>
      <w:r w:rsidRPr="00FB6BBE">
        <w:rPr>
          <w:noProof/>
          <w:sz w:val="20"/>
          <w:szCs w:val="18"/>
        </w:rPr>
        <w:t xml:space="preserve">Producción de energía </w:t>
      </w:r>
      <w:r>
        <w:rPr>
          <w:noProof/>
          <w:sz w:val="20"/>
          <w:szCs w:val="18"/>
        </w:rPr>
        <w:t>por timesclices</w:t>
      </w:r>
      <w:r w:rsidRPr="00FB6BBE">
        <w:rPr>
          <w:noProof/>
          <w:sz w:val="20"/>
          <w:szCs w:val="18"/>
        </w:rPr>
        <w:t xml:space="preserve"> </w:t>
      </w:r>
      <w:r>
        <w:rPr>
          <w:noProof/>
          <w:sz w:val="20"/>
          <w:szCs w:val="18"/>
        </w:rPr>
        <w:t>en PJ, escenario 1.</w:t>
      </w:r>
    </w:p>
    <w:p w14:paraId="1B04622F" w14:textId="445BDEC1" w:rsidR="00D12136" w:rsidRDefault="00D12136" w:rsidP="00D12136">
      <w:pPr>
        <w:spacing w:after="0"/>
        <w:rPr>
          <w:noProof/>
        </w:rPr>
      </w:pPr>
      <w:r>
        <w:rPr>
          <w:noProof/>
        </w:rPr>
        <w:t xml:space="preserve">Por ejemplo, en el gráfico 2, se muestra un cubrimiento del año inicial y 2030 respectivamente. En el caso del año del año 2030 existe un timeslice en el cual la demanda es totalmente cubierta por energía intermitente variable, lo cual es algo que no podría </w:t>
      </w:r>
      <w:r>
        <w:rPr>
          <w:noProof/>
        </w:rPr>
        <w:lastRenderedPageBreak/>
        <w:t>ocurrir sin tener en cuenta almacenamiento. Además, se considera otro motivo por el cual se debe realizar una corrección en el modelo. Las plantas de generación térmica no operan encendiendo y apagando en cada instante de tiempo. Una de las recomendaciones sería implementar nuevas ecuaciones que eviten la ocurrencia de este fenómeno el cuál puede arrojar resultados que no sean operables en la práctica.</w:t>
      </w:r>
    </w:p>
    <w:p w14:paraId="137D79D1" w14:textId="7DAD2C39" w:rsidR="00D12136" w:rsidRDefault="00D12136" w:rsidP="00D12136">
      <w:pPr>
        <w:spacing w:after="0"/>
        <w:rPr>
          <w:noProof/>
        </w:rPr>
      </w:pPr>
      <w:r>
        <w:rPr>
          <w:noProof/>
        </w:rPr>
        <w:t xml:space="preserve">También se debe mencionar que este gráfico no resulta muy cómodo de </w:t>
      </w:r>
      <w:r w:rsidR="009B32A8">
        <w:rPr>
          <w:noProof/>
        </w:rPr>
        <w:t>interpretar</w:t>
      </w:r>
      <w:r>
        <w:rPr>
          <w:noProof/>
        </w:rPr>
        <w:t>, porque cada “timeslice” representa la energía que sería demandada si cada uno de esos timeslices durara el año entero. Por ejemplo, en el timeslice 111, que representa la energía consumida por la estación 1, en el día tipo 1 (días de trabajo) y división del día 1 (20:00</w:t>
      </w:r>
      <w:r w:rsidR="00B64F9E">
        <w:rPr>
          <w:noProof/>
        </w:rPr>
        <w:t xml:space="preserve">-00:00), se consumen 3.09 PJ y </w:t>
      </w:r>
      <w:r w:rsidR="009B32A8">
        <w:rPr>
          <w:noProof/>
        </w:rPr>
        <w:t>a la vista del gráfico pareciera que en ese timeslice se estuviesen demandando alrededor de 67 PJ.</w:t>
      </w:r>
      <w:r w:rsidR="00B64F9E">
        <w:rPr>
          <w:noProof/>
        </w:rPr>
        <w:t xml:space="preserve"> </w:t>
      </w:r>
      <w:r w:rsidR="009B32A8">
        <w:rPr>
          <w:noProof/>
        </w:rPr>
        <w:t>Es importante que se tenga muy presente esto a la hora de interpretar los resultados. Quizás sería recomendable postprocesar los resultados para obtener un gráfico más preciso a la hora de comunicar a los tomadores de decisión.</w:t>
      </w:r>
      <w:r w:rsidR="00B64F9E">
        <w:rPr>
          <w:noProof/>
        </w:rPr>
        <w:t xml:space="preserve">  </w:t>
      </w:r>
      <w:r>
        <w:rPr>
          <w:noProof/>
        </w:rPr>
        <w:t xml:space="preserve"> </w:t>
      </w:r>
    </w:p>
    <w:p w14:paraId="57D210B0" w14:textId="52C2C41F" w:rsidR="00F11C98" w:rsidRDefault="005E13FE" w:rsidP="00F11C98">
      <w:pPr>
        <w:spacing w:after="0"/>
        <w:rPr>
          <w:noProof/>
        </w:rPr>
      </w:pPr>
      <w:r>
        <w:rPr>
          <w:noProof/>
        </w:rPr>
        <w:t>Por otra parte, r</w:t>
      </w:r>
      <w:r w:rsidR="00F11C98">
        <w:rPr>
          <w:noProof/>
        </w:rPr>
        <w:t xml:space="preserve">ealizando análisis comparativo entre el escenario dos y tres en el año 2030, se puede llegar a la conclusión, de que resulta atractivo para el modelo generar con biomasa en caso de </w:t>
      </w:r>
      <w:r w:rsidR="00E260A6">
        <w:rPr>
          <w:noProof/>
        </w:rPr>
        <w:t>usar</w:t>
      </w:r>
      <w:r w:rsidR="00F11C98">
        <w:rPr>
          <w:noProof/>
        </w:rPr>
        <w:t xml:space="preserve"> los </w:t>
      </w:r>
      <w:r w:rsidR="00E260A6">
        <w:rPr>
          <w:noProof/>
        </w:rPr>
        <w:t xml:space="preserve">precios consultados en la literatura. Esto significa que en lugar de generar solo un 37%, se pudiera alcanzar un 64% con FRE. Algo que resulta interesante en esta comparación, es que </w:t>
      </w:r>
      <w:r w:rsidR="00661C0C">
        <w:rPr>
          <w:noProof/>
        </w:rPr>
        <w:t xml:space="preserve">con </w:t>
      </w:r>
      <w:r w:rsidR="00E260A6">
        <w:rPr>
          <w:noProof/>
        </w:rPr>
        <w:t>la disminución</w:t>
      </w:r>
      <w:r w:rsidR="00661C0C">
        <w:rPr>
          <w:noProof/>
        </w:rPr>
        <w:t xml:space="preserve"> de</w:t>
      </w:r>
      <w:r w:rsidR="00E260A6">
        <w:rPr>
          <w:noProof/>
        </w:rPr>
        <w:t xml:space="preserve"> </w:t>
      </w:r>
      <w:r w:rsidR="00661C0C">
        <w:rPr>
          <w:noProof/>
        </w:rPr>
        <w:t>la generación con</w:t>
      </w:r>
      <w:r w:rsidR="00E260A6">
        <w:rPr>
          <w:noProof/>
        </w:rPr>
        <w:t xml:space="preserve"> combustible fósil, </w:t>
      </w:r>
      <w:r w:rsidR="00661C0C">
        <w:rPr>
          <w:noProof/>
        </w:rPr>
        <w:t>el modelo decide incrementar la producción de energía solar fotovoltaíca de un 28% a un 34%</w:t>
      </w:r>
      <w:r w:rsidR="00E260A6">
        <w:rPr>
          <w:noProof/>
        </w:rPr>
        <w:t>.</w:t>
      </w:r>
      <w:r w:rsidR="0035604E">
        <w:rPr>
          <w:noProof/>
        </w:rPr>
        <w:t xml:space="preserve"> </w:t>
      </w:r>
    </w:p>
    <w:p w14:paraId="1AEAB295" w14:textId="147E6795" w:rsidR="00F11C98" w:rsidRDefault="00A119A4" w:rsidP="0035604E">
      <w:pPr>
        <w:spacing w:after="0"/>
        <w:jc w:val="center"/>
        <w:rPr>
          <w:noProof/>
        </w:rPr>
      </w:pPr>
      <w:r w:rsidRPr="00A119A4">
        <w:rPr>
          <w:noProof/>
        </w:rPr>
        <w:drawing>
          <wp:inline distT="0" distB="0" distL="0" distR="0" wp14:anchorId="63F7706B" wp14:editId="126053E0">
            <wp:extent cx="3880237" cy="1974340"/>
            <wp:effectExtent l="0" t="0" r="635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97457" cy="1983102"/>
                    </a:xfrm>
                    <a:prstGeom prst="rect">
                      <a:avLst/>
                    </a:prstGeom>
                  </pic:spPr>
                </pic:pic>
              </a:graphicData>
            </a:graphic>
          </wp:inline>
        </w:drawing>
      </w:r>
    </w:p>
    <w:p w14:paraId="04647F38" w14:textId="11F375BF" w:rsidR="00A119A4" w:rsidRPr="005B174B" w:rsidRDefault="00A119A4" w:rsidP="00274855">
      <w:pPr>
        <w:pStyle w:val="ListParagraph"/>
        <w:numPr>
          <w:ilvl w:val="0"/>
          <w:numId w:val="2"/>
        </w:numPr>
        <w:spacing w:after="0"/>
        <w:ind w:firstLine="289"/>
        <w:jc w:val="center"/>
        <w:rPr>
          <w:rFonts w:cs="Times New Roman"/>
          <w:sz w:val="20"/>
          <w:szCs w:val="20"/>
        </w:rPr>
      </w:pPr>
      <w:r w:rsidRPr="005B174B">
        <w:rPr>
          <w:noProof/>
          <w:sz w:val="20"/>
          <w:szCs w:val="18"/>
        </w:rPr>
        <w:t xml:space="preserve">Comparación del escenario 2 </w:t>
      </w:r>
      <w:r w:rsidR="00224505">
        <w:rPr>
          <w:noProof/>
          <w:sz w:val="20"/>
          <w:szCs w:val="18"/>
        </w:rPr>
        <w:t>y</w:t>
      </w:r>
      <w:r w:rsidRPr="005B174B">
        <w:rPr>
          <w:noProof/>
          <w:sz w:val="20"/>
          <w:szCs w:val="18"/>
        </w:rPr>
        <w:t xml:space="preserve"> 3</w:t>
      </w:r>
      <w:r w:rsidR="00224505">
        <w:rPr>
          <w:noProof/>
          <w:sz w:val="20"/>
          <w:szCs w:val="18"/>
        </w:rPr>
        <w:t xml:space="preserve"> en p</w:t>
      </w:r>
      <w:r w:rsidRPr="005B174B">
        <w:rPr>
          <w:noProof/>
          <w:sz w:val="20"/>
          <w:szCs w:val="18"/>
        </w:rPr>
        <w:t xml:space="preserve">roducción de energía en </w:t>
      </w:r>
      <w:r w:rsidR="00A92540">
        <w:rPr>
          <w:noProof/>
          <w:sz w:val="20"/>
          <w:szCs w:val="18"/>
        </w:rPr>
        <w:t xml:space="preserve">el año </w:t>
      </w:r>
      <w:r w:rsidRPr="005B174B">
        <w:rPr>
          <w:noProof/>
          <w:sz w:val="20"/>
          <w:szCs w:val="18"/>
        </w:rPr>
        <w:t>2030 (%). Elaboración propia.</w:t>
      </w:r>
    </w:p>
    <w:p w14:paraId="7C68FFAA" w14:textId="3C733992" w:rsidR="00097AE0" w:rsidRDefault="00097AE0" w:rsidP="00FF3346">
      <w:pPr>
        <w:spacing w:after="0"/>
        <w:rPr>
          <w:rFonts w:cs="Times New Roman"/>
          <w:szCs w:val="24"/>
        </w:rPr>
      </w:pPr>
      <w:r>
        <w:rPr>
          <w:rFonts w:cs="Times New Roman"/>
          <w:szCs w:val="24"/>
        </w:rPr>
        <w:t xml:space="preserve">En cuanto a capacidad instalada </w:t>
      </w:r>
      <w:r w:rsidR="00AD55BC">
        <w:rPr>
          <w:rFonts w:cs="Times New Roman"/>
          <w:szCs w:val="24"/>
        </w:rPr>
        <w:t xml:space="preserve">se analizará solo la tendencia de las nuevas tecnologías instaladas por el modelo en el escenario 2 y 3. </w:t>
      </w:r>
      <w:r w:rsidR="00B97422">
        <w:rPr>
          <w:rFonts w:cs="Times New Roman"/>
          <w:szCs w:val="24"/>
        </w:rPr>
        <w:t xml:space="preserve"> Las principal diferencia entre ambos </w:t>
      </w:r>
      <w:r w:rsidR="00B97422">
        <w:rPr>
          <w:rFonts w:cs="Times New Roman"/>
          <w:szCs w:val="24"/>
        </w:rPr>
        <w:lastRenderedPageBreak/>
        <w:t>escenarios, es el incremento de la instalación de potencia en bioeléctricas en el escenario 3</w:t>
      </w:r>
      <w:r w:rsidR="009219EE">
        <w:rPr>
          <w:rFonts w:cs="Times New Roman"/>
          <w:szCs w:val="24"/>
        </w:rPr>
        <w:t xml:space="preserve"> tomando un valor en el año 2030 de 800 MW y en el 2050 de 1270 MW</w:t>
      </w:r>
      <w:r w:rsidR="00B97422">
        <w:rPr>
          <w:rFonts w:cs="Times New Roman"/>
          <w:szCs w:val="24"/>
        </w:rPr>
        <w:t xml:space="preserve">. La causa fundamental de esto es debido a la selección del precio de la biomasa cañera con valores de 85 $/MWh y 40 $/MWh respectivamente en cada escenario. Debido a este incremento de potencia en biomasa no se necesitaría </w:t>
      </w:r>
      <w:r w:rsidR="009219EE">
        <w:rPr>
          <w:rFonts w:cs="Times New Roman"/>
          <w:szCs w:val="24"/>
        </w:rPr>
        <w:t xml:space="preserve">tanta potencia en centrales termoeléctricas y de ahí la reducción de 1300 MW del escenario 2 con respecto al 1. También surge un incremento apreciable en la capacidad solar instalada de 1940 MW. </w:t>
      </w:r>
    </w:p>
    <w:p w14:paraId="3005838E" w14:textId="094D3939" w:rsidR="00097AE0" w:rsidRDefault="00AD55BC" w:rsidP="00FF3346">
      <w:pPr>
        <w:spacing w:after="0"/>
        <w:rPr>
          <w:rFonts w:cs="Times New Roman"/>
          <w:szCs w:val="24"/>
        </w:rPr>
      </w:pPr>
      <w:r>
        <w:rPr>
          <w:noProof/>
        </w:rPr>
        <w:drawing>
          <wp:inline distT="0" distB="0" distL="0" distR="0" wp14:anchorId="7298F188" wp14:editId="114595F3">
            <wp:extent cx="2539365" cy="1755674"/>
            <wp:effectExtent l="0" t="0" r="13335" b="16510"/>
            <wp:docPr id="24" name="Chart 24">
              <a:extLst xmlns:a="http://schemas.openxmlformats.org/drawingml/2006/main">
                <a:ext uri="{FF2B5EF4-FFF2-40B4-BE49-F238E27FC236}">
                  <a16:creationId xmlns:a16="http://schemas.microsoft.com/office/drawing/2014/main" id="{F1CCCC53-6958-4855-A335-645080C52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w:drawing>
          <wp:inline distT="0" distB="0" distL="0" distR="0" wp14:anchorId="757DFFAB" wp14:editId="3596352A">
            <wp:extent cx="2641020" cy="1755140"/>
            <wp:effectExtent l="0" t="0" r="6985" b="16510"/>
            <wp:docPr id="21" name="Chart 21">
              <a:extLst xmlns:a="http://schemas.openxmlformats.org/drawingml/2006/main">
                <a:ext uri="{FF2B5EF4-FFF2-40B4-BE49-F238E27FC236}">
                  <a16:creationId xmlns:a16="http://schemas.microsoft.com/office/drawing/2014/main" id="{22862EF2-AB73-440E-9BB9-50A6A9DF73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4DDBDA" w14:textId="5FF0B2BA" w:rsidR="008D1C43" w:rsidRDefault="008D1C43" w:rsidP="00FF3346">
      <w:pPr>
        <w:spacing w:after="0"/>
        <w:rPr>
          <w:rFonts w:cs="Times New Roman"/>
          <w:szCs w:val="24"/>
        </w:rPr>
      </w:pPr>
      <w:r>
        <w:rPr>
          <w:rFonts w:cs="Times New Roman"/>
          <w:szCs w:val="24"/>
        </w:rPr>
        <w:t>S</w:t>
      </w:r>
      <w:r w:rsidR="0035604E">
        <w:rPr>
          <w:rFonts w:cs="Times New Roman"/>
          <w:szCs w:val="24"/>
        </w:rPr>
        <w:t>i se comparan las inversiones que son necesarias hacer en cada escenario, se puede observar que resulta más atractivo invertir en el</w:t>
      </w:r>
      <w:r>
        <w:rPr>
          <w:rFonts w:cs="Times New Roman"/>
          <w:szCs w:val="24"/>
        </w:rPr>
        <w:t xml:space="preserve"> primer y</w:t>
      </w:r>
      <w:r w:rsidR="0035604E">
        <w:rPr>
          <w:rFonts w:cs="Times New Roman"/>
          <w:szCs w:val="24"/>
        </w:rPr>
        <w:t xml:space="preserve"> tercer escenario</w:t>
      </w:r>
      <w:r>
        <w:rPr>
          <w:rFonts w:cs="Times New Roman"/>
          <w:szCs w:val="24"/>
        </w:rPr>
        <w:t xml:space="preserve">. La diferencia </w:t>
      </w:r>
      <w:r w:rsidR="00642343">
        <w:rPr>
          <w:rFonts w:cs="Times New Roman"/>
          <w:szCs w:val="24"/>
        </w:rPr>
        <w:t>en inversión entre</w:t>
      </w:r>
      <w:r>
        <w:rPr>
          <w:rFonts w:cs="Times New Roman"/>
          <w:szCs w:val="24"/>
        </w:rPr>
        <w:t xml:space="preserve"> </w:t>
      </w:r>
      <w:r w:rsidR="00642343">
        <w:rPr>
          <w:rFonts w:cs="Times New Roman"/>
          <w:szCs w:val="24"/>
        </w:rPr>
        <w:t xml:space="preserve">el escenario 1 y 3 son de 4 mil millones de USD, resultando más ventajoso el primer escenario, no siendo de la misma forma desde el punto de vista ambiental donde la mayor penetración de FRE la presenta el escenario 3 y por lo tanto el menor valor de emisiones de gases contaminantes a la atmósfera. </w:t>
      </w:r>
    </w:p>
    <w:p w14:paraId="18DD684B" w14:textId="217978DB" w:rsidR="0035604E" w:rsidRDefault="00840739" w:rsidP="0035604E">
      <w:pPr>
        <w:spacing w:after="0"/>
        <w:jc w:val="center"/>
        <w:rPr>
          <w:rFonts w:cs="Times New Roman"/>
          <w:szCs w:val="24"/>
        </w:rPr>
      </w:pPr>
      <w:r>
        <w:rPr>
          <w:noProof/>
        </w:rPr>
        <w:drawing>
          <wp:inline distT="0" distB="0" distL="0" distR="0" wp14:anchorId="4C1E2101" wp14:editId="429B3823">
            <wp:extent cx="3770416" cy="2795905"/>
            <wp:effectExtent l="0" t="0" r="1905" b="4445"/>
            <wp:docPr id="1" name="Chart 1">
              <a:extLst xmlns:a="http://schemas.openxmlformats.org/drawingml/2006/main">
                <a:ext uri="{FF2B5EF4-FFF2-40B4-BE49-F238E27FC236}">
                  <a16:creationId xmlns:a16="http://schemas.microsoft.com/office/drawing/2014/main" id="{E6A863A5-1581-4B60-B875-3A3D4BC8DE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45B087" w14:textId="3A2AD4CC" w:rsidR="00667F10" w:rsidRPr="001D7C3F" w:rsidRDefault="00840739" w:rsidP="00942DC7">
      <w:pPr>
        <w:pStyle w:val="ListParagraph"/>
        <w:numPr>
          <w:ilvl w:val="0"/>
          <w:numId w:val="2"/>
        </w:numPr>
        <w:spacing w:after="0"/>
        <w:jc w:val="center"/>
        <w:rPr>
          <w:rFonts w:cs="Times New Roman"/>
          <w:sz w:val="20"/>
        </w:rPr>
      </w:pPr>
      <w:r w:rsidRPr="001D7C3F">
        <w:rPr>
          <w:rFonts w:cs="Times New Roman"/>
          <w:sz w:val="20"/>
        </w:rPr>
        <w:t xml:space="preserve">Inversión </w:t>
      </w:r>
      <w:r w:rsidR="004001A4" w:rsidRPr="001D7C3F">
        <w:rPr>
          <w:rFonts w:cs="Times New Roman"/>
          <w:sz w:val="20"/>
        </w:rPr>
        <w:t>requerida en los tres escenarios en millones de USD. Elaboración propia.</w:t>
      </w:r>
    </w:p>
    <w:p w14:paraId="4C141029" w14:textId="2DD30450" w:rsidR="00605ACD" w:rsidRDefault="005662AD" w:rsidP="00942DC7">
      <w:pPr>
        <w:spacing w:after="0"/>
      </w:pPr>
      <w:r>
        <w:lastRenderedPageBreak/>
        <w:t>Otra cuestión importante a analizar, son los costos totales descontados, donde se tienen en cuenta no solo las inversiones, sino también los costos asociados por el consumo de combustible</w:t>
      </w:r>
      <w:r w:rsidR="00661C0C">
        <w:t xml:space="preserve">. Los valores obtenidos para cada uno de los tres escenarios son 39, 44 y 46 mil millones de </w:t>
      </w:r>
      <w:r w:rsidR="0055045D">
        <w:t>USD</w:t>
      </w:r>
      <w:r w:rsidR="00661C0C">
        <w:t xml:space="preserve"> respectivamente. </w:t>
      </w:r>
      <w:r w:rsidR="005E13FE">
        <w:t xml:space="preserve">Al realizar el análisis de forma anual se muestra que la </w:t>
      </w:r>
      <w:r w:rsidR="00661C0C">
        <w:t>tendencia</w:t>
      </w:r>
      <w:r w:rsidR="005E13FE">
        <w:t xml:space="preserve"> de</w:t>
      </w:r>
      <w:r w:rsidR="00661C0C">
        <w:t xml:space="preserve"> los tres escenarios es a la reducción de dichos costos</w:t>
      </w:r>
      <w:r w:rsidR="005E13FE">
        <w:t xml:space="preserve"> como muestra la gráfica</w:t>
      </w:r>
      <w:r w:rsidR="00661C0C">
        <w:t>.</w:t>
      </w:r>
    </w:p>
    <w:p w14:paraId="0DBB8577" w14:textId="3C064A05" w:rsidR="005E13FE" w:rsidRDefault="005E13FE" w:rsidP="00942DC7">
      <w:pPr>
        <w:spacing w:after="0"/>
        <w:jc w:val="center"/>
      </w:pPr>
      <w:r>
        <w:rPr>
          <w:noProof/>
        </w:rPr>
        <w:drawing>
          <wp:inline distT="0" distB="0" distL="0" distR="0" wp14:anchorId="4B873E29" wp14:editId="62AEF9E9">
            <wp:extent cx="4973983" cy="2142661"/>
            <wp:effectExtent l="0" t="0" r="17145" b="10160"/>
            <wp:docPr id="15" name="Chart 15">
              <a:extLst xmlns:a="http://schemas.openxmlformats.org/drawingml/2006/main">
                <a:ext uri="{FF2B5EF4-FFF2-40B4-BE49-F238E27FC236}">
                  <a16:creationId xmlns:a16="http://schemas.microsoft.com/office/drawing/2014/main" id="{B317F9F6-BDBD-4833-914F-E458992E97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D8D02A7" w14:textId="03877B1A" w:rsidR="00942DC7" w:rsidRPr="001D7C3F" w:rsidRDefault="00942DC7" w:rsidP="00942DC7">
      <w:pPr>
        <w:pStyle w:val="ListParagraph"/>
        <w:numPr>
          <w:ilvl w:val="0"/>
          <w:numId w:val="6"/>
        </w:numPr>
        <w:spacing w:after="0"/>
        <w:jc w:val="center"/>
        <w:rPr>
          <w:rFonts w:cs="Times New Roman"/>
          <w:sz w:val="20"/>
        </w:rPr>
      </w:pPr>
      <w:r>
        <w:rPr>
          <w:rFonts w:cs="Times New Roman"/>
          <w:sz w:val="20"/>
        </w:rPr>
        <w:t>Costos totales descontados en Millones de USD. Elaboración propia.</w:t>
      </w:r>
    </w:p>
    <w:p w14:paraId="5C2B1454" w14:textId="77B0CF75" w:rsidR="00FF3346" w:rsidRDefault="00FF3346" w:rsidP="00FF3346">
      <w:pPr>
        <w:spacing w:after="0"/>
        <w:rPr>
          <w:rFonts w:cs="Times New Roman"/>
          <w:b/>
          <w:szCs w:val="24"/>
        </w:rPr>
      </w:pPr>
      <w:r w:rsidRPr="00FF3346">
        <w:rPr>
          <w:rFonts w:cs="Times New Roman"/>
          <w:b/>
          <w:szCs w:val="24"/>
        </w:rPr>
        <w:t>4. Conclusiones</w:t>
      </w:r>
    </w:p>
    <w:p w14:paraId="337B1A6B" w14:textId="58CB7FE0" w:rsidR="00810A4B" w:rsidRPr="0013546E" w:rsidRDefault="00810A4B" w:rsidP="00810A4B">
      <w:pPr>
        <w:spacing w:after="0"/>
        <w:rPr>
          <w:rFonts w:cs="Times New Roman"/>
          <w:szCs w:val="24"/>
        </w:rPr>
      </w:pPr>
      <w:r w:rsidRPr="0013546E">
        <w:rPr>
          <w:rFonts w:cs="Times New Roman"/>
          <w:szCs w:val="24"/>
        </w:rPr>
        <w:t>Mediante el uso de la herramienta OSeMOSYS se pudo obtener el camino menos costoso para cada una de los escenarios evaluados</w:t>
      </w:r>
      <w:r>
        <w:rPr>
          <w:rFonts w:cs="Times New Roman"/>
          <w:szCs w:val="24"/>
        </w:rPr>
        <w:t>, siendo el escenario 1 el de menor costo</w:t>
      </w:r>
      <w:r w:rsidR="00ED38D6">
        <w:rPr>
          <w:rFonts w:cs="Times New Roman"/>
          <w:szCs w:val="24"/>
        </w:rPr>
        <w:t xml:space="preserve"> con un valor de 3</w:t>
      </w:r>
      <w:r w:rsidR="009825DE">
        <w:rPr>
          <w:rFonts w:cs="Times New Roman"/>
          <w:szCs w:val="24"/>
        </w:rPr>
        <w:t>8 700 millones de USD</w:t>
      </w:r>
      <w:r>
        <w:rPr>
          <w:rFonts w:cs="Times New Roman"/>
          <w:szCs w:val="24"/>
        </w:rPr>
        <w:t>, pero</w:t>
      </w:r>
      <w:r w:rsidR="009825DE">
        <w:rPr>
          <w:rFonts w:cs="Times New Roman"/>
          <w:szCs w:val="24"/>
        </w:rPr>
        <w:t xml:space="preserve"> por otra parte </w:t>
      </w:r>
      <w:r>
        <w:rPr>
          <w:rFonts w:cs="Times New Roman"/>
          <w:szCs w:val="24"/>
        </w:rPr>
        <w:t>resulta el menos agradable desde el punto de vista ambiental</w:t>
      </w:r>
      <w:r w:rsidRPr="0013546E">
        <w:rPr>
          <w:rFonts w:cs="Times New Roman"/>
          <w:szCs w:val="24"/>
        </w:rPr>
        <w:t xml:space="preserve">. </w:t>
      </w:r>
    </w:p>
    <w:p w14:paraId="5513B4BD" w14:textId="11029F5E" w:rsidR="006B2E9C" w:rsidRDefault="00152862" w:rsidP="00FF3346">
      <w:pPr>
        <w:spacing w:after="0"/>
        <w:rPr>
          <w:rFonts w:cs="Times New Roman"/>
          <w:bCs/>
          <w:szCs w:val="24"/>
        </w:rPr>
      </w:pPr>
      <w:r>
        <w:rPr>
          <w:rFonts w:cs="Times New Roman"/>
          <w:bCs/>
          <w:szCs w:val="24"/>
        </w:rPr>
        <w:t>La realización de este trabajo permite comprobar la importancia de los datos de entrada al modelo. En este caso en específico, se muestra cómo varía drásticamente la decisión a la hora de realizar inversiones en las bioeléctricas, llegando a no instalar nada en el caso base</w:t>
      </w:r>
      <w:r w:rsidR="00EE69D7">
        <w:rPr>
          <w:rFonts w:cs="Times New Roman"/>
          <w:bCs/>
          <w:szCs w:val="24"/>
        </w:rPr>
        <w:t>,</w:t>
      </w:r>
      <w:r>
        <w:rPr>
          <w:rFonts w:cs="Times New Roman"/>
          <w:bCs/>
          <w:szCs w:val="24"/>
        </w:rPr>
        <w:t xml:space="preserve"> y en un tercer escenario</w:t>
      </w:r>
      <w:r w:rsidR="00EE69D7">
        <w:rPr>
          <w:rFonts w:cs="Times New Roman"/>
          <w:bCs/>
          <w:szCs w:val="24"/>
        </w:rPr>
        <w:t>,</w:t>
      </w:r>
      <w:r>
        <w:rPr>
          <w:rFonts w:cs="Times New Roman"/>
          <w:bCs/>
          <w:szCs w:val="24"/>
        </w:rPr>
        <w:t xml:space="preserve"> </w:t>
      </w:r>
      <w:r w:rsidR="00EE69D7">
        <w:rPr>
          <w:rFonts w:cs="Times New Roman"/>
          <w:bCs/>
          <w:szCs w:val="24"/>
        </w:rPr>
        <w:t>se puede</w:t>
      </w:r>
      <w:r>
        <w:rPr>
          <w:rFonts w:cs="Times New Roman"/>
          <w:bCs/>
          <w:szCs w:val="24"/>
        </w:rPr>
        <w:t xml:space="preserve"> </w:t>
      </w:r>
      <w:r w:rsidR="00EE69D7">
        <w:rPr>
          <w:rFonts w:cs="Times New Roman"/>
          <w:bCs/>
          <w:szCs w:val="24"/>
        </w:rPr>
        <w:t xml:space="preserve">contar con </w:t>
      </w:r>
      <w:r>
        <w:rPr>
          <w:rFonts w:cs="Times New Roman"/>
          <w:bCs/>
          <w:szCs w:val="24"/>
        </w:rPr>
        <w:t xml:space="preserve">1200 MW de potencia al final del </w:t>
      </w:r>
      <w:r w:rsidR="00EE69D7">
        <w:rPr>
          <w:rFonts w:cs="Times New Roman"/>
          <w:bCs/>
          <w:szCs w:val="24"/>
        </w:rPr>
        <w:t>período modelado</w:t>
      </w:r>
      <w:r>
        <w:rPr>
          <w:rFonts w:cs="Times New Roman"/>
          <w:bCs/>
          <w:szCs w:val="24"/>
        </w:rPr>
        <w:t>.</w:t>
      </w:r>
    </w:p>
    <w:p w14:paraId="2CA88369" w14:textId="30575DB6" w:rsidR="00F53035" w:rsidRDefault="00F53035" w:rsidP="00FF3346">
      <w:pPr>
        <w:spacing w:after="0"/>
        <w:rPr>
          <w:rFonts w:cs="Times New Roman"/>
          <w:bCs/>
          <w:szCs w:val="24"/>
        </w:rPr>
      </w:pPr>
      <w:r>
        <w:rPr>
          <w:rFonts w:cs="Times New Roman"/>
          <w:bCs/>
          <w:szCs w:val="24"/>
        </w:rPr>
        <w:t>Desde el punto de vista ambiental y de independencia energética, el escenario 3 resulta el más atractivo, alcanzando un 76 % de generación con fuentes renovables de energía</w:t>
      </w:r>
      <w:r w:rsidR="00936031">
        <w:rPr>
          <w:rFonts w:cs="Times New Roman"/>
          <w:bCs/>
          <w:szCs w:val="24"/>
        </w:rPr>
        <w:t>, donde un 20 % proviene de la biomasa, que es una tecnología despachable</w:t>
      </w:r>
      <w:r>
        <w:rPr>
          <w:rFonts w:cs="Times New Roman"/>
          <w:bCs/>
          <w:szCs w:val="24"/>
        </w:rPr>
        <w:t>.</w:t>
      </w:r>
      <w:r w:rsidR="00936031">
        <w:rPr>
          <w:rFonts w:cs="Times New Roman"/>
          <w:bCs/>
          <w:szCs w:val="24"/>
        </w:rPr>
        <w:t xml:space="preserve"> </w:t>
      </w:r>
    </w:p>
    <w:p w14:paraId="08632F04" w14:textId="787F0C8A" w:rsidR="00936031" w:rsidRDefault="00F53035" w:rsidP="00F53035">
      <w:pPr>
        <w:spacing w:after="0"/>
        <w:rPr>
          <w:rFonts w:cs="Times New Roman"/>
          <w:bCs/>
          <w:szCs w:val="24"/>
        </w:rPr>
      </w:pPr>
      <w:r>
        <w:rPr>
          <w:rFonts w:cs="Times New Roman"/>
          <w:bCs/>
          <w:szCs w:val="24"/>
        </w:rPr>
        <w:t xml:space="preserve">Para evitar que en algunos </w:t>
      </w:r>
      <w:r w:rsidR="00936031">
        <w:rPr>
          <w:rFonts w:cs="Times New Roman"/>
          <w:bCs/>
          <w:szCs w:val="24"/>
        </w:rPr>
        <w:t>escenarios</w:t>
      </w:r>
      <w:r>
        <w:rPr>
          <w:rFonts w:cs="Times New Roman"/>
          <w:bCs/>
          <w:szCs w:val="24"/>
        </w:rPr>
        <w:t xml:space="preserve"> la generación se realice con FRE intermitentes</w:t>
      </w:r>
      <w:r w:rsidR="00936031">
        <w:rPr>
          <w:rFonts w:cs="Times New Roman"/>
          <w:bCs/>
          <w:szCs w:val="24"/>
        </w:rPr>
        <w:t xml:space="preserve"> en determinados timeslices</w:t>
      </w:r>
      <w:r>
        <w:rPr>
          <w:rFonts w:cs="Times New Roman"/>
          <w:bCs/>
          <w:szCs w:val="24"/>
        </w:rPr>
        <w:t xml:space="preserve">, se debe incorporar al modelo nuevas restricciones que garanticen que una parte de la energía suministrada provenga de una tecnología despachable </w:t>
      </w:r>
      <w:r w:rsidR="00B814E8">
        <w:rPr>
          <w:rFonts w:cs="Times New Roman"/>
          <w:bCs/>
          <w:szCs w:val="24"/>
        </w:rPr>
        <w:t>y/o incorporar almacenamiento de energía al modelo.</w:t>
      </w:r>
    </w:p>
    <w:p w14:paraId="6976443C" w14:textId="3AA50A7E" w:rsidR="00F53035" w:rsidRDefault="00EB0157" w:rsidP="00FF3346">
      <w:pPr>
        <w:spacing w:after="0"/>
        <w:rPr>
          <w:rFonts w:cs="Times New Roman"/>
          <w:bCs/>
          <w:szCs w:val="24"/>
        </w:rPr>
      </w:pPr>
      <w:r>
        <w:rPr>
          <w:rFonts w:cs="Times New Roman"/>
          <w:bCs/>
          <w:szCs w:val="24"/>
        </w:rPr>
        <w:lastRenderedPageBreak/>
        <w:t>Otro aspecto en</w:t>
      </w:r>
      <w:r w:rsidR="00F53035">
        <w:rPr>
          <w:rFonts w:cs="Times New Roman"/>
          <w:bCs/>
          <w:szCs w:val="24"/>
        </w:rPr>
        <w:t xml:space="preserve"> cuanto al despacho</w:t>
      </w:r>
      <w:r>
        <w:rPr>
          <w:rFonts w:cs="Times New Roman"/>
          <w:bCs/>
          <w:szCs w:val="24"/>
        </w:rPr>
        <w:t xml:space="preserve">, es que se debe </w:t>
      </w:r>
      <w:r w:rsidR="00F53035">
        <w:rPr>
          <w:rFonts w:cs="Times New Roman"/>
          <w:bCs/>
          <w:szCs w:val="24"/>
        </w:rPr>
        <w:t>crear un parámetro que refleje el cubrimiento de energía de</w:t>
      </w:r>
      <w:r>
        <w:rPr>
          <w:rFonts w:cs="Times New Roman"/>
          <w:bCs/>
          <w:szCs w:val="24"/>
        </w:rPr>
        <w:t xml:space="preserve"> una</w:t>
      </w:r>
      <w:r w:rsidR="00F53035">
        <w:rPr>
          <w:rFonts w:cs="Times New Roman"/>
          <w:bCs/>
          <w:szCs w:val="24"/>
        </w:rPr>
        <w:t xml:space="preserve"> mejor</w:t>
      </w:r>
      <w:r>
        <w:rPr>
          <w:rFonts w:cs="Times New Roman"/>
          <w:bCs/>
          <w:szCs w:val="24"/>
        </w:rPr>
        <w:t xml:space="preserve"> </w:t>
      </w:r>
      <w:r w:rsidR="00F53035">
        <w:rPr>
          <w:rFonts w:cs="Times New Roman"/>
          <w:bCs/>
          <w:szCs w:val="24"/>
        </w:rPr>
        <w:t>forma, o crear una herramienta que realice un post procesamiento de dichos resultados.</w:t>
      </w:r>
    </w:p>
    <w:p w14:paraId="77B8E7BA" w14:textId="77777777" w:rsidR="00FF3346" w:rsidRPr="003A36BC" w:rsidRDefault="00FF3346" w:rsidP="00FF3346">
      <w:pPr>
        <w:spacing w:after="0"/>
        <w:rPr>
          <w:rFonts w:cs="Times New Roman"/>
          <w:b/>
          <w:szCs w:val="24"/>
          <w:lang w:val="en-GB"/>
        </w:rPr>
      </w:pPr>
      <w:r w:rsidRPr="003A36BC">
        <w:rPr>
          <w:rFonts w:cs="Times New Roman"/>
          <w:b/>
          <w:szCs w:val="24"/>
          <w:lang w:val="en-GB"/>
        </w:rPr>
        <w:t>5. Referencias bibliográficas</w:t>
      </w:r>
    </w:p>
    <w:p w14:paraId="7D17F213" w14:textId="77777777" w:rsidR="00026F6E" w:rsidRPr="00026F6E" w:rsidRDefault="004351BA" w:rsidP="00026F6E">
      <w:pPr>
        <w:pStyle w:val="EndNoteBibliography"/>
        <w:spacing w:after="0"/>
        <w:ind w:left="720" w:hanging="720"/>
      </w:pPr>
      <w:r>
        <w:rPr>
          <w:rFonts w:ascii="Times New Roman" w:hAnsi="Times New Roman" w:cs="Times New Roman"/>
          <w:sz w:val="24"/>
          <w:szCs w:val="24"/>
        </w:rPr>
        <w:fldChar w:fldCharType="begin"/>
      </w:r>
      <w:r w:rsidRPr="003A36BC">
        <w:rPr>
          <w:rFonts w:ascii="Times New Roman" w:hAnsi="Times New Roman" w:cs="Times New Roman"/>
          <w:sz w:val="24"/>
          <w:szCs w:val="24"/>
          <w:lang w:val="en-GB"/>
        </w:rPr>
        <w:instrText xml:space="preserve"> ADDIN EN.REFLIST </w:instrText>
      </w:r>
      <w:r>
        <w:rPr>
          <w:rFonts w:ascii="Times New Roman" w:hAnsi="Times New Roman" w:cs="Times New Roman"/>
          <w:sz w:val="24"/>
          <w:szCs w:val="24"/>
        </w:rPr>
        <w:fldChar w:fldCharType="separate"/>
      </w:r>
      <w:r w:rsidR="00026F6E" w:rsidRPr="00026F6E">
        <w:t>[1]</w:t>
      </w:r>
      <w:r w:rsidR="00026F6E" w:rsidRPr="00026F6E">
        <w:tab/>
        <w:t xml:space="preserve">IPCC, "Climate Change 2023: Synthesis Report. Contribution of Working Groups I, II and III to the Sixth Assessment Report of the Intergovernmental Panel on Climate Change," 929169164X, 2023. </w:t>
      </w:r>
    </w:p>
    <w:p w14:paraId="0B11EF5B" w14:textId="05FA0841" w:rsidR="00026F6E" w:rsidRPr="003A36BC" w:rsidRDefault="00026F6E" w:rsidP="00026F6E">
      <w:pPr>
        <w:pStyle w:val="EndNoteBibliography"/>
        <w:spacing w:after="0"/>
        <w:ind w:left="720" w:hanging="720"/>
        <w:rPr>
          <w:lang w:val="es-ES_tradnl"/>
        </w:rPr>
      </w:pPr>
      <w:r w:rsidRPr="00026F6E">
        <w:t>[2]</w:t>
      </w:r>
      <w:r w:rsidRPr="00026F6E">
        <w:tab/>
        <w:t xml:space="preserve">IEA, "Net Zero Roadmap: A Global Pathway to Keep the 1.5 °C Goal in Reach," IEA, Paris, 2023. </w:t>
      </w:r>
      <w:r w:rsidRPr="003A36BC">
        <w:rPr>
          <w:lang w:val="es-ES_tradnl"/>
        </w:rPr>
        <w:t xml:space="preserve">[Online]. Available: </w:t>
      </w:r>
      <w:hyperlink r:id="rId17" w:history="1">
        <w:r w:rsidRPr="003A36BC">
          <w:rPr>
            <w:rStyle w:val="Hyperlink"/>
            <w:lang w:val="es-ES_tradnl"/>
          </w:rPr>
          <w:t>https://www.iea.org/reports/net-zero-roadmap-a-global-pathway-to-keep-the-15-0c-goal-in-reach</w:t>
        </w:r>
      </w:hyperlink>
    </w:p>
    <w:p w14:paraId="1F345975" w14:textId="77777777" w:rsidR="00026F6E" w:rsidRPr="003A36BC" w:rsidRDefault="00026F6E" w:rsidP="00026F6E">
      <w:pPr>
        <w:pStyle w:val="EndNoteBibliography"/>
        <w:spacing w:after="0"/>
        <w:ind w:left="720" w:hanging="720"/>
        <w:rPr>
          <w:lang w:val="es-ES_tradnl"/>
        </w:rPr>
      </w:pPr>
      <w:r w:rsidRPr="003A36BC">
        <w:rPr>
          <w:lang w:val="es-ES_tradnl"/>
        </w:rPr>
        <w:t>[3]</w:t>
      </w:r>
      <w:r w:rsidRPr="003A36BC">
        <w:rPr>
          <w:lang w:val="es-ES_tradnl"/>
        </w:rPr>
        <w:tab/>
        <w:t>ONEI, "ELECTRICIDAD EN CUBA INDICADORES SELECCIONADOS," ed, 2021.</w:t>
      </w:r>
    </w:p>
    <w:p w14:paraId="0C14F215" w14:textId="19842B4A" w:rsidR="00026F6E" w:rsidRPr="003A36BC" w:rsidRDefault="00026F6E" w:rsidP="00026F6E">
      <w:pPr>
        <w:pStyle w:val="EndNoteBibliography"/>
        <w:spacing w:after="0"/>
        <w:ind w:left="720" w:hanging="720"/>
        <w:rPr>
          <w:lang w:val="es-ES_tradnl"/>
        </w:rPr>
      </w:pPr>
      <w:r w:rsidRPr="003A36BC">
        <w:rPr>
          <w:lang w:val="es-ES_tradnl"/>
        </w:rPr>
        <w:t>[4]</w:t>
      </w:r>
      <w:r w:rsidRPr="003A36BC">
        <w:rPr>
          <w:lang w:val="es-ES_tradnl"/>
        </w:rPr>
        <w:tab/>
        <w:t xml:space="preserve">(2019). </w:t>
      </w:r>
      <w:r w:rsidRPr="003A36BC">
        <w:rPr>
          <w:i/>
          <w:lang w:val="es-ES_tradnl"/>
        </w:rPr>
        <w:t>DECRETO-LEY NO. 345 "DEL DESARROLLO DE LAS FUENTES RENOVABLES Y EL USO EFICIENTE DE LA ENERGÍA"</w:t>
      </w:r>
      <w:r w:rsidRPr="003A36BC">
        <w:rPr>
          <w:lang w:val="es-ES_tradnl"/>
        </w:rPr>
        <w:t xml:space="preserve">. [Online] Available: </w:t>
      </w:r>
      <w:hyperlink r:id="rId18" w:history="1">
        <w:r w:rsidRPr="003A36BC">
          <w:rPr>
            <w:rStyle w:val="Hyperlink"/>
            <w:lang w:val="es-ES_tradnl"/>
          </w:rPr>
          <w:t>http://www.gacetaoficial.gob.cu/</w:t>
        </w:r>
      </w:hyperlink>
    </w:p>
    <w:p w14:paraId="75E797D8" w14:textId="77777777" w:rsidR="00026F6E" w:rsidRPr="00026F6E" w:rsidRDefault="00026F6E" w:rsidP="00026F6E">
      <w:pPr>
        <w:pStyle w:val="EndNoteBibliography"/>
        <w:spacing w:after="0"/>
        <w:ind w:left="720" w:hanging="720"/>
      </w:pPr>
      <w:r w:rsidRPr="003A36BC">
        <w:rPr>
          <w:lang w:val="es-ES_tradnl"/>
        </w:rPr>
        <w:t>[5]</w:t>
      </w:r>
      <w:r w:rsidRPr="003A36BC">
        <w:rPr>
          <w:lang w:val="es-ES_tradnl"/>
        </w:rPr>
        <w:tab/>
        <w:t xml:space="preserve">O. Figueredo  Reinaldo and T. Edilberto Carmona, "Cuba en Datos: El ineludible cambio de la matriz energética que necesitamos," in </w:t>
      </w:r>
      <w:r w:rsidRPr="003A36BC">
        <w:rPr>
          <w:i/>
          <w:lang w:val="es-ES_tradnl"/>
        </w:rPr>
        <w:t>Cubadebate</w:t>
      </w:r>
      <w:r w:rsidRPr="003A36BC">
        <w:rPr>
          <w:lang w:val="es-ES_tradnl"/>
        </w:rPr>
        <w:t xml:space="preserve">, ed. </w:t>
      </w:r>
      <w:r w:rsidRPr="00026F6E">
        <w:t>Cuba en Datos, 2022.</w:t>
      </w:r>
    </w:p>
    <w:p w14:paraId="3308F9AF" w14:textId="7C2786BC" w:rsidR="00026F6E" w:rsidRPr="00026F6E" w:rsidRDefault="00026F6E" w:rsidP="00026F6E">
      <w:pPr>
        <w:pStyle w:val="EndNoteBibliography"/>
        <w:spacing w:after="0"/>
        <w:ind w:left="720" w:hanging="720"/>
      </w:pPr>
      <w:r w:rsidRPr="00026F6E">
        <w:t>[6]</w:t>
      </w:r>
      <w:r w:rsidRPr="00026F6E">
        <w:tab/>
        <w:t xml:space="preserve">H.-K. Ringkjøb, P. M. Haugan, and I. M. Solbrekke, "A review of modelling tools for energy and electricity systems with large shares of variable renewables," </w:t>
      </w:r>
      <w:r w:rsidRPr="00026F6E">
        <w:rPr>
          <w:i/>
        </w:rPr>
        <w:t xml:space="preserve">Renewable and Sustainable Energy Reviews, </w:t>
      </w:r>
      <w:r w:rsidRPr="00026F6E">
        <w:t xml:space="preserve">vol. 96, pp. 440-459, 2018/11/01/ 2018, doi: </w:t>
      </w:r>
      <w:hyperlink r:id="rId19" w:history="1">
        <w:r w:rsidRPr="00026F6E">
          <w:rPr>
            <w:rStyle w:val="Hyperlink"/>
          </w:rPr>
          <w:t>https://doi.org/10.1016/j.rser.2018.08.002</w:t>
        </w:r>
      </w:hyperlink>
      <w:r w:rsidRPr="00026F6E">
        <w:t>.</w:t>
      </w:r>
    </w:p>
    <w:p w14:paraId="2CB834CD" w14:textId="77777777" w:rsidR="00026F6E" w:rsidRPr="00026F6E" w:rsidRDefault="00026F6E" w:rsidP="00026F6E">
      <w:pPr>
        <w:pStyle w:val="EndNoteBibliography"/>
        <w:spacing w:after="0"/>
        <w:ind w:left="720" w:hanging="720"/>
      </w:pPr>
      <w:r w:rsidRPr="00026F6E">
        <w:t>[7]</w:t>
      </w:r>
      <w:r w:rsidRPr="00026F6E">
        <w:tab/>
        <w:t>P. Lopion, P. Markewitz, M. Robinius, D. J. R. Stolten, and s. e. reviews, "A review of current challenges and trends in energy systems modeling," vol. 96, pp. 156-166, 2018.</w:t>
      </w:r>
    </w:p>
    <w:p w14:paraId="1A65211C" w14:textId="13A757D4" w:rsidR="00026F6E" w:rsidRPr="00026F6E" w:rsidRDefault="00026F6E" w:rsidP="00026F6E">
      <w:pPr>
        <w:pStyle w:val="EndNoteBibliography"/>
        <w:spacing w:after="0"/>
        <w:ind w:left="720" w:hanging="720"/>
      </w:pPr>
      <w:r w:rsidRPr="00026F6E">
        <w:t>[8]</w:t>
      </w:r>
      <w:r w:rsidRPr="00026F6E">
        <w:tab/>
        <w:t xml:space="preserve">M. G. Prina, G. Manzolini, D. Moser, B. Nastasi, and W. Sparber, "Classification and challenges of bottom-up energy system models - A review," </w:t>
      </w:r>
      <w:r w:rsidRPr="00026F6E">
        <w:rPr>
          <w:i/>
        </w:rPr>
        <w:t xml:space="preserve">Renewable and Sustainable Energy Reviews, </w:t>
      </w:r>
      <w:r w:rsidRPr="00026F6E">
        <w:t xml:space="preserve">vol. 129, p. 109917, 2020/09/01/ 2020, doi: </w:t>
      </w:r>
      <w:hyperlink r:id="rId20" w:history="1">
        <w:r w:rsidRPr="00026F6E">
          <w:rPr>
            <w:rStyle w:val="Hyperlink"/>
          </w:rPr>
          <w:t>https://doi.org/10.1016/j.rser.2020.109917</w:t>
        </w:r>
      </w:hyperlink>
      <w:r w:rsidRPr="00026F6E">
        <w:t>.</w:t>
      </w:r>
    </w:p>
    <w:p w14:paraId="2590D749" w14:textId="0E6826F6" w:rsidR="00026F6E" w:rsidRPr="00026F6E" w:rsidRDefault="00026F6E" w:rsidP="00026F6E">
      <w:pPr>
        <w:pStyle w:val="EndNoteBibliography"/>
        <w:spacing w:after="0"/>
        <w:ind w:left="720" w:hanging="720"/>
      </w:pPr>
      <w:r w:rsidRPr="00026F6E">
        <w:t>[9]</w:t>
      </w:r>
      <w:r w:rsidRPr="00026F6E">
        <w:tab/>
        <w:t xml:space="preserve">X. Deng and T. Lv, "Power system planning with increasing variable renewable energy: A review of optimization models," </w:t>
      </w:r>
      <w:r w:rsidRPr="00026F6E">
        <w:rPr>
          <w:i/>
        </w:rPr>
        <w:t xml:space="preserve">Journal of Cleaner Production, </w:t>
      </w:r>
      <w:r w:rsidRPr="00026F6E">
        <w:t xml:space="preserve">vol. 246, p. 118962, 2020/02/10/ 2020, doi: </w:t>
      </w:r>
      <w:hyperlink r:id="rId21" w:history="1">
        <w:r w:rsidRPr="00026F6E">
          <w:rPr>
            <w:rStyle w:val="Hyperlink"/>
          </w:rPr>
          <w:t>https://doi.org/10.1016/j.jclepro.2019.118962</w:t>
        </w:r>
      </w:hyperlink>
      <w:r w:rsidRPr="00026F6E">
        <w:t>.</w:t>
      </w:r>
    </w:p>
    <w:p w14:paraId="78156B41" w14:textId="6EE5B594" w:rsidR="00026F6E" w:rsidRPr="00026F6E" w:rsidRDefault="00026F6E" w:rsidP="00026F6E">
      <w:pPr>
        <w:pStyle w:val="EndNoteBibliography"/>
        <w:spacing w:after="0"/>
        <w:ind w:left="720" w:hanging="720"/>
      </w:pPr>
      <w:r w:rsidRPr="00026F6E">
        <w:t>[10]</w:t>
      </w:r>
      <w:r w:rsidRPr="00026F6E">
        <w:tab/>
        <w:t>F. Gardumi</w:t>
      </w:r>
      <w:r w:rsidRPr="00026F6E">
        <w:rPr>
          <w:i/>
        </w:rPr>
        <w:t xml:space="preserve"> et al.</w:t>
      </w:r>
      <w:r w:rsidRPr="00026F6E">
        <w:t xml:space="preserve">, "From the development of an open-source energy modelling tool to its application and the creation of communities of practice: The example of OSeMOSYS," </w:t>
      </w:r>
      <w:r w:rsidRPr="00026F6E">
        <w:rPr>
          <w:i/>
        </w:rPr>
        <w:t xml:space="preserve">Energy Strategy Reviews, </w:t>
      </w:r>
      <w:r w:rsidRPr="00026F6E">
        <w:t xml:space="preserve">vol. 20, pp. 209-228, 2018/04/01/ 2018, doi: </w:t>
      </w:r>
      <w:hyperlink r:id="rId22" w:history="1">
        <w:r w:rsidRPr="00026F6E">
          <w:rPr>
            <w:rStyle w:val="Hyperlink"/>
          </w:rPr>
          <w:t>https://doi.org/10.1016/j.esr.2018.03.005</w:t>
        </w:r>
      </w:hyperlink>
      <w:r w:rsidRPr="00026F6E">
        <w:t>.</w:t>
      </w:r>
    </w:p>
    <w:p w14:paraId="52807E70" w14:textId="2E792EC3" w:rsidR="00026F6E" w:rsidRPr="003A36BC" w:rsidRDefault="00026F6E" w:rsidP="00026F6E">
      <w:pPr>
        <w:pStyle w:val="EndNoteBibliography"/>
        <w:spacing w:after="0"/>
        <w:ind w:left="720" w:hanging="720"/>
        <w:rPr>
          <w:lang w:val="es-ES_tradnl"/>
        </w:rPr>
      </w:pPr>
      <w:r w:rsidRPr="00026F6E">
        <w:t>[11]</w:t>
      </w:r>
      <w:r w:rsidRPr="00026F6E">
        <w:tab/>
        <w:t xml:space="preserve">P. Howes, J. Bates, A. Brown, R. Diaz-Chavez, S. Christie, and A. Bayley, "Global Biomass Markets Final Report," 2018. </w:t>
      </w:r>
      <w:r w:rsidRPr="003A36BC">
        <w:rPr>
          <w:lang w:val="es-ES_tradnl"/>
        </w:rPr>
        <w:t xml:space="preserve">[Online]. Available: </w:t>
      </w:r>
      <w:hyperlink r:id="rId23" w:history="1">
        <w:r w:rsidRPr="003A36BC">
          <w:rPr>
            <w:rStyle w:val="Hyperlink"/>
            <w:lang w:val="es-ES_tradnl"/>
          </w:rPr>
          <w:t>https://assets.publishing.service.gov.uk/government/uploads/system/uploads/attachment_data/file/795029/Global_Biomass_Markets_Final_report.pdf</w:t>
        </w:r>
      </w:hyperlink>
    </w:p>
    <w:p w14:paraId="06E6DC86" w14:textId="77777777" w:rsidR="00026F6E" w:rsidRPr="003A36BC" w:rsidRDefault="00026F6E" w:rsidP="00026F6E">
      <w:pPr>
        <w:pStyle w:val="EndNoteBibliography"/>
        <w:spacing w:after="0"/>
        <w:ind w:left="720" w:hanging="720"/>
        <w:rPr>
          <w:lang w:val="es-ES_tradnl"/>
        </w:rPr>
      </w:pPr>
      <w:r w:rsidRPr="003A36BC">
        <w:rPr>
          <w:lang w:val="es-ES_tradnl"/>
        </w:rPr>
        <w:t>[12]</w:t>
      </w:r>
      <w:r w:rsidRPr="003A36BC">
        <w:rPr>
          <w:lang w:val="es-ES_tradnl"/>
        </w:rPr>
        <w:tab/>
        <w:t>A. Rubio-González, B. Hernández Martínez, and M. Rubio Rodríguez, "Programa cubano para el máximo aprovechamiento de la biomasa cañera para la generación de electricidad."</w:t>
      </w:r>
    </w:p>
    <w:p w14:paraId="6D944269" w14:textId="6E3A4FB2" w:rsidR="00026F6E" w:rsidRPr="00026F6E" w:rsidRDefault="00026F6E" w:rsidP="00026F6E">
      <w:pPr>
        <w:pStyle w:val="EndNoteBibliography"/>
        <w:ind w:left="720" w:hanging="720"/>
      </w:pPr>
      <w:r w:rsidRPr="00026F6E">
        <w:t>[13]</w:t>
      </w:r>
      <w:r w:rsidRPr="00026F6E">
        <w:tab/>
        <w:t xml:space="preserve">F. A. Plazas-Niño, N. R. Ortiz-Pimiento, and J. Quirós-Tortós, "Supporting energy system modelling in developing countries: Techno-economic energy dataset for open modelling of decarbonization pathways in Colombia," </w:t>
      </w:r>
      <w:r w:rsidRPr="00026F6E">
        <w:rPr>
          <w:i/>
        </w:rPr>
        <w:t xml:space="preserve">Data in Brief, </w:t>
      </w:r>
      <w:r w:rsidRPr="00026F6E">
        <w:t xml:space="preserve">vol. 48, p. 109268, 2023/06/01/ 2023, doi: </w:t>
      </w:r>
      <w:hyperlink r:id="rId24" w:history="1">
        <w:r w:rsidRPr="00026F6E">
          <w:rPr>
            <w:rStyle w:val="Hyperlink"/>
          </w:rPr>
          <w:t>https://doi.org/10.1016/j.dib.2023.109268</w:t>
        </w:r>
      </w:hyperlink>
      <w:r w:rsidRPr="00026F6E">
        <w:t>.</w:t>
      </w:r>
    </w:p>
    <w:p w14:paraId="0B9EB652" w14:textId="55991A56" w:rsidR="00D36D1C" w:rsidRPr="009D5E02" w:rsidRDefault="004351BA" w:rsidP="00FF3346">
      <w:pPr>
        <w:spacing w:after="0"/>
        <w:rPr>
          <w:rFonts w:cs="Times New Roman"/>
          <w:szCs w:val="24"/>
        </w:rPr>
      </w:pPr>
      <w:r>
        <w:rPr>
          <w:rFonts w:cs="Times New Roman"/>
          <w:szCs w:val="24"/>
        </w:rPr>
        <w:fldChar w:fldCharType="end"/>
      </w:r>
    </w:p>
    <w:sectPr w:rsidR="00D36D1C" w:rsidRPr="009D5E02" w:rsidSect="00C8585B">
      <w:headerReference w:type="default" r:id="rId25"/>
      <w:footerReference w:type="default" r:id="rId26"/>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0D027" w14:textId="77777777" w:rsidR="005F24FB" w:rsidRDefault="005F24FB" w:rsidP="00C8585B">
      <w:pPr>
        <w:spacing w:after="0" w:line="240" w:lineRule="auto"/>
      </w:pPr>
      <w:r>
        <w:separator/>
      </w:r>
    </w:p>
  </w:endnote>
  <w:endnote w:type="continuationSeparator" w:id="0">
    <w:p w14:paraId="11BD337D" w14:textId="77777777" w:rsidR="005F24FB" w:rsidRDefault="005F24FB"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0190"/>
      <w:docPartObj>
        <w:docPartGallery w:val="Page Numbers (Bottom of Page)"/>
        <w:docPartUnique/>
      </w:docPartObj>
    </w:sdtPr>
    <w:sdtEndPr/>
    <w:sdtContent>
      <w:p w14:paraId="5A07D51D" w14:textId="77777777" w:rsidR="009D5E02" w:rsidRDefault="00E40131">
        <w:pPr>
          <w:pStyle w:val="Footer"/>
          <w:jc w:val="right"/>
        </w:pPr>
        <w:r>
          <w:fldChar w:fldCharType="begin"/>
        </w:r>
        <w:r>
          <w:instrText xml:space="preserve"> PAGE   \* MERGEFORMAT </w:instrText>
        </w:r>
        <w:r>
          <w:fldChar w:fldCharType="separate"/>
        </w:r>
        <w:r w:rsidR="000A6EC7">
          <w:rPr>
            <w:noProof/>
          </w:rPr>
          <w:t>1</w:t>
        </w:r>
        <w:r>
          <w:rPr>
            <w:noProof/>
          </w:rPr>
          <w:fldChar w:fldCharType="end"/>
        </w:r>
      </w:p>
    </w:sdtContent>
  </w:sdt>
  <w:p w14:paraId="79879A6A" w14:textId="77777777" w:rsidR="009D5E02" w:rsidRPr="00C8585B" w:rsidRDefault="00972A58" w:rsidP="00C8585B">
    <w:pPr>
      <w:pStyle w:val="Header"/>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14:paraId="623BCF63" w14:textId="77777777" w:rsidR="009D5E02" w:rsidRPr="00C8585B" w:rsidRDefault="009D5E02" w:rsidP="00C8585B">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2B9004F9" w14:textId="77777777" w:rsidR="009D5E02" w:rsidRDefault="000A6EC7" w:rsidP="00671849">
    <w:pPr>
      <w:pStyle w:val="Footer"/>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486BB" w14:textId="77777777" w:rsidR="005F24FB" w:rsidRDefault="005F24FB" w:rsidP="00C8585B">
      <w:pPr>
        <w:spacing w:after="0" w:line="240" w:lineRule="auto"/>
      </w:pPr>
      <w:r>
        <w:separator/>
      </w:r>
    </w:p>
  </w:footnote>
  <w:footnote w:type="continuationSeparator" w:id="0">
    <w:p w14:paraId="3E5263C7" w14:textId="77777777" w:rsidR="005F24FB" w:rsidRDefault="005F24FB"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7" w:type="dxa"/>
      <w:jc w:val="center"/>
      <w:tblLayout w:type="fixed"/>
      <w:tblLook w:val="04A0" w:firstRow="1" w:lastRow="0" w:firstColumn="1" w:lastColumn="0" w:noHBand="0" w:noVBand="1"/>
    </w:tblPr>
    <w:tblGrid>
      <w:gridCol w:w="1425"/>
      <w:gridCol w:w="8632"/>
    </w:tblGrid>
    <w:tr w:rsidR="00F31B37" w:rsidRPr="004D77C8" w14:paraId="232F3748" w14:textId="77777777" w:rsidTr="00F31B37">
      <w:trPr>
        <w:trHeight w:val="1114"/>
        <w:jc w:val="center"/>
      </w:trPr>
      <w:tc>
        <w:tcPr>
          <w:tcW w:w="1425" w:type="dxa"/>
        </w:tcPr>
        <w:p w14:paraId="2851F67B" w14:textId="77777777" w:rsidR="00F31B37" w:rsidRPr="004D77C8" w:rsidRDefault="00F31B37" w:rsidP="00C8585B">
          <w:pPr>
            <w:pStyle w:val="Header"/>
            <w:rPr>
              <w:rFonts w:ascii="Verdana" w:hAnsi="Verdana"/>
              <w:b/>
              <w:sz w:val="18"/>
              <w:szCs w:val="18"/>
              <w:lang w:val="es-ES_tradnl"/>
            </w:rPr>
          </w:pPr>
          <w:r>
            <w:rPr>
              <w:rFonts w:ascii="Liberation Sans" w:hAnsi="Liberation Sans"/>
              <w:noProof/>
              <w:sz w:val="28"/>
              <w:szCs w:val="28"/>
              <w:lang w:val="en-GB" w:eastAsia="en-GB"/>
            </w:rPr>
            <w:drawing>
              <wp:anchor distT="0" distB="0" distL="114300" distR="114300" simplePos="0" relativeHeight="251658752" behindDoc="1" locked="0" layoutInCell="1" allowOverlap="1" wp14:anchorId="6CAD1EFA" wp14:editId="488A5F9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6B698E9E" w14:textId="77777777" w:rsidR="00F31B37" w:rsidRDefault="00F31B37" w:rsidP="00F31B37">
          <w:pPr>
            <w:pStyle w:val="Header"/>
            <w:jc w:val="center"/>
            <w:rPr>
              <w:rFonts w:ascii="Verdana" w:hAnsi="Verdana"/>
              <w:b/>
              <w:sz w:val="16"/>
              <w:szCs w:val="16"/>
              <w:lang w:val="es-ES_tradnl"/>
            </w:rPr>
          </w:pPr>
        </w:p>
        <w:p w14:paraId="4B913D9B" w14:textId="77777777" w:rsidR="00F31B37" w:rsidRPr="00C8585B" w:rsidRDefault="00972A58" w:rsidP="00972A58">
          <w:pPr>
            <w:pStyle w:val="Header"/>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14:paraId="1DF5470A" w14:textId="77777777" w:rsidR="00F31B37" w:rsidRPr="00C8585B" w:rsidRDefault="00F31B37" w:rsidP="00F31B37">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65B31B67" w14:textId="77777777" w:rsidR="00F31B37" w:rsidRPr="000A6EC7" w:rsidRDefault="000A6EC7" w:rsidP="00F31B37">
          <w:pPr>
            <w:pStyle w:val="Header"/>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14:paraId="6568781B" w14:textId="77777777" w:rsidR="009D5E02" w:rsidRDefault="009D5E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4A26"/>
    <w:multiLevelType w:val="multilevel"/>
    <w:tmpl w:val="32A8AAFE"/>
    <w:lvl w:ilvl="0">
      <w:start w:val="1"/>
      <w:numFmt w:val="decimal"/>
      <w:lvlText w:val="Gráfico %1)"/>
      <w:lvlJc w:val="right"/>
      <w:pPr>
        <w:ind w:left="0" w:firstLine="288"/>
      </w:pPr>
      <w:rPr>
        <w:rFonts w:ascii="Times New Roman" w:hAnsi="Times New Roman"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03A16B0"/>
    <w:multiLevelType w:val="multilevel"/>
    <w:tmpl w:val="32A8AAFE"/>
    <w:lvl w:ilvl="0">
      <w:start w:val="1"/>
      <w:numFmt w:val="decimal"/>
      <w:lvlText w:val="Gráfico %1)"/>
      <w:lvlJc w:val="right"/>
      <w:pPr>
        <w:ind w:left="0" w:firstLine="288"/>
      </w:pPr>
      <w:rPr>
        <w:rFonts w:ascii="Times New Roman" w:hAnsi="Times New Roman" w:hint="default"/>
        <w:spacing w:val="-2"/>
        <w:position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F777399"/>
    <w:multiLevelType w:val="multilevel"/>
    <w:tmpl w:val="32A8AAFE"/>
    <w:lvl w:ilvl="0">
      <w:start w:val="1"/>
      <w:numFmt w:val="decimal"/>
      <w:lvlText w:val="Gráfico %1)"/>
      <w:lvlJc w:val="right"/>
      <w:pPr>
        <w:ind w:left="0" w:firstLine="288"/>
      </w:pPr>
      <w:rPr>
        <w:rFonts w:ascii="Times New Roman" w:hAnsi="Times New Roman"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55AA3591"/>
    <w:multiLevelType w:val="multilevel"/>
    <w:tmpl w:val="32A8AAFE"/>
    <w:lvl w:ilvl="0">
      <w:start w:val="1"/>
      <w:numFmt w:val="decimal"/>
      <w:lvlText w:val="Gráfico %1)"/>
      <w:lvlJc w:val="right"/>
      <w:pPr>
        <w:ind w:left="0" w:firstLine="288"/>
      </w:pPr>
      <w:rPr>
        <w:rFonts w:ascii="Times New Roman" w:hAnsi="Times New Roman"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61EC5702"/>
    <w:multiLevelType w:val="multilevel"/>
    <w:tmpl w:val="D74E8DB8"/>
    <w:lvl w:ilvl="0">
      <w:start w:val="1"/>
      <w:numFmt w:val="decimal"/>
      <w:lvlText w:val="Figura %1)"/>
      <w:lvlJc w:val="right"/>
      <w:pPr>
        <w:ind w:left="0" w:firstLine="288"/>
      </w:pPr>
      <w:rPr>
        <w:rFonts w:ascii="Times New Roman" w:hAnsi="Times New Roman" w:hint="default"/>
        <w:spacing w:val="-2"/>
        <w:position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efaultTabStop w:val="113"/>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rrtdxtxevvrge9vfkpszxqrzs2wzz59x90&quot;&gt;DLibraryPC-Converted&lt;record-ids&gt;&lt;item&gt;559&lt;/item&gt;&lt;item&gt;606&lt;/item&gt;&lt;item&gt;631&lt;/item&gt;&lt;item&gt;632&lt;/item&gt;&lt;item&gt;660&lt;/item&gt;&lt;item&gt;664&lt;/item&gt;&lt;item&gt;673&lt;/item&gt;&lt;item&gt;675&lt;/item&gt;&lt;item&gt;676&lt;/item&gt;&lt;item&gt;683&lt;/item&gt;&lt;item&gt;684&lt;/item&gt;&lt;item&gt;685&lt;/item&gt;&lt;item&gt;687&lt;/item&gt;&lt;/record-ids&gt;&lt;/item&gt;&lt;/Libraries&gt;"/>
  </w:docVars>
  <w:rsids>
    <w:rsidRoot w:val="00C8585B"/>
    <w:rsid w:val="00015E8B"/>
    <w:rsid w:val="00026F6E"/>
    <w:rsid w:val="00046F14"/>
    <w:rsid w:val="00060427"/>
    <w:rsid w:val="00080DA6"/>
    <w:rsid w:val="000976F8"/>
    <w:rsid w:val="00097AE0"/>
    <w:rsid w:val="000A6EC7"/>
    <w:rsid w:val="000B0463"/>
    <w:rsid w:val="000B1A18"/>
    <w:rsid w:val="000C14DC"/>
    <w:rsid w:val="000D7349"/>
    <w:rsid w:val="00103A0E"/>
    <w:rsid w:val="00116108"/>
    <w:rsid w:val="0013546E"/>
    <w:rsid w:val="00140E6A"/>
    <w:rsid w:val="00146AB8"/>
    <w:rsid w:val="00152862"/>
    <w:rsid w:val="00155462"/>
    <w:rsid w:val="001555CE"/>
    <w:rsid w:val="001668F2"/>
    <w:rsid w:val="001A3C4C"/>
    <w:rsid w:val="001D7C3F"/>
    <w:rsid w:val="00212031"/>
    <w:rsid w:val="00224505"/>
    <w:rsid w:val="0023205F"/>
    <w:rsid w:val="00243907"/>
    <w:rsid w:val="00274855"/>
    <w:rsid w:val="0028440F"/>
    <w:rsid w:val="002850E2"/>
    <w:rsid w:val="002C1591"/>
    <w:rsid w:val="002E0882"/>
    <w:rsid w:val="002E272A"/>
    <w:rsid w:val="002E6683"/>
    <w:rsid w:val="003340D0"/>
    <w:rsid w:val="003374EB"/>
    <w:rsid w:val="0035604E"/>
    <w:rsid w:val="00374EE9"/>
    <w:rsid w:val="00375DBF"/>
    <w:rsid w:val="00377FEB"/>
    <w:rsid w:val="00381524"/>
    <w:rsid w:val="003A1564"/>
    <w:rsid w:val="003A36BC"/>
    <w:rsid w:val="003C3A7B"/>
    <w:rsid w:val="003C4533"/>
    <w:rsid w:val="003D0FF3"/>
    <w:rsid w:val="003E038B"/>
    <w:rsid w:val="003E71BF"/>
    <w:rsid w:val="004001A4"/>
    <w:rsid w:val="004020C8"/>
    <w:rsid w:val="00403285"/>
    <w:rsid w:val="004351BA"/>
    <w:rsid w:val="004357B0"/>
    <w:rsid w:val="004403B7"/>
    <w:rsid w:val="00442F53"/>
    <w:rsid w:val="00447608"/>
    <w:rsid w:val="004707A0"/>
    <w:rsid w:val="004C0137"/>
    <w:rsid w:val="004C7302"/>
    <w:rsid w:val="004F3146"/>
    <w:rsid w:val="0052656D"/>
    <w:rsid w:val="0053477F"/>
    <w:rsid w:val="0055045D"/>
    <w:rsid w:val="005568E2"/>
    <w:rsid w:val="005662AD"/>
    <w:rsid w:val="00571880"/>
    <w:rsid w:val="005754D8"/>
    <w:rsid w:val="0058366B"/>
    <w:rsid w:val="00583AA5"/>
    <w:rsid w:val="005B174B"/>
    <w:rsid w:val="005D169D"/>
    <w:rsid w:val="005D209C"/>
    <w:rsid w:val="005E0FE3"/>
    <w:rsid w:val="005E13FE"/>
    <w:rsid w:val="005F24FB"/>
    <w:rsid w:val="00605ACD"/>
    <w:rsid w:val="0062064E"/>
    <w:rsid w:val="006271E4"/>
    <w:rsid w:val="00640F76"/>
    <w:rsid w:val="00642343"/>
    <w:rsid w:val="00646DCD"/>
    <w:rsid w:val="00651A44"/>
    <w:rsid w:val="00652893"/>
    <w:rsid w:val="00661C0C"/>
    <w:rsid w:val="00667F10"/>
    <w:rsid w:val="00671849"/>
    <w:rsid w:val="00677207"/>
    <w:rsid w:val="006B2A7C"/>
    <w:rsid w:val="006B2E9C"/>
    <w:rsid w:val="006E1F0E"/>
    <w:rsid w:val="0070383D"/>
    <w:rsid w:val="00711469"/>
    <w:rsid w:val="00730115"/>
    <w:rsid w:val="007455FF"/>
    <w:rsid w:val="00747722"/>
    <w:rsid w:val="00752339"/>
    <w:rsid w:val="007532A5"/>
    <w:rsid w:val="007A7508"/>
    <w:rsid w:val="007B43C0"/>
    <w:rsid w:val="007C51E1"/>
    <w:rsid w:val="007E2FBE"/>
    <w:rsid w:val="007E33AB"/>
    <w:rsid w:val="00810A4B"/>
    <w:rsid w:val="0081451A"/>
    <w:rsid w:val="00815971"/>
    <w:rsid w:val="00840739"/>
    <w:rsid w:val="0084277A"/>
    <w:rsid w:val="00843F84"/>
    <w:rsid w:val="008606CB"/>
    <w:rsid w:val="00864C74"/>
    <w:rsid w:val="0088159E"/>
    <w:rsid w:val="00881824"/>
    <w:rsid w:val="008A1C16"/>
    <w:rsid w:val="008D1C43"/>
    <w:rsid w:val="008D3479"/>
    <w:rsid w:val="008E1D5A"/>
    <w:rsid w:val="008E6FF7"/>
    <w:rsid w:val="009061A5"/>
    <w:rsid w:val="00906922"/>
    <w:rsid w:val="00915A0C"/>
    <w:rsid w:val="0091621C"/>
    <w:rsid w:val="009219EE"/>
    <w:rsid w:val="00936031"/>
    <w:rsid w:val="00942DC7"/>
    <w:rsid w:val="00972A58"/>
    <w:rsid w:val="009825DE"/>
    <w:rsid w:val="009853AF"/>
    <w:rsid w:val="009956A2"/>
    <w:rsid w:val="009A26D0"/>
    <w:rsid w:val="009B1EF2"/>
    <w:rsid w:val="009B32A8"/>
    <w:rsid w:val="009C175A"/>
    <w:rsid w:val="009D5E02"/>
    <w:rsid w:val="009D67CD"/>
    <w:rsid w:val="00A119A4"/>
    <w:rsid w:val="00A1313A"/>
    <w:rsid w:val="00A156A5"/>
    <w:rsid w:val="00A16548"/>
    <w:rsid w:val="00A17012"/>
    <w:rsid w:val="00A21A1F"/>
    <w:rsid w:val="00A26358"/>
    <w:rsid w:val="00A53E70"/>
    <w:rsid w:val="00A62A14"/>
    <w:rsid w:val="00A8100D"/>
    <w:rsid w:val="00A92540"/>
    <w:rsid w:val="00AA74CB"/>
    <w:rsid w:val="00AD55BC"/>
    <w:rsid w:val="00AD7255"/>
    <w:rsid w:val="00AE534B"/>
    <w:rsid w:val="00B13203"/>
    <w:rsid w:val="00B2024E"/>
    <w:rsid w:val="00B56D0A"/>
    <w:rsid w:val="00B64F9E"/>
    <w:rsid w:val="00B80E97"/>
    <w:rsid w:val="00B814E8"/>
    <w:rsid w:val="00B97422"/>
    <w:rsid w:val="00B978E2"/>
    <w:rsid w:val="00BA4D34"/>
    <w:rsid w:val="00BC770B"/>
    <w:rsid w:val="00BD0022"/>
    <w:rsid w:val="00BD377F"/>
    <w:rsid w:val="00C04FBE"/>
    <w:rsid w:val="00C06BE9"/>
    <w:rsid w:val="00C140B2"/>
    <w:rsid w:val="00C15B5B"/>
    <w:rsid w:val="00C17100"/>
    <w:rsid w:val="00C775B4"/>
    <w:rsid w:val="00C807EF"/>
    <w:rsid w:val="00C8585B"/>
    <w:rsid w:val="00CD2BC3"/>
    <w:rsid w:val="00D12136"/>
    <w:rsid w:val="00D349A8"/>
    <w:rsid w:val="00D36D1C"/>
    <w:rsid w:val="00D37614"/>
    <w:rsid w:val="00D73DE9"/>
    <w:rsid w:val="00DD78D2"/>
    <w:rsid w:val="00DE1CB8"/>
    <w:rsid w:val="00E138CE"/>
    <w:rsid w:val="00E13F7D"/>
    <w:rsid w:val="00E15ABF"/>
    <w:rsid w:val="00E17715"/>
    <w:rsid w:val="00E260A6"/>
    <w:rsid w:val="00E35602"/>
    <w:rsid w:val="00E40131"/>
    <w:rsid w:val="00E46864"/>
    <w:rsid w:val="00E65D34"/>
    <w:rsid w:val="00E912D0"/>
    <w:rsid w:val="00EB0157"/>
    <w:rsid w:val="00EC2DB3"/>
    <w:rsid w:val="00ED38D6"/>
    <w:rsid w:val="00EE0A11"/>
    <w:rsid w:val="00EE2807"/>
    <w:rsid w:val="00EE69D7"/>
    <w:rsid w:val="00F11C98"/>
    <w:rsid w:val="00F31B37"/>
    <w:rsid w:val="00F364BA"/>
    <w:rsid w:val="00F53035"/>
    <w:rsid w:val="00F8005C"/>
    <w:rsid w:val="00FB6BBE"/>
    <w:rsid w:val="00FD0E64"/>
    <w:rsid w:val="00FD5C76"/>
    <w:rsid w:val="00FF2DCC"/>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BF4BE"/>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66B"/>
    <w:pPr>
      <w:spacing w:line="36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semiHidden/>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5B"/>
    <w:rPr>
      <w:rFonts w:ascii="Tahoma" w:hAnsi="Tahoma" w:cs="Tahoma"/>
      <w:sz w:val="16"/>
      <w:szCs w:val="16"/>
    </w:rPr>
  </w:style>
  <w:style w:type="paragraph" w:styleId="ListParagraph">
    <w:name w:val="List Paragraph"/>
    <w:basedOn w:val="Normal"/>
    <w:uiPriority w:val="34"/>
    <w:qFormat/>
    <w:rsid w:val="00A21A1F"/>
    <w:pPr>
      <w:ind w:left="720"/>
      <w:contextualSpacing/>
    </w:pPr>
  </w:style>
  <w:style w:type="character" w:styleId="Hyperlink">
    <w:name w:val="Hyperlink"/>
    <w:basedOn w:val="DefaultParagraphFont"/>
    <w:uiPriority w:val="99"/>
    <w:unhideWhenUsed/>
    <w:rsid w:val="00D36D1C"/>
    <w:rPr>
      <w:color w:val="0000FF" w:themeColor="hyperlink"/>
      <w:u w:val="single"/>
    </w:rPr>
  </w:style>
  <w:style w:type="character" w:styleId="UnresolvedMention">
    <w:name w:val="Unresolved Mention"/>
    <w:basedOn w:val="DefaultParagraphFont"/>
    <w:uiPriority w:val="99"/>
    <w:semiHidden/>
    <w:unhideWhenUsed/>
    <w:rsid w:val="00DD78D2"/>
    <w:rPr>
      <w:color w:val="605E5C"/>
      <w:shd w:val="clear" w:color="auto" w:fill="E1DFDD"/>
    </w:rPr>
  </w:style>
  <w:style w:type="paragraph" w:customStyle="1" w:styleId="EndNoteBibliographyTitle">
    <w:name w:val="EndNote Bibliography Title"/>
    <w:basedOn w:val="Normal"/>
    <w:link w:val="EndNoteBibliographyTitleChar"/>
    <w:rsid w:val="004351BA"/>
    <w:pPr>
      <w:spacing w:after="0"/>
      <w:jc w:val="center"/>
    </w:pPr>
    <w:rPr>
      <w:rFonts w:ascii="Calibri" w:hAnsi="Calibri" w:cs="Calibri"/>
      <w:noProof/>
      <w:sz w:val="22"/>
      <w:lang w:val="en-US"/>
    </w:rPr>
  </w:style>
  <w:style w:type="character" w:customStyle="1" w:styleId="EndNoteBibliographyTitleChar">
    <w:name w:val="EndNote Bibliography Title Char"/>
    <w:basedOn w:val="DefaultParagraphFont"/>
    <w:link w:val="EndNoteBibliographyTitle"/>
    <w:rsid w:val="004351BA"/>
    <w:rPr>
      <w:rFonts w:ascii="Calibri" w:hAnsi="Calibri" w:cs="Calibri"/>
      <w:noProof/>
      <w:lang w:val="en-US"/>
    </w:rPr>
  </w:style>
  <w:style w:type="paragraph" w:customStyle="1" w:styleId="EndNoteBibliography">
    <w:name w:val="EndNote Bibliography"/>
    <w:basedOn w:val="Normal"/>
    <w:link w:val="EndNoteBibliographyChar"/>
    <w:rsid w:val="004351BA"/>
    <w:pPr>
      <w:spacing w:line="240" w:lineRule="auto"/>
    </w:pPr>
    <w:rPr>
      <w:rFonts w:ascii="Calibri" w:hAnsi="Calibri" w:cs="Calibri"/>
      <w:noProof/>
      <w:sz w:val="22"/>
      <w:lang w:val="en-US"/>
    </w:rPr>
  </w:style>
  <w:style w:type="character" w:customStyle="1" w:styleId="EndNoteBibliographyChar">
    <w:name w:val="EndNote Bibliography Char"/>
    <w:basedOn w:val="DefaultParagraphFont"/>
    <w:link w:val="EndNoteBibliography"/>
    <w:rsid w:val="004351BA"/>
    <w:rPr>
      <w:rFonts w:ascii="Calibri" w:hAnsi="Calibri" w:cs="Calibri"/>
      <w:noProof/>
      <w:lang w:val="en-US"/>
    </w:rPr>
  </w:style>
  <w:style w:type="character" w:styleId="CommentReference">
    <w:name w:val="annotation reference"/>
    <w:basedOn w:val="DefaultParagraphFont"/>
    <w:uiPriority w:val="99"/>
    <w:semiHidden/>
    <w:unhideWhenUsed/>
    <w:rsid w:val="002850E2"/>
    <w:rPr>
      <w:sz w:val="16"/>
      <w:szCs w:val="16"/>
    </w:rPr>
  </w:style>
  <w:style w:type="paragraph" w:styleId="CommentText">
    <w:name w:val="annotation text"/>
    <w:basedOn w:val="Normal"/>
    <w:link w:val="CommentTextChar"/>
    <w:uiPriority w:val="99"/>
    <w:semiHidden/>
    <w:unhideWhenUsed/>
    <w:rsid w:val="002850E2"/>
    <w:pPr>
      <w:spacing w:line="240" w:lineRule="auto"/>
    </w:pPr>
    <w:rPr>
      <w:sz w:val="20"/>
      <w:szCs w:val="20"/>
    </w:rPr>
  </w:style>
  <w:style w:type="character" w:customStyle="1" w:styleId="CommentTextChar">
    <w:name w:val="Comment Text Char"/>
    <w:basedOn w:val="DefaultParagraphFont"/>
    <w:link w:val="CommentText"/>
    <w:uiPriority w:val="99"/>
    <w:semiHidden/>
    <w:rsid w:val="002850E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850E2"/>
    <w:rPr>
      <w:b/>
      <w:bCs/>
    </w:rPr>
  </w:style>
  <w:style w:type="character" w:customStyle="1" w:styleId="CommentSubjectChar">
    <w:name w:val="Comment Subject Char"/>
    <w:basedOn w:val="CommentTextChar"/>
    <w:link w:val="CommentSubject"/>
    <w:uiPriority w:val="99"/>
    <w:semiHidden/>
    <w:rsid w:val="002850E2"/>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349603">
      <w:bodyDiv w:val="1"/>
      <w:marLeft w:val="0"/>
      <w:marRight w:val="0"/>
      <w:marTop w:val="0"/>
      <w:marBottom w:val="0"/>
      <w:divBdr>
        <w:top w:val="none" w:sz="0" w:space="0" w:color="auto"/>
        <w:left w:val="none" w:sz="0" w:space="0" w:color="auto"/>
        <w:bottom w:val="none" w:sz="0" w:space="0" w:color="auto"/>
        <w:right w:val="none" w:sz="0" w:space="0" w:color="auto"/>
      </w:divBdr>
    </w:div>
    <w:div w:id="49526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nei.gob.cu/node/18491" TargetMode="External"/><Relationship Id="rId13" Type="http://schemas.openxmlformats.org/officeDocument/2006/relationships/chart" Target="charts/chart3.xml"/><Relationship Id="rId18" Type="http://schemas.openxmlformats.org/officeDocument/2006/relationships/hyperlink" Target="http://www.gacetaoficial.gob.cu/"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016/j.jclepro.2019.118962"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iea.org/reports/net-zero-roadmap-a-global-pathway-to-keep-the-15-0c-goal-in-reach"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hyperlink" Target="https://doi.org/10.1016/j.rser.2020.10991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hyperlink" Target="https://doi.org/10.1016/j.dib.2023.109268" TargetMode="Externa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hyperlink" Target="https://assets.publishing.service.gov.uk/government/uploads/system/uploads/attachment_data/file/795029/Global_Biomass_Markets_Final_report.pdf" TargetMode="Externa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doi.org/10.1016/j.rser.2018.08.00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hyperlink" Target="https://doi.org/10.1016/j.esr.2018.03.005"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001%20-%20Proyectos\Variantes\7%20-%20Osemosys1.6%20Cuba1.0%20-%2064%20TS%20MTTO%20-%204%20Estaciones%20-%202050%20-%20A0\solutions\v_RateOfProductionByTechnology.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cuments\001%20-%20Proyectos\Variantes\Resultados%20Art&#237;culo.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[Resultados Artículo.xlsx]PBTChart (2)!PivotTable61</c:name>
    <c:fmtId val="-1"/>
  </c:pivotSource>
  <c:chart>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rgbClr val="95F3AE"/>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
        <c:spPr>
          <a:solidFill>
            <a:srgbClr val="5C5858"/>
          </a:solidFill>
          <a:ln>
            <a:noFill/>
          </a:ln>
          <a:effectLst/>
        </c:spPr>
        <c:marker>
          <c:symbol val="none"/>
        </c:marker>
        <c:dLbl>
          <c:idx val="0"/>
          <c:delete val="1"/>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3"/>
        <c:spPr>
          <a:solidFill>
            <a:schemeClr val="bg2">
              <a:lumMod val="50000"/>
            </a:schemeClr>
          </a:solidFill>
          <a:ln>
            <a:noFill/>
          </a:ln>
          <a:effectLst/>
        </c:spPr>
        <c:marker>
          <c:symbol val="none"/>
        </c:marker>
        <c:dLbl>
          <c:idx val="0"/>
          <c:delete val="1"/>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9"/>
        <c:spPr>
          <a:solidFill>
            <a:schemeClr val="bg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5"/>
        <c:spPr>
          <a:solidFill>
            <a:schemeClr val="bg2">
              <a:lumMod val="90000"/>
            </a:schemeClr>
          </a:solidFill>
          <a:ln>
            <a:noFill/>
          </a:ln>
          <a:effectLst/>
        </c:spPr>
        <c:marker>
          <c:symbol val="none"/>
        </c:marker>
        <c:dLbl>
          <c:idx val="0"/>
          <c:delete val="1"/>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1"/>
        <c:spPr>
          <a:solidFill>
            <a:schemeClr val="bg2"/>
          </a:solidFill>
          <a:ln>
            <a:noFill/>
          </a:ln>
          <a:effectLst/>
        </c:spPr>
        <c:marker>
          <c:symbol val="none"/>
        </c:marker>
        <c:dLbl>
          <c:idx val="0"/>
          <c:delete val="1"/>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7"/>
        <c:spPr>
          <a:solidFill>
            <a:srgbClr val="EEEEEE"/>
          </a:solidFill>
          <a:ln>
            <a:noFill/>
          </a:ln>
          <a:effectLst/>
        </c:spPr>
        <c:marker>
          <c:symbol val="none"/>
        </c:marker>
        <c:dLbl>
          <c:idx val="0"/>
          <c:delete val="1"/>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3"/>
        <c:spPr>
          <a:solidFill>
            <a:srgbClr val="F0F0F0"/>
          </a:solidFill>
          <a:ln>
            <a:noFill/>
          </a:ln>
          <a:effectLst/>
        </c:spPr>
        <c:marker>
          <c:symbol val="none"/>
        </c:marker>
        <c:dLbl>
          <c:idx val="0"/>
          <c:delete val="1"/>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9"/>
        <c:spPr>
          <a:solidFill>
            <a:srgbClr val="4B4747"/>
          </a:solidFill>
          <a:ln>
            <a:noFill/>
          </a:ln>
          <a:effectLst/>
        </c:spPr>
        <c:marker>
          <c:symbol val="none"/>
        </c:marker>
        <c:dLbl>
          <c:idx val="0"/>
          <c:delete val="1"/>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1"/>
        <c:spPr>
          <a:solidFill>
            <a:srgbClr val="4BCFDD"/>
          </a:solidFill>
          <a:ln>
            <a:noFill/>
          </a:ln>
          <a:effectLst/>
        </c:spPr>
        <c:marker>
          <c:symbol val="none"/>
        </c:marker>
        <c:dLbl>
          <c:idx val="0"/>
          <c:delete val="1"/>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7"/>
        <c:spPr>
          <a:solidFill>
            <a:schemeClr val="accent1">
              <a:lumMod val="40000"/>
              <a:lumOff val="60000"/>
            </a:schemeClr>
          </a:solidFill>
          <a:ln>
            <a:noFill/>
          </a:ln>
          <a:effectLst/>
        </c:spPr>
        <c:marker>
          <c:symbol val="none"/>
        </c:marker>
        <c:dLbl>
          <c:idx val="0"/>
          <c:delete val="1"/>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7"/>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9"/>
        <c:spPr>
          <a:solidFill>
            <a:schemeClr val="accent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8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8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8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8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8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85"/>
        <c:spPr>
          <a:solidFill>
            <a:schemeClr val="accent1">
              <a:lumMod val="75000"/>
            </a:schemeClr>
          </a:solidFill>
          <a:ln>
            <a:noFill/>
          </a:ln>
          <a:effectLst/>
        </c:spPr>
        <c:marker>
          <c:symbol val="none"/>
        </c:marker>
        <c:dLbl>
          <c:idx val="0"/>
          <c:delete val="1"/>
          <c:extLst>
            <c:ext xmlns:c15="http://schemas.microsoft.com/office/drawing/2012/chart" uri="{CE6537A1-D6FC-4f65-9D91-7224C49458BB}"/>
          </c:extLst>
        </c:dLbl>
      </c:pivotFmt>
      <c:pivotFmt>
        <c:idx val="8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87"/>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8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89"/>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9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91"/>
        <c:spPr>
          <a:solidFill>
            <a:schemeClr val="accent1">
              <a:lumMod val="75000"/>
            </a:schemeClr>
          </a:solidFill>
          <a:ln>
            <a:noFill/>
          </a:ln>
          <a:effectLst/>
        </c:spPr>
        <c:marker>
          <c:symbol val="none"/>
        </c:marker>
        <c:dLbl>
          <c:idx val="0"/>
          <c:delete val="1"/>
          <c:extLst>
            <c:ext xmlns:c15="http://schemas.microsoft.com/office/drawing/2012/chart" uri="{CE6537A1-D6FC-4f65-9D91-7224C49458BB}"/>
          </c:extLst>
        </c:dLbl>
      </c:pivotFmt>
      <c:pivotFmt>
        <c:idx val="9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9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9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97"/>
        <c:spPr>
          <a:solidFill>
            <a:srgbClr val="FFC000"/>
          </a:solidFill>
          <a:ln>
            <a:noFill/>
          </a:ln>
          <a:effectLst/>
        </c:spPr>
        <c:marker>
          <c:symbol val="none"/>
        </c:marker>
        <c:dLbl>
          <c:idx val="0"/>
          <c:delete val="1"/>
          <c:extLst>
            <c:ext xmlns:c15="http://schemas.microsoft.com/office/drawing/2012/chart" uri="{CE6537A1-D6FC-4f65-9D91-7224C49458BB}"/>
          </c:extLst>
        </c:dLbl>
      </c:pivotFmt>
      <c:pivotFmt>
        <c:idx val="9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99"/>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0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0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02"/>
        <c:spPr>
          <a:solidFill>
            <a:srgbClr val="95F3AE"/>
          </a:solidFill>
          <a:ln>
            <a:noFill/>
          </a:ln>
          <a:effectLst/>
        </c:spPr>
        <c:marker>
          <c:symbol val="none"/>
        </c:marker>
        <c:dLbl>
          <c:idx val="0"/>
          <c:delete val="1"/>
          <c:extLst>
            <c:ext xmlns:c15="http://schemas.microsoft.com/office/drawing/2012/chart" uri="{CE6537A1-D6FC-4f65-9D91-7224C49458BB}"/>
          </c:extLst>
        </c:dLbl>
      </c:pivotFmt>
      <c:pivotFmt>
        <c:idx val="103"/>
        <c:spPr>
          <a:solidFill>
            <a:srgbClr val="5C5858"/>
          </a:solidFill>
          <a:ln>
            <a:noFill/>
          </a:ln>
          <a:effectLst/>
        </c:spPr>
        <c:marker>
          <c:symbol val="none"/>
        </c:marker>
        <c:dLbl>
          <c:idx val="0"/>
          <c:delete val="1"/>
          <c:extLst>
            <c:ext xmlns:c15="http://schemas.microsoft.com/office/drawing/2012/chart" uri="{CE6537A1-D6FC-4f65-9D91-7224C49458BB}"/>
          </c:extLst>
        </c:dLbl>
      </c:pivotFmt>
      <c:pivotFmt>
        <c:idx val="104"/>
        <c:spPr>
          <a:solidFill>
            <a:schemeClr val="bg2">
              <a:lumMod val="50000"/>
            </a:schemeClr>
          </a:solidFill>
          <a:ln>
            <a:noFill/>
          </a:ln>
          <a:effectLst/>
        </c:spPr>
        <c:marker>
          <c:symbol val="none"/>
        </c:marker>
        <c:dLbl>
          <c:idx val="0"/>
          <c:delete val="1"/>
          <c:extLst>
            <c:ext xmlns:c15="http://schemas.microsoft.com/office/drawing/2012/chart" uri="{CE6537A1-D6FC-4f65-9D91-7224C49458BB}"/>
          </c:extLst>
        </c:dLbl>
      </c:pivotFmt>
      <c:pivotFmt>
        <c:idx val="105"/>
        <c:spPr>
          <a:solidFill>
            <a:schemeClr val="bg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06"/>
        <c:spPr>
          <a:solidFill>
            <a:schemeClr val="bg2">
              <a:lumMod val="90000"/>
            </a:schemeClr>
          </a:solidFill>
          <a:ln>
            <a:noFill/>
          </a:ln>
          <a:effectLst/>
        </c:spPr>
        <c:marker>
          <c:symbol val="none"/>
        </c:marker>
        <c:dLbl>
          <c:idx val="0"/>
          <c:delete val="1"/>
          <c:extLst>
            <c:ext xmlns:c15="http://schemas.microsoft.com/office/drawing/2012/chart" uri="{CE6537A1-D6FC-4f65-9D91-7224C49458BB}"/>
          </c:extLst>
        </c:dLbl>
      </c:pivotFmt>
      <c:pivotFmt>
        <c:idx val="107"/>
        <c:spPr>
          <a:solidFill>
            <a:schemeClr val="bg2"/>
          </a:solidFill>
          <a:ln>
            <a:noFill/>
          </a:ln>
          <a:effectLst/>
        </c:spPr>
        <c:marker>
          <c:symbol val="none"/>
        </c:marker>
        <c:dLbl>
          <c:idx val="0"/>
          <c:delete val="1"/>
          <c:extLst>
            <c:ext xmlns:c15="http://schemas.microsoft.com/office/drawing/2012/chart" uri="{CE6537A1-D6FC-4f65-9D91-7224C49458BB}"/>
          </c:extLst>
        </c:dLbl>
      </c:pivotFmt>
      <c:pivotFmt>
        <c:idx val="108"/>
        <c:spPr>
          <a:solidFill>
            <a:srgbClr val="EEEEEE"/>
          </a:solidFill>
          <a:ln>
            <a:noFill/>
          </a:ln>
          <a:effectLst/>
        </c:spPr>
        <c:marker>
          <c:symbol val="none"/>
        </c:marker>
        <c:dLbl>
          <c:idx val="0"/>
          <c:delete val="1"/>
          <c:extLst>
            <c:ext xmlns:c15="http://schemas.microsoft.com/office/drawing/2012/chart" uri="{CE6537A1-D6FC-4f65-9D91-7224C49458BB}"/>
          </c:extLst>
        </c:dLbl>
      </c:pivotFmt>
      <c:pivotFmt>
        <c:idx val="109"/>
        <c:spPr>
          <a:solidFill>
            <a:srgbClr val="F0F0F0"/>
          </a:solidFill>
          <a:ln>
            <a:noFill/>
          </a:ln>
          <a:effectLst/>
        </c:spPr>
        <c:marker>
          <c:symbol val="none"/>
        </c:marker>
        <c:dLbl>
          <c:idx val="0"/>
          <c:delete val="1"/>
          <c:extLst>
            <c:ext xmlns:c15="http://schemas.microsoft.com/office/drawing/2012/chart" uri="{CE6537A1-D6FC-4f65-9D91-7224C49458BB}"/>
          </c:extLst>
        </c:dLbl>
      </c:pivotFmt>
      <c:pivotFmt>
        <c:idx val="110"/>
        <c:spPr>
          <a:solidFill>
            <a:srgbClr val="4B4747"/>
          </a:solidFill>
          <a:ln>
            <a:noFill/>
          </a:ln>
          <a:effectLst/>
        </c:spPr>
        <c:marker>
          <c:symbol val="none"/>
        </c:marker>
        <c:dLbl>
          <c:idx val="0"/>
          <c:delete val="1"/>
          <c:extLst>
            <c:ext xmlns:c15="http://schemas.microsoft.com/office/drawing/2012/chart" uri="{CE6537A1-D6FC-4f65-9D91-7224C49458BB}"/>
          </c:extLst>
        </c:dLbl>
      </c:pivotFmt>
      <c:pivotFmt>
        <c:idx val="11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12"/>
        <c:spPr>
          <a:solidFill>
            <a:srgbClr val="4BCFDD"/>
          </a:solidFill>
          <a:ln>
            <a:noFill/>
          </a:ln>
          <a:effectLst/>
        </c:spPr>
        <c:marker>
          <c:symbol val="none"/>
        </c:marker>
        <c:dLbl>
          <c:idx val="0"/>
          <c:delete val="1"/>
          <c:extLst>
            <c:ext xmlns:c15="http://schemas.microsoft.com/office/drawing/2012/chart" uri="{CE6537A1-D6FC-4f65-9D91-7224C49458BB}"/>
          </c:extLst>
        </c:dLbl>
      </c:pivotFmt>
      <c:pivotFmt>
        <c:idx val="113"/>
        <c:spPr>
          <a:solidFill>
            <a:schemeClr val="accent1">
              <a:lumMod val="40000"/>
              <a:lumOff val="60000"/>
            </a:schemeClr>
          </a:solidFill>
          <a:ln>
            <a:noFill/>
          </a:ln>
          <a:effectLst/>
        </c:spPr>
        <c:marker>
          <c:symbol val="none"/>
        </c:marker>
        <c:dLbl>
          <c:idx val="0"/>
          <c:delete val="1"/>
          <c:extLst>
            <c:ext xmlns:c15="http://schemas.microsoft.com/office/drawing/2012/chart" uri="{CE6537A1-D6FC-4f65-9D91-7224C49458BB}"/>
          </c:extLst>
        </c:dLbl>
      </c:pivotFmt>
      <c:pivotFmt>
        <c:idx val="11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15"/>
        <c:spPr>
          <a:solidFill>
            <a:schemeClr val="accent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16"/>
        <c:spPr>
          <a:solidFill>
            <a:schemeClr val="accent1">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17"/>
        <c:spPr>
          <a:solidFill>
            <a:schemeClr val="accent1">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18"/>
        <c:spPr>
          <a:solidFill>
            <a:srgbClr val="FFC000"/>
          </a:solidFill>
          <a:ln>
            <a:noFill/>
          </a:ln>
          <a:effectLst/>
        </c:spPr>
        <c:marker>
          <c:symbol val="none"/>
        </c:marker>
        <c:dLbl>
          <c:idx val="0"/>
          <c:delete val="1"/>
          <c:extLst>
            <c:ext xmlns:c15="http://schemas.microsoft.com/office/drawing/2012/chart" uri="{CE6537A1-D6FC-4f65-9D91-7224C49458BB}"/>
          </c:extLst>
        </c:dLbl>
      </c:pivotFmt>
      <c:pivotFmt>
        <c:idx val="119"/>
        <c:spPr>
          <a:solidFill>
            <a:srgbClr val="95F3AE"/>
          </a:solidFill>
          <a:ln>
            <a:noFill/>
          </a:ln>
          <a:effectLst/>
        </c:spPr>
        <c:marker>
          <c:symbol val="none"/>
        </c:marker>
        <c:dLbl>
          <c:idx val="0"/>
          <c:delete val="1"/>
          <c:extLst>
            <c:ext xmlns:c15="http://schemas.microsoft.com/office/drawing/2012/chart" uri="{CE6537A1-D6FC-4f65-9D91-7224C49458BB}"/>
          </c:extLst>
        </c:dLbl>
      </c:pivotFmt>
      <c:pivotFmt>
        <c:idx val="120"/>
        <c:spPr>
          <a:solidFill>
            <a:srgbClr val="5C5858"/>
          </a:solidFill>
          <a:ln>
            <a:noFill/>
          </a:ln>
          <a:effectLst/>
        </c:spPr>
        <c:marker>
          <c:symbol val="none"/>
        </c:marker>
        <c:dLbl>
          <c:idx val="0"/>
          <c:delete val="1"/>
          <c:extLst>
            <c:ext xmlns:c15="http://schemas.microsoft.com/office/drawing/2012/chart" uri="{CE6537A1-D6FC-4f65-9D91-7224C49458BB}"/>
          </c:extLst>
        </c:dLbl>
      </c:pivotFmt>
      <c:pivotFmt>
        <c:idx val="121"/>
        <c:spPr>
          <a:solidFill>
            <a:schemeClr val="bg2">
              <a:lumMod val="50000"/>
            </a:schemeClr>
          </a:solidFill>
          <a:ln>
            <a:noFill/>
          </a:ln>
          <a:effectLst/>
        </c:spPr>
        <c:marker>
          <c:symbol val="none"/>
        </c:marker>
        <c:dLbl>
          <c:idx val="0"/>
          <c:delete val="1"/>
          <c:extLst>
            <c:ext xmlns:c15="http://schemas.microsoft.com/office/drawing/2012/chart" uri="{CE6537A1-D6FC-4f65-9D91-7224C49458BB}"/>
          </c:extLst>
        </c:dLbl>
      </c:pivotFmt>
      <c:pivotFmt>
        <c:idx val="122"/>
        <c:spPr>
          <a:solidFill>
            <a:schemeClr val="bg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23"/>
        <c:spPr>
          <a:solidFill>
            <a:schemeClr val="bg2">
              <a:lumMod val="90000"/>
            </a:schemeClr>
          </a:solidFill>
          <a:ln>
            <a:noFill/>
          </a:ln>
          <a:effectLst/>
        </c:spPr>
        <c:marker>
          <c:symbol val="none"/>
        </c:marker>
        <c:dLbl>
          <c:idx val="0"/>
          <c:delete val="1"/>
          <c:extLst>
            <c:ext xmlns:c15="http://schemas.microsoft.com/office/drawing/2012/chart" uri="{CE6537A1-D6FC-4f65-9D91-7224C49458BB}"/>
          </c:extLst>
        </c:dLbl>
      </c:pivotFmt>
      <c:pivotFmt>
        <c:idx val="124"/>
        <c:spPr>
          <a:solidFill>
            <a:schemeClr val="bg2"/>
          </a:solidFill>
          <a:ln>
            <a:noFill/>
          </a:ln>
          <a:effectLst/>
        </c:spPr>
        <c:marker>
          <c:symbol val="none"/>
        </c:marker>
        <c:dLbl>
          <c:idx val="0"/>
          <c:delete val="1"/>
          <c:extLst>
            <c:ext xmlns:c15="http://schemas.microsoft.com/office/drawing/2012/chart" uri="{CE6537A1-D6FC-4f65-9D91-7224C49458BB}"/>
          </c:extLst>
        </c:dLbl>
      </c:pivotFmt>
      <c:pivotFmt>
        <c:idx val="125"/>
        <c:spPr>
          <a:solidFill>
            <a:srgbClr val="EEEEEE"/>
          </a:solidFill>
          <a:ln>
            <a:noFill/>
          </a:ln>
          <a:effectLst/>
        </c:spPr>
        <c:marker>
          <c:symbol val="none"/>
        </c:marker>
        <c:dLbl>
          <c:idx val="0"/>
          <c:delete val="1"/>
          <c:extLst>
            <c:ext xmlns:c15="http://schemas.microsoft.com/office/drawing/2012/chart" uri="{CE6537A1-D6FC-4f65-9D91-7224C49458BB}"/>
          </c:extLst>
        </c:dLbl>
      </c:pivotFmt>
      <c:pivotFmt>
        <c:idx val="126"/>
        <c:spPr>
          <a:solidFill>
            <a:srgbClr val="F0F0F0"/>
          </a:solidFill>
          <a:ln>
            <a:noFill/>
          </a:ln>
          <a:effectLst/>
        </c:spPr>
        <c:marker>
          <c:symbol val="none"/>
        </c:marker>
        <c:dLbl>
          <c:idx val="0"/>
          <c:delete val="1"/>
          <c:extLst>
            <c:ext xmlns:c15="http://schemas.microsoft.com/office/drawing/2012/chart" uri="{CE6537A1-D6FC-4f65-9D91-7224C49458BB}"/>
          </c:extLst>
        </c:dLbl>
      </c:pivotFmt>
      <c:pivotFmt>
        <c:idx val="127"/>
        <c:spPr>
          <a:solidFill>
            <a:srgbClr val="4B4747"/>
          </a:solidFill>
          <a:ln>
            <a:noFill/>
          </a:ln>
          <a:effectLst/>
        </c:spPr>
        <c:marker>
          <c:symbol val="none"/>
        </c:marker>
        <c:dLbl>
          <c:idx val="0"/>
          <c:delete val="1"/>
          <c:extLst>
            <c:ext xmlns:c15="http://schemas.microsoft.com/office/drawing/2012/chart" uri="{CE6537A1-D6FC-4f65-9D91-7224C49458BB}"/>
          </c:extLst>
        </c:dLbl>
      </c:pivotFmt>
      <c:pivotFmt>
        <c:idx val="12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29"/>
        <c:spPr>
          <a:solidFill>
            <a:srgbClr val="4BCFDD"/>
          </a:solidFill>
          <a:ln>
            <a:noFill/>
          </a:ln>
          <a:effectLst/>
        </c:spPr>
        <c:marker>
          <c:symbol val="none"/>
        </c:marker>
        <c:dLbl>
          <c:idx val="0"/>
          <c:delete val="1"/>
          <c:extLst>
            <c:ext xmlns:c15="http://schemas.microsoft.com/office/drawing/2012/chart" uri="{CE6537A1-D6FC-4f65-9D91-7224C49458BB}"/>
          </c:extLst>
        </c:dLbl>
      </c:pivotFmt>
      <c:pivotFmt>
        <c:idx val="130"/>
        <c:spPr>
          <a:solidFill>
            <a:schemeClr val="accent1">
              <a:lumMod val="40000"/>
              <a:lumOff val="60000"/>
            </a:schemeClr>
          </a:solidFill>
          <a:ln>
            <a:noFill/>
          </a:ln>
          <a:effectLst/>
        </c:spPr>
        <c:marker>
          <c:symbol val="none"/>
        </c:marker>
        <c:dLbl>
          <c:idx val="0"/>
          <c:delete val="1"/>
          <c:extLst>
            <c:ext xmlns:c15="http://schemas.microsoft.com/office/drawing/2012/chart" uri="{CE6537A1-D6FC-4f65-9D91-7224C49458BB}"/>
          </c:extLst>
        </c:dLbl>
      </c:pivotFmt>
      <c:pivotFmt>
        <c:idx val="13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32"/>
        <c:spPr>
          <a:solidFill>
            <a:schemeClr val="accent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33"/>
        <c:spPr>
          <a:solidFill>
            <a:schemeClr val="accent1">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34"/>
        <c:spPr>
          <a:solidFill>
            <a:schemeClr val="accent1">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35"/>
        <c:spPr>
          <a:solidFill>
            <a:srgbClr val="FFC000"/>
          </a:solidFill>
          <a:ln>
            <a:noFill/>
          </a:ln>
          <a:effectLst/>
        </c:spPr>
        <c:marker>
          <c:symbol val="none"/>
        </c:marker>
        <c:dLbl>
          <c:idx val="0"/>
          <c:delete val="1"/>
          <c:extLst>
            <c:ext xmlns:c15="http://schemas.microsoft.com/office/drawing/2012/chart" uri="{CE6537A1-D6FC-4f65-9D91-7224C49458BB}"/>
          </c:extLst>
        </c:dLbl>
      </c:pivotFmt>
      <c:pivotFmt>
        <c:idx val="136"/>
        <c:spPr>
          <a:solidFill>
            <a:srgbClr val="95F3AE"/>
          </a:solidFill>
          <a:ln>
            <a:noFill/>
          </a:ln>
          <a:effectLst/>
        </c:spPr>
        <c:marker>
          <c:symbol val="none"/>
        </c:marker>
        <c:dLbl>
          <c:idx val="0"/>
          <c:delete val="1"/>
          <c:extLst>
            <c:ext xmlns:c15="http://schemas.microsoft.com/office/drawing/2012/chart" uri="{CE6537A1-D6FC-4f65-9D91-7224C49458BB}"/>
          </c:extLst>
        </c:dLbl>
      </c:pivotFmt>
      <c:pivotFmt>
        <c:idx val="137"/>
        <c:spPr>
          <a:solidFill>
            <a:srgbClr val="5C5858"/>
          </a:solidFill>
          <a:ln>
            <a:noFill/>
          </a:ln>
          <a:effectLst/>
        </c:spPr>
        <c:marker>
          <c:symbol val="none"/>
        </c:marker>
        <c:dLbl>
          <c:idx val="0"/>
          <c:delete val="1"/>
          <c:extLst>
            <c:ext xmlns:c15="http://schemas.microsoft.com/office/drawing/2012/chart" uri="{CE6537A1-D6FC-4f65-9D91-7224C49458BB}"/>
          </c:extLst>
        </c:dLbl>
      </c:pivotFmt>
      <c:pivotFmt>
        <c:idx val="138"/>
        <c:spPr>
          <a:solidFill>
            <a:schemeClr val="bg2">
              <a:lumMod val="50000"/>
            </a:schemeClr>
          </a:solidFill>
          <a:ln>
            <a:noFill/>
          </a:ln>
          <a:effectLst/>
        </c:spPr>
        <c:marker>
          <c:symbol val="none"/>
        </c:marker>
        <c:dLbl>
          <c:idx val="0"/>
          <c:delete val="1"/>
          <c:extLst>
            <c:ext xmlns:c15="http://schemas.microsoft.com/office/drawing/2012/chart" uri="{CE6537A1-D6FC-4f65-9D91-7224C49458BB}"/>
          </c:extLst>
        </c:dLbl>
      </c:pivotFmt>
      <c:pivotFmt>
        <c:idx val="139"/>
        <c:spPr>
          <a:solidFill>
            <a:schemeClr val="bg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40"/>
        <c:spPr>
          <a:solidFill>
            <a:schemeClr val="bg2">
              <a:lumMod val="90000"/>
            </a:schemeClr>
          </a:solidFill>
          <a:ln>
            <a:noFill/>
          </a:ln>
          <a:effectLst/>
        </c:spPr>
        <c:marker>
          <c:symbol val="none"/>
        </c:marker>
        <c:dLbl>
          <c:idx val="0"/>
          <c:delete val="1"/>
          <c:extLst>
            <c:ext xmlns:c15="http://schemas.microsoft.com/office/drawing/2012/chart" uri="{CE6537A1-D6FC-4f65-9D91-7224C49458BB}"/>
          </c:extLst>
        </c:dLbl>
      </c:pivotFmt>
      <c:pivotFmt>
        <c:idx val="141"/>
        <c:spPr>
          <a:solidFill>
            <a:schemeClr val="bg2"/>
          </a:solidFill>
          <a:ln>
            <a:noFill/>
          </a:ln>
          <a:effectLst/>
        </c:spPr>
        <c:marker>
          <c:symbol val="none"/>
        </c:marker>
        <c:dLbl>
          <c:idx val="0"/>
          <c:delete val="1"/>
          <c:extLst>
            <c:ext xmlns:c15="http://schemas.microsoft.com/office/drawing/2012/chart" uri="{CE6537A1-D6FC-4f65-9D91-7224C49458BB}"/>
          </c:extLst>
        </c:dLbl>
      </c:pivotFmt>
      <c:pivotFmt>
        <c:idx val="142"/>
        <c:spPr>
          <a:solidFill>
            <a:srgbClr val="EEEEEE"/>
          </a:solidFill>
          <a:ln>
            <a:noFill/>
          </a:ln>
          <a:effectLst/>
        </c:spPr>
        <c:marker>
          <c:symbol val="none"/>
        </c:marker>
        <c:dLbl>
          <c:idx val="0"/>
          <c:delete val="1"/>
          <c:extLst>
            <c:ext xmlns:c15="http://schemas.microsoft.com/office/drawing/2012/chart" uri="{CE6537A1-D6FC-4f65-9D91-7224C49458BB}"/>
          </c:extLst>
        </c:dLbl>
      </c:pivotFmt>
      <c:pivotFmt>
        <c:idx val="143"/>
        <c:spPr>
          <a:solidFill>
            <a:srgbClr val="F0F0F0"/>
          </a:solidFill>
          <a:ln>
            <a:noFill/>
          </a:ln>
          <a:effectLst/>
        </c:spPr>
        <c:marker>
          <c:symbol val="none"/>
        </c:marker>
        <c:dLbl>
          <c:idx val="0"/>
          <c:delete val="1"/>
          <c:extLst>
            <c:ext xmlns:c15="http://schemas.microsoft.com/office/drawing/2012/chart" uri="{CE6537A1-D6FC-4f65-9D91-7224C49458BB}"/>
          </c:extLst>
        </c:dLbl>
      </c:pivotFmt>
      <c:pivotFmt>
        <c:idx val="144"/>
        <c:spPr>
          <a:solidFill>
            <a:srgbClr val="4B4747"/>
          </a:solidFill>
          <a:ln>
            <a:noFill/>
          </a:ln>
          <a:effectLst/>
        </c:spPr>
        <c:marker>
          <c:symbol val="none"/>
        </c:marker>
        <c:dLbl>
          <c:idx val="0"/>
          <c:delete val="1"/>
          <c:extLst>
            <c:ext xmlns:c15="http://schemas.microsoft.com/office/drawing/2012/chart" uri="{CE6537A1-D6FC-4f65-9D91-7224C49458BB}"/>
          </c:extLst>
        </c:dLbl>
      </c:pivotFmt>
      <c:pivotFmt>
        <c:idx val="145"/>
        <c:spPr>
          <a:solidFill>
            <a:schemeClr val="accent4">
              <a:lumMod val="60000"/>
            </a:schemeClr>
          </a:solidFill>
          <a:ln>
            <a:noFill/>
          </a:ln>
          <a:effectLst/>
        </c:spPr>
        <c:marker>
          <c:symbol val="none"/>
        </c:marker>
        <c:dLbl>
          <c:idx val="0"/>
          <c:delete val="1"/>
          <c:extLst>
            <c:ext xmlns:c15="http://schemas.microsoft.com/office/drawing/2012/chart" uri="{CE6537A1-D6FC-4f65-9D91-7224C49458BB}"/>
          </c:extLst>
        </c:dLbl>
      </c:pivotFmt>
      <c:pivotFmt>
        <c:idx val="146"/>
        <c:spPr>
          <a:solidFill>
            <a:srgbClr val="4BCFDD"/>
          </a:solidFill>
          <a:ln>
            <a:noFill/>
          </a:ln>
          <a:effectLst/>
        </c:spPr>
        <c:marker>
          <c:symbol val="none"/>
        </c:marker>
        <c:dLbl>
          <c:idx val="0"/>
          <c:delete val="1"/>
          <c:extLst>
            <c:ext xmlns:c15="http://schemas.microsoft.com/office/drawing/2012/chart" uri="{CE6537A1-D6FC-4f65-9D91-7224C49458BB}"/>
          </c:extLst>
        </c:dLbl>
      </c:pivotFmt>
      <c:pivotFmt>
        <c:idx val="147"/>
        <c:spPr>
          <a:solidFill>
            <a:schemeClr val="accent1">
              <a:lumMod val="40000"/>
              <a:lumOff val="60000"/>
            </a:schemeClr>
          </a:solidFill>
          <a:ln>
            <a:noFill/>
          </a:ln>
          <a:effectLst/>
        </c:spPr>
        <c:marker>
          <c:symbol val="none"/>
        </c:marker>
        <c:dLbl>
          <c:idx val="0"/>
          <c:delete val="1"/>
          <c:extLst>
            <c:ext xmlns:c15="http://schemas.microsoft.com/office/drawing/2012/chart" uri="{CE6537A1-D6FC-4f65-9D91-7224C49458BB}"/>
          </c:extLst>
        </c:dLbl>
      </c:pivotFmt>
      <c:pivotFmt>
        <c:idx val="148"/>
        <c:spPr>
          <a:solidFill>
            <a:schemeClr val="accent1">
              <a:lumMod val="80000"/>
              <a:lumOff val="20000"/>
            </a:schemeClr>
          </a:solidFill>
          <a:ln>
            <a:noFill/>
          </a:ln>
          <a:effectLst/>
        </c:spPr>
        <c:marker>
          <c:symbol val="none"/>
        </c:marker>
        <c:dLbl>
          <c:idx val="0"/>
          <c:delete val="1"/>
          <c:extLst>
            <c:ext xmlns:c15="http://schemas.microsoft.com/office/drawing/2012/chart" uri="{CE6537A1-D6FC-4f65-9D91-7224C49458BB}"/>
          </c:extLst>
        </c:dLbl>
      </c:pivotFmt>
      <c:pivotFmt>
        <c:idx val="149"/>
        <c:spPr>
          <a:solidFill>
            <a:schemeClr val="accent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50"/>
        <c:spPr>
          <a:solidFill>
            <a:schemeClr val="accent1">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51"/>
        <c:spPr>
          <a:solidFill>
            <a:schemeClr val="accent1">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52"/>
        <c:spPr>
          <a:solidFill>
            <a:srgbClr val="FFC000"/>
          </a:solidFill>
          <a:ln>
            <a:noFill/>
          </a:ln>
          <a:effectLst/>
        </c:spPr>
        <c:marker>
          <c:symbol val="none"/>
        </c:marker>
        <c:dLbl>
          <c:idx val="0"/>
          <c:delete val="1"/>
          <c:extLst>
            <c:ext xmlns:c15="http://schemas.microsoft.com/office/drawing/2012/chart" uri="{CE6537A1-D6FC-4f65-9D91-7224C49458BB}"/>
          </c:extLst>
        </c:dLbl>
      </c:pivotFmt>
      <c:pivotFmt>
        <c:idx val="153"/>
        <c:spPr>
          <a:solidFill>
            <a:srgbClr val="95F3AE"/>
          </a:solidFill>
          <a:ln>
            <a:noFill/>
          </a:ln>
          <a:effectLst/>
        </c:spPr>
        <c:marker>
          <c:symbol val="none"/>
        </c:marker>
        <c:dLbl>
          <c:idx val="0"/>
          <c:delete val="1"/>
          <c:extLst>
            <c:ext xmlns:c15="http://schemas.microsoft.com/office/drawing/2012/chart" uri="{CE6537A1-D6FC-4f65-9D91-7224C49458BB}"/>
          </c:extLst>
        </c:dLbl>
      </c:pivotFmt>
      <c:pivotFmt>
        <c:idx val="154"/>
        <c:spPr>
          <a:solidFill>
            <a:srgbClr val="5C5858"/>
          </a:solidFill>
          <a:ln>
            <a:noFill/>
          </a:ln>
          <a:effectLst/>
        </c:spPr>
        <c:marker>
          <c:symbol val="none"/>
        </c:marker>
        <c:dLbl>
          <c:idx val="0"/>
          <c:delete val="1"/>
          <c:extLst>
            <c:ext xmlns:c15="http://schemas.microsoft.com/office/drawing/2012/chart" uri="{CE6537A1-D6FC-4f65-9D91-7224C49458BB}"/>
          </c:extLst>
        </c:dLbl>
      </c:pivotFmt>
      <c:pivotFmt>
        <c:idx val="155"/>
        <c:spPr>
          <a:solidFill>
            <a:schemeClr val="bg2">
              <a:lumMod val="50000"/>
            </a:schemeClr>
          </a:solidFill>
          <a:ln>
            <a:noFill/>
          </a:ln>
          <a:effectLst/>
        </c:spPr>
        <c:marker>
          <c:symbol val="none"/>
        </c:marker>
        <c:dLbl>
          <c:idx val="0"/>
          <c:delete val="1"/>
          <c:extLst>
            <c:ext xmlns:c15="http://schemas.microsoft.com/office/drawing/2012/chart" uri="{CE6537A1-D6FC-4f65-9D91-7224C49458BB}"/>
          </c:extLst>
        </c:dLbl>
      </c:pivotFmt>
      <c:pivotFmt>
        <c:idx val="156"/>
        <c:spPr>
          <a:solidFill>
            <a:schemeClr val="bg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57"/>
        <c:spPr>
          <a:solidFill>
            <a:schemeClr val="bg2">
              <a:lumMod val="90000"/>
            </a:schemeClr>
          </a:solidFill>
          <a:ln>
            <a:noFill/>
          </a:ln>
          <a:effectLst/>
        </c:spPr>
        <c:marker>
          <c:symbol val="none"/>
        </c:marker>
        <c:dLbl>
          <c:idx val="0"/>
          <c:delete val="1"/>
          <c:extLst>
            <c:ext xmlns:c15="http://schemas.microsoft.com/office/drawing/2012/chart" uri="{CE6537A1-D6FC-4f65-9D91-7224C49458BB}"/>
          </c:extLst>
        </c:dLbl>
      </c:pivotFmt>
      <c:pivotFmt>
        <c:idx val="158"/>
        <c:spPr>
          <a:solidFill>
            <a:schemeClr val="bg2"/>
          </a:solidFill>
          <a:ln>
            <a:noFill/>
          </a:ln>
          <a:effectLst/>
        </c:spPr>
        <c:marker>
          <c:symbol val="none"/>
        </c:marker>
        <c:dLbl>
          <c:idx val="0"/>
          <c:delete val="1"/>
          <c:extLst>
            <c:ext xmlns:c15="http://schemas.microsoft.com/office/drawing/2012/chart" uri="{CE6537A1-D6FC-4f65-9D91-7224C49458BB}"/>
          </c:extLst>
        </c:dLbl>
      </c:pivotFmt>
      <c:pivotFmt>
        <c:idx val="159"/>
        <c:spPr>
          <a:solidFill>
            <a:srgbClr val="EEEEEE"/>
          </a:solidFill>
          <a:ln>
            <a:noFill/>
          </a:ln>
          <a:effectLst/>
        </c:spPr>
        <c:marker>
          <c:symbol val="none"/>
        </c:marker>
        <c:dLbl>
          <c:idx val="0"/>
          <c:delete val="1"/>
          <c:extLst>
            <c:ext xmlns:c15="http://schemas.microsoft.com/office/drawing/2012/chart" uri="{CE6537A1-D6FC-4f65-9D91-7224C49458BB}"/>
          </c:extLst>
        </c:dLbl>
      </c:pivotFmt>
      <c:pivotFmt>
        <c:idx val="160"/>
        <c:spPr>
          <a:solidFill>
            <a:srgbClr val="F0F0F0"/>
          </a:solidFill>
          <a:ln>
            <a:noFill/>
          </a:ln>
          <a:effectLst/>
        </c:spPr>
        <c:marker>
          <c:symbol val="none"/>
        </c:marker>
        <c:dLbl>
          <c:idx val="0"/>
          <c:delete val="1"/>
          <c:extLst>
            <c:ext xmlns:c15="http://schemas.microsoft.com/office/drawing/2012/chart" uri="{CE6537A1-D6FC-4f65-9D91-7224C49458BB}"/>
          </c:extLst>
        </c:dLbl>
      </c:pivotFmt>
      <c:pivotFmt>
        <c:idx val="161"/>
        <c:spPr>
          <a:solidFill>
            <a:srgbClr val="4B4747"/>
          </a:solidFill>
          <a:ln>
            <a:noFill/>
          </a:ln>
          <a:effectLst/>
        </c:spPr>
        <c:marker>
          <c:symbol val="none"/>
        </c:marker>
        <c:dLbl>
          <c:idx val="0"/>
          <c:delete val="1"/>
          <c:extLst>
            <c:ext xmlns:c15="http://schemas.microsoft.com/office/drawing/2012/chart" uri="{CE6537A1-D6FC-4f65-9D91-7224C49458BB}"/>
          </c:extLst>
        </c:dLbl>
      </c:pivotFmt>
      <c:pivotFmt>
        <c:idx val="162"/>
        <c:spPr>
          <a:solidFill>
            <a:schemeClr val="accent4">
              <a:lumMod val="60000"/>
            </a:schemeClr>
          </a:solidFill>
          <a:ln>
            <a:noFill/>
          </a:ln>
          <a:effectLst/>
        </c:spPr>
        <c:marker>
          <c:symbol val="none"/>
        </c:marker>
        <c:dLbl>
          <c:idx val="0"/>
          <c:delete val="1"/>
          <c:extLst>
            <c:ext xmlns:c15="http://schemas.microsoft.com/office/drawing/2012/chart" uri="{CE6537A1-D6FC-4f65-9D91-7224C49458BB}"/>
          </c:extLst>
        </c:dLbl>
      </c:pivotFmt>
      <c:pivotFmt>
        <c:idx val="163"/>
        <c:spPr>
          <a:solidFill>
            <a:srgbClr val="4BCFDD"/>
          </a:solidFill>
          <a:ln>
            <a:noFill/>
          </a:ln>
          <a:effectLst/>
        </c:spPr>
        <c:marker>
          <c:symbol val="none"/>
        </c:marker>
        <c:dLbl>
          <c:idx val="0"/>
          <c:delete val="1"/>
          <c:extLst>
            <c:ext xmlns:c15="http://schemas.microsoft.com/office/drawing/2012/chart" uri="{CE6537A1-D6FC-4f65-9D91-7224C49458BB}"/>
          </c:extLst>
        </c:dLbl>
      </c:pivotFmt>
      <c:pivotFmt>
        <c:idx val="164"/>
        <c:spPr>
          <a:solidFill>
            <a:schemeClr val="accent1">
              <a:lumMod val="40000"/>
              <a:lumOff val="60000"/>
            </a:schemeClr>
          </a:solidFill>
          <a:ln>
            <a:noFill/>
          </a:ln>
          <a:effectLst/>
        </c:spPr>
        <c:marker>
          <c:symbol val="none"/>
        </c:marker>
        <c:dLbl>
          <c:idx val="0"/>
          <c:delete val="1"/>
          <c:extLst>
            <c:ext xmlns:c15="http://schemas.microsoft.com/office/drawing/2012/chart" uri="{CE6537A1-D6FC-4f65-9D91-7224C49458BB}"/>
          </c:extLst>
        </c:dLbl>
      </c:pivotFmt>
      <c:pivotFmt>
        <c:idx val="165"/>
        <c:spPr>
          <a:solidFill>
            <a:schemeClr val="accent1">
              <a:lumMod val="80000"/>
              <a:lumOff val="20000"/>
            </a:schemeClr>
          </a:solidFill>
          <a:ln>
            <a:noFill/>
          </a:ln>
          <a:effectLst/>
        </c:spPr>
        <c:marker>
          <c:symbol val="none"/>
        </c:marker>
        <c:dLbl>
          <c:idx val="0"/>
          <c:delete val="1"/>
          <c:extLst>
            <c:ext xmlns:c15="http://schemas.microsoft.com/office/drawing/2012/chart" uri="{CE6537A1-D6FC-4f65-9D91-7224C49458BB}"/>
          </c:extLst>
        </c:dLbl>
      </c:pivotFmt>
      <c:pivotFmt>
        <c:idx val="166"/>
        <c:spPr>
          <a:solidFill>
            <a:schemeClr val="accent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67"/>
        <c:spPr>
          <a:solidFill>
            <a:schemeClr val="accent1">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68"/>
        <c:spPr>
          <a:solidFill>
            <a:schemeClr val="accent1">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69"/>
        <c:spPr>
          <a:solidFill>
            <a:srgbClr val="FFC000"/>
          </a:solidFill>
          <a:ln>
            <a:noFill/>
          </a:ln>
          <a:effectLst/>
        </c:spPr>
        <c:marker>
          <c:symbol val="none"/>
        </c:marker>
        <c:dLbl>
          <c:idx val="0"/>
          <c:delete val="1"/>
          <c:extLst>
            <c:ext xmlns:c15="http://schemas.microsoft.com/office/drawing/2012/chart" uri="{CE6537A1-D6FC-4f65-9D91-7224C49458BB}"/>
          </c:extLst>
        </c:dLbl>
      </c:pivotFmt>
      <c:pivotFmt>
        <c:idx val="170"/>
        <c:spPr>
          <a:solidFill>
            <a:srgbClr val="95F3AE"/>
          </a:solidFill>
          <a:ln>
            <a:noFill/>
          </a:ln>
          <a:effectLst/>
        </c:spPr>
        <c:marker>
          <c:symbol val="none"/>
        </c:marker>
        <c:dLbl>
          <c:idx val="0"/>
          <c:delete val="1"/>
          <c:extLst>
            <c:ext xmlns:c15="http://schemas.microsoft.com/office/drawing/2012/chart" uri="{CE6537A1-D6FC-4f65-9D91-7224C49458BB}"/>
          </c:extLst>
        </c:dLbl>
      </c:pivotFmt>
      <c:pivotFmt>
        <c:idx val="171"/>
        <c:spPr>
          <a:solidFill>
            <a:srgbClr val="5C5858"/>
          </a:solidFill>
          <a:ln>
            <a:noFill/>
          </a:ln>
          <a:effectLst/>
        </c:spPr>
        <c:marker>
          <c:symbol val="none"/>
        </c:marker>
        <c:dLbl>
          <c:idx val="0"/>
          <c:delete val="1"/>
          <c:extLst>
            <c:ext xmlns:c15="http://schemas.microsoft.com/office/drawing/2012/chart" uri="{CE6537A1-D6FC-4f65-9D91-7224C49458BB}"/>
          </c:extLst>
        </c:dLbl>
      </c:pivotFmt>
      <c:pivotFmt>
        <c:idx val="172"/>
        <c:spPr>
          <a:solidFill>
            <a:schemeClr val="bg2">
              <a:lumMod val="50000"/>
            </a:schemeClr>
          </a:solidFill>
          <a:ln>
            <a:noFill/>
          </a:ln>
          <a:effectLst/>
        </c:spPr>
        <c:marker>
          <c:symbol val="none"/>
        </c:marker>
        <c:dLbl>
          <c:idx val="0"/>
          <c:delete val="1"/>
          <c:extLst>
            <c:ext xmlns:c15="http://schemas.microsoft.com/office/drawing/2012/chart" uri="{CE6537A1-D6FC-4f65-9D91-7224C49458BB}"/>
          </c:extLst>
        </c:dLbl>
      </c:pivotFmt>
      <c:pivotFmt>
        <c:idx val="173"/>
        <c:spPr>
          <a:solidFill>
            <a:schemeClr val="bg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74"/>
        <c:spPr>
          <a:solidFill>
            <a:schemeClr val="bg2">
              <a:lumMod val="90000"/>
            </a:schemeClr>
          </a:solidFill>
          <a:ln>
            <a:noFill/>
          </a:ln>
          <a:effectLst/>
        </c:spPr>
        <c:marker>
          <c:symbol val="none"/>
        </c:marker>
        <c:dLbl>
          <c:idx val="0"/>
          <c:delete val="1"/>
          <c:extLst>
            <c:ext xmlns:c15="http://schemas.microsoft.com/office/drawing/2012/chart" uri="{CE6537A1-D6FC-4f65-9D91-7224C49458BB}"/>
          </c:extLst>
        </c:dLbl>
      </c:pivotFmt>
      <c:pivotFmt>
        <c:idx val="175"/>
        <c:spPr>
          <a:solidFill>
            <a:schemeClr val="bg2"/>
          </a:solidFill>
          <a:ln>
            <a:noFill/>
          </a:ln>
          <a:effectLst/>
        </c:spPr>
        <c:marker>
          <c:symbol val="none"/>
        </c:marker>
        <c:dLbl>
          <c:idx val="0"/>
          <c:delete val="1"/>
          <c:extLst>
            <c:ext xmlns:c15="http://schemas.microsoft.com/office/drawing/2012/chart" uri="{CE6537A1-D6FC-4f65-9D91-7224C49458BB}"/>
          </c:extLst>
        </c:dLbl>
      </c:pivotFmt>
      <c:pivotFmt>
        <c:idx val="176"/>
        <c:spPr>
          <a:solidFill>
            <a:srgbClr val="EEEEEE"/>
          </a:solidFill>
          <a:ln>
            <a:noFill/>
          </a:ln>
          <a:effectLst/>
        </c:spPr>
        <c:marker>
          <c:symbol val="none"/>
        </c:marker>
        <c:dLbl>
          <c:idx val="0"/>
          <c:delete val="1"/>
          <c:extLst>
            <c:ext xmlns:c15="http://schemas.microsoft.com/office/drawing/2012/chart" uri="{CE6537A1-D6FC-4f65-9D91-7224C49458BB}"/>
          </c:extLst>
        </c:dLbl>
      </c:pivotFmt>
      <c:pivotFmt>
        <c:idx val="177"/>
        <c:spPr>
          <a:solidFill>
            <a:srgbClr val="F0F0F0"/>
          </a:solidFill>
          <a:ln>
            <a:noFill/>
          </a:ln>
          <a:effectLst/>
        </c:spPr>
        <c:marker>
          <c:symbol val="none"/>
        </c:marker>
        <c:dLbl>
          <c:idx val="0"/>
          <c:delete val="1"/>
          <c:extLst>
            <c:ext xmlns:c15="http://schemas.microsoft.com/office/drawing/2012/chart" uri="{CE6537A1-D6FC-4f65-9D91-7224C49458BB}"/>
          </c:extLst>
        </c:dLbl>
      </c:pivotFmt>
      <c:pivotFmt>
        <c:idx val="178"/>
        <c:spPr>
          <a:solidFill>
            <a:srgbClr val="4B4747"/>
          </a:solidFill>
          <a:ln>
            <a:noFill/>
          </a:ln>
          <a:effectLst/>
        </c:spPr>
        <c:marker>
          <c:symbol val="none"/>
        </c:marker>
        <c:dLbl>
          <c:idx val="0"/>
          <c:delete val="1"/>
          <c:extLst>
            <c:ext xmlns:c15="http://schemas.microsoft.com/office/drawing/2012/chart" uri="{CE6537A1-D6FC-4f65-9D91-7224C49458BB}"/>
          </c:extLst>
        </c:dLbl>
      </c:pivotFmt>
      <c:pivotFmt>
        <c:idx val="179"/>
        <c:spPr>
          <a:solidFill>
            <a:schemeClr val="accent4">
              <a:lumMod val="60000"/>
            </a:schemeClr>
          </a:solidFill>
          <a:ln>
            <a:noFill/>
          </a:ln>
          <a:effectLst/>
        </c:spPr>
        <c:marker>
          <c:symbol val="none"/>
        </c:marker>
        <c:dLbl>
          <c:idx val="0"/>
          <c:delete val="1"/>
          <c:extLst>
            <c:ext xmlns:c15="http://schemas.microsoft.com/office/drawing/2012/chart" uri="{CE6537A1-D6FC-4f65-9D91-7224C49458BB}"/>
          </c:extLst>
        </c:dLbl>
      </c:pivotFmt>
      <c:pivotFmt>
        <c:idx val="180"/>
        <c:spPr>
          <a:solidFill>
            <a:srgbClr val="4BCFDD"/>
          </a:solidFill>
          <a:ln>
            <a:noFill/>
          </a:ln>
          <a:effectLst/>
        </c:spPr>
        <c:marker>
          <c:symbol val="none"/>
        </c:marker>
        <c:dLbl>
          <c:idx val="0"/>
          <c:delete val="1"/>
          <c:extLst>
            <c:ext xmlns:c15="http://schemas.microsoft.com/office/drawing/2012/chart" uri="{CE6537A1-D6FC-4f65-9D91-7224C49458BB}"/>
          </c:extLst>
        </c:dLbl>
      </c:pivotFmt>
      <c:pivotFmt>
        <c:idx val="181"/>
        <c:spPr>
          <a:solidFill>
            <a:schemeClr val="accent1">
              <a:lumMod val="40000"/>
              <a:lumOff val="60000"/>
            </a:schemeClr>
          </a:solidFill>
          <a:ln>
            <a:noFill/>
          </a:ln>
          <a:effectLst/>
        </c:spPr>
        <c:marker>
          <c:symbol val="none"/>
        </c:marker>
        <c:dLbl>
          <c:idx val="0"/>
          <c:delete val="1"/>
          <c:extLst>
            <c:ext xmlns:c15="http://schemas.microsoft.com/office/drawing/2012/chart" uri="{CE6537A1-D6FC-4f65-9D91-7224C49458BB}"/>
          </c:extLst>
        </c:dLbl>
      </c:pivotFmt>
      <c:pivotFmt>
        <c:idx val="182"/>
        <c:spPr>
          <a:solidFill>
            <a:schemeClr val="accent1">
              <a:lumMod val="80000"/>
              <a:lumOff val="20000"/>
            </a:schemeClr>
          </a:solidFill>
          <a:ln>
            <a:noFill/>
          </a:ln>
          <a:effectLst/>
        </c:spPr>
        <c:marker>
          <c:symbol val="none"/>
        </c:marker>
        <c:dLbl>
          <c:idx val="0"/>
          <c:delete val="1"/>
          <c:extLst>
            <c:ext xmlns:c15="http://schemas.microsoft.com/office/drawing/2012/chart" uri="{CE6537A1-D6FC-4f65-9D91-7224C49458BB}"/>
          </c:extLst>
        </c:dLbl>
      </c:pivotFmt>
      <c:pivotFmt>
        <c:idx val="183"/>
        <c:spPr>
          <a:solidFill>
            <a:schemeClr val="accent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84"/>
        <c:spPr>
          <a:solidFill>
            <a:schemeClr val="accent1">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85"/>
        <c:spPr>
          <a:solidFill>
            <a:schemeClr val="accent1">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86"/>
        <c:spPr>
          <a:solidFill>
            <a:srgbClr val="FFC000"/>
          </a:solidFill>
          <a:ln>
            <a:noFill/>
          </a:ln>
          <a:effectLst/>
        </c:spPr>
        <c:marker>
          <c:symbol val="none"/>
        </c:marker>
        <c:dLbl>
          <c:idx val="0"/>
          <c:delete val="1"/>
          <c:extLst>
            <c:ext xmlns:c15="http://schemas.microsoft.com/office/drawing/2012/chart" uri="{CE6537A1-D6FC-4f65-9D91-7224C49458BB}"/>
          </c:extLst>
        </c:dLbl>
      </c:pivotFmt>
    </c:pivotFmts>
    <c:plotArea>
      <c:layout/>
      <c:barChart>
        <c:barDir val="col"/>
        <c:grouping val="stacked"/>
        <c:varyColors val="0"/>
        <c:ser>
          <c:idx val="0"/>
          <c:order val="0"/>
          <c:tx>
            <c:strRef>
              <c:f>'PBTChart (2)'!$B$3:$B$4</c:f>
              <c:strCache>
                <c:ptCount val="1"/>
                <c:pt idx="0">
                  <c:v>BIOELEC</c:v>
                </c:pt>
              </c:strCache>
            </c:strRef>
          </c:tx>
          <c:spPr>
            <a:solidFill>
              <a:srgbClr val="95F3AE"/>
            </a:solidFill>
            <a:ln>
              <a:noFill/>
            </a:ln>
            <a:effectLst/>
          </c:spPr>
          <c:invertIfNegative val="0"/>
          <c:cat>
            <c:strRef>
              <c:f>'PBTChart (2)'!$A$5:$A$37</c:f>
              <c:strCach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strCache>
            </c:strRef>
          </c:cat>
          <c:val>
            <c:numRef>
              <c:f>'PBTChart (2)'!$B$5:$B$37</c:f>
              <c:numCache>
                <c:formatCode>General</c:formatCode>
                <c:ptCount val="32"/>
                <c:pt idx="0">
                  <c:v>0</c:v>
                </c:pt>
                <c:pt idx="1">
                  <c:v>0</c:v>
                </c:pt>
                <c:pt idx="2">
                  <c:v>0</c:v>
                </c:pt>
                <c:pt idx="3">
                  <c:v>1.6</c:v>
                </c:pt>
                <c:pt idx="4">
                  <c:v>0</c:v>
                </c:pt>
                <c:pt idx="5">
                  <c:v>0</c:v>
                </c:pt>
                <c:pt idx="6">
                  <c:v>0</c:v>
                </c:pt>
                <c:pt idx="7">
                  <c:v>2.59245914792352E-2</c:v>
                </c:pt>
                <c:pt idx="8">
                  <c:v>1.273994865978819E-2</c:v>
                </c:pt>
                <c:pt idx="9">
                  <c:v>7.8915772786219123E-3</c:v>
                </c:pt>
                <c:pt idx="10">
                  <c:v>8.0874989304463157E-3</c:v>
                </c:pt>
                <c:pt idx="11">
                  <c:v>8.285575720505773E-3</c:v>
                </c:pt>
                <c:pt idx="12">
                  <c:v>8.4858313551999954E-3</c:v>
                </c:pt>
                <c:pt idx="13">
                  <c:v>8.688289801915423E-3</c:v>
                </c:pt>
                <c:pt idx="14">
                  <c:v>8.8929752915297283E-3</c:v>
                </c:pt>
                <c:pt idx="15">
                  <c:v>9.0999123215335671E-3</c:v>
                </c:pt>
                <c:pt idx="16">
                  <c:v>9.3091256588612725E-3</c:v>
                </c:pt>
                <c:pt idx="17">
                  <c:v>9.5206403429090609E-3</c:v>
                </c:pt>
                <c:pt idx="18">
                  <c:v>9.7344816884596622E-3</c:v>
                </c:pt>
                <c:pt idx="19">
                  <c:v>9.9506752888751104E-3</c:v>
                </c:pt>
                <c:pt idx="20">
                  <c:v>1.0169247018836289E-2</c:v>
                </c:pt>
                <c:pt idx="21">
                  <c:v>1.0390223037805121E-2</c:v>
                </c:pt>
                <c:pt idx="22">
                  <c:v>7.1631919814629713E-2</c:v>
                </c:pt>
                <c:pt idx="23">
                  <c:v>7.3347766614993551E-2</c:v>
                </c:pt>
                <c:pt idx="24">
                  <c:v>7.5082487736463893E-2</c:v>
                </c:pt>
                <c:pt idx="25">
                  <c:v>7.6836290788477229E-2</c:v>
                </c:pt>
                <c:pt idx="26">
                  <c:v>7.8609385659531905E-2</c:v>
                </c:pt>
                <c:pt idx="27">
                  <c:v>8.0401984596505133E-2</c:v>
                </c:pt>
                <c:pt idx="28">
                  <c:v>8.2214302097576797E-2</c:v>
                </c:pt>
                <c:pt idx="29">
                  <c:v>8.4046555110735485E-2</c:v>
                </c:pt>
                <c:pt idx="30">
                  <c:v>8.5898962906227033E-2</c:v>
                </c:pt>
                <c:pt idx="31">
                  <c:v>8.7771747183558194E-2</c:v>
                </c:pt>
              </c:numCache>
            </c:numRef>
          </c:val>
          <c:extLst>
            <c:ext xmlns:c16="http://schemas.microsoft.com/office/drawing/2014/chart" uri="{C3380CC4-5D6E-409C-BE32-E72D297353CC}">
              <c16:uniqueId val="{00000000-FC56-4778-9E00-80EE8A370A78}"/>
            </c:ext>
          </c:extLst>
        </c:ser>
        <c:ser>
          <c:idx val="1"/>
          <c:order val="1"/>
          <c:tx>
            <c:strRef>
              <c:f>'PBTChart (2)'!$C$3:$C$4</c:f>
              <c:strCache>
                <c:ptCount val="1"/>
                <c:pt idx="0">
                  <c:v>CTAG</c:v>
                </c:pt>
              </c:strCache>
            </c:strRef>
          </c:tx>
          <c:spPr>
            <a:solidFill>
              <a:srgbClr val="5C5858"/>
            </a:solidFill>
            <a:ln>
              <a:noFill/>
            </a:ln>
            <a:effectLst/>
          </c:spPr>
          <c:invertIfNegative val="0"/>
          <c:cat>
            <c:strRef>
              <c:f>'PBTChart (2)'!$A$5:$A$37</c:f>
              <c:strCach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strCache>
            </c:strRef>
          </c:cat>
          <c:val>
            <c:numRef>
              <c:f>'PBTChart (2)'!$C$5:$C$37</c:f>
              <c:numCache>
                <c:formatCode>General</c:formatCode>
                <c:ptCount val="32"/>
                <c:pt idx="0">
                  <c:v>7.2088843199999886</c:v>
                </c:pt>
                <c:pt idx="1">
                  <c:v>7.2088843200000028</c:v>
                </c:pt>
                <c:pt idx="2">
                  <c:v>7.2088843200000028</c:v>
                </c:pt>
                <c:pt idx="3">
                  <c:v>7.2088843200000081</c:v>
                </c:pt>
                <c:pt idx="4">
                  <c:v>7.208884320000001</c:v>
                </c:pt>
                <c:pt idx="5">
                  <c:v>7.2088843200000028</c:v>
                </c:pt>
                <c:pt idx="6">
                  <c:v>7.208884320000001</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numCache>
            </c:numRef>
          </c:val>
          <c:extLst>
            <c:ext xmlns:c16="http://schemas.microsoft.com/office/drawing/2014/chart" uri="{C3380CC4-5D6E-409C-BE32-E72D297353CC}">
              <c16:uniqueId val="{00000001-FC56-4778-9E00-80EE8A370A78}"/>
            </c:ext>
          </c:extLst>
        </c:ser>
        <c:ser>
          <c:idx val="2"/>
          <c:order val="2"/>
          <c:tx>
            <c:strRef>
              <c:f>'PBTChart (2)'!$D$3:$D$4</c:f>
              <c:strCache>
                <c:ptCount val="1"/>
                <c:pt idx="0">
                  <c:v>CTAM</c:v>
                </c:pt>
              </c:strCache>
            </c:strRef>
          </c:tx>
          <c:spPr>
            <a:solidFill>
              <a:schemeClr val="bg2">
                <a:lumMod val="50000"/>
              </a:schemeClr>
            </a:solidFill>
            <a:ln>
              <a:noFill/>
            </a:ln>
            <a:effectLst/>
          </c:spPr>
          <c:invertIfNegative val="0"/>
          <c:cat>
            <c:strRef>
              <c:f>'PBTChart (2)'!$A$5:$A$37</c:f>
              <c:strCach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strCache>
            </c:strRef>
          </c:cat>
          <c:val>
            <c:numRef>
              <c:f>'PBTChart (2)'!$D$5:$D$37</c:f>
              <c:numCache>
                <c:formatCode>General</c:formatCode>
                <c:ptCount val="32"/>
                <c:pt idx="0">
                  <c:v>5.6821248000000084</c:v>
                </c:pt>
                <c:pt idx="1">
                  <c:v>5.682124799999996</c:v>
                </c:pt>
                <c:pt idx="2">
                  <c:v>5.6821247999999906</c:v>
                </c:pt>
                <c:pt idx="3">
                  <c:v>5.6821247999999969</c:v>
                </c:pt>
                <c:pt idx="4">
                  <c:v>5.682124799999996</c:v>
                </c:pt>
                <c:pt idx="5">
                  <c:v>5.682124799999996</c:v>
                </c:pt>
                <c:pt idx="6">
                  <c:v>5.682124799999996</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numCache>
            </c:numRef>
          </c:val>
          <c:extLst>
            <c:ext xmlns:c16="http://schemas.microsoft.com/office/drawing/2014/chart" uri="{C3380CC4-5D6E-409C-BE32-E72D297353CC}">
              <c16:uniqueId val="{00000002-FC56-4778-9E00-80EE8A370A78}"/>
            </c:ext>
          </c:extLst>
        </c:ser>
        <c:ser>
          <c:idx val="3"/>
          <c:order val="3"/>
          <c:tx>
            <c:strRef>
              <c:f>'PBTChart (2)'!$E$3:$E$4</c:f>
              <c:strCache>
                <c:ptCount val="1"/>
                <c:pt idx="0">
                  <c:v>CTCM</c:v>
                </c:pt>
              </c:strCache>
            </c:strRef>
          </c:tx>
          <c:spPr>
            <a:solidFill>
              <a:schemeClr val="bg2">
                <a:lumMod val="75000"/>
              </a:schemeClr>
            </a:solidFill>
            <a:ln>
              <a:noFill/>
            </a:ln>
            <a:effectLst/>
          </c:spPr>
          <c:invertIfNegative val="0"/>
          <c:cat>
            <c:strRef>
              <c:f>'PBTChart (2)'!$A$5:$A$37</c:f>
              <c:strCach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strCache>
            </c:strRef>
          </c:cat>
          <c:val>
            <c:numRef>
              <c:f>'PBTChart (2)'!$E$5:$E$37</c:f>
              <c:numCache>
                <c:formatCode>General</c:formatCode>
                <c:ptCount val="32"/>
                <c:pt idx="0">
                  <c:v>9.1549497600000009</c:v>
                </c:pt>
                <c:pt idx="1">
                  <c:v>9.1549497600000009</c:v>
                </c:pt>
                <c:pt idx="2">
                  <c:v>9.1549497600000009</c:v>
                </c:pt>
                <c:pt idx="3">
                  <c:v>9.1549497599999992</c:v>
                </c:pt>
                <c:pt idx="4">
                  <c:v>8.3143633500417966</c:v>
                </c:pt>
                <c:pt idx="5">
                  <c:v>8.949464765666459</c:v>
                </c:pt>
                <c:pt idx="6">
                  <c:v>8.9541253694389891</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numCache>
            </c:numRef>
          </c:val>
          <c:extLst>
            <c:ext xmlns:c16="http://schemas.microsoft.com/office/drawing/2014/chart" uri="{C3380CC4-5D6E-409C-BE32-E72D297353CC}">
              <c16:uniqueId val="{00000003-FC56-4778-9E00-80EE8A370A78}"/>
            </c:ext>
          </c:extLst>
        </c:ser>
        <c:ser>
          <c:idx val="4"/>
          <c:order val="4"/>
          <c:tx>
            <c:strRef>
              <c:f>'PBTChart (2)'!$F$3:$F$4</c:f>
              <c:strCache>
                <c:ptCount val="1"/>
                <c:pt idx="0">
                  <c:v>CTDO</c:v>
                </c:pt>
              </c:strCache>
            </c:strRef>
          </c:tx>
          <c:spPr>
            <a:solidFill>
              <a:schemeClr val="bg2">
                <a:lumMod val="90000"/>
              </a:schemeClr>
            </a:solidFill>
            <a:ln>
              <a:noFill/>
            </a:ln>
            <a:effectLst/>
          </c:spPr>
          <c:invertIfNegative val="0"/>
          <c:cat>
            <c:strRef>
              <c:f>'PBTChart (2)'!$A$5:$A$37</c:f>
              <c:strCach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strCache>
            </c:strRef>
          </c:cat>
          <c:val>
            <c:numRef>
              <c:f>'PBTChart (2)'!$F$5:$F$37</c:f>
              <c:numCache>
                <c:formatCode>General</c:formatCode>
                <c:ptCount val="32"/>
                <c:pt idx="0">
                  <c:v>7.4017152000000044</c:v>
                </c:pt>
                <c:pt idx="1">
                  <c:v>7.4017152000000044</c:v>
                </c:pt>
                <c:pt idx="2">
                  <c:v>7.4017151999999982</c:v>
                </c:pt>
                <c:pt idx="3">
                  <c:v>7.4017152000000017</c:v>
                </c:pt>
                <c:pt idx="4">
                  <c:v>7.4017151999999991</c:v>
                </c:pt>
                <c:pt idx="5">
                  <c:v>7.4017151999999982</c:v>
                </c:pt>
                <c:pt idx="6">
                  <c:v>7.4017151999999991</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numCache>
            </c:numRef>
          </c:val>
          <c:extLst>
            <c:ext xmlns:c16="http://schemas.microsoft.com/office/drawing/2014/chart" uri="{C3380CC4-5D6E-409C-BE32-E72D297353CC}">
              <c16:uniqueId val="{00000004-FC56-4778-9E00-80EE8A370A78}"/>
            </c:ext>
          </c:extLst>
        </c:ser>
        <c:ser>
          <c:idx val="5"/>
          <c:order val="5"/>
          <c:tx>
            <c:strRef>
              <c:f>'PBTChart (2)'!$G$3:$G$4</c:f>
              <c:strCache>
                <c:ptCount val="1"/>
                <c:pt idx="0">
                  <c:v>CTEG</c:v>
                </c:pt>
              </c:strCache>
            </c:strRef>
          </c:tx>
          <c:spPr>
            <a:solidFill>
              <a:schemeClr val="bg2"/>
            </a:solidFill>
            <a:ln>
              <a:noFill/>
            </a:ln>
            <a:effectLst/>
          </c:spPr>
          <c:invertIfNegative val="0"/>
          <c:cat>
            <c:strRef>
              <c:f>'PBTChart (2)'!$A$5:$A$37</c:f>
              <c:strCach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strCache>
            </c:strRef>
          </c:cat>
          <c:val>
            <c:numRef>
              <c:f>'PBTChart (2)'!$G$5:$G$37</c:f>
              <c:numCache>
                <c:formatCode>General</c:formatCode>
                <c:ptCount val="32"/>
                <c:pt idx="0">
                  <c:v>6.3550079999999642</c:v>
                </c:pt>
                <c:pt idx="1">
                  <c:v>6.3550079999999944</c:v>
                </c:pt>
                <c:pt idx="2">
                  <c:v>6.3550079999999971</c:v>
                </c:pt>
                <c:pt idx="3">
                  <c:v>6.3550080000000104</c:v>
                </c:pt>
                <c:pt idx="4">
                  <c:v>0</c:v>
                </c:pt>
                <c:pt idx="5">
                  <c:v>0.59046131416868486</c:v>
                </c:pt>
                <c:pt idx="6">
                  <c:v>0.91086996201304193</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numCache>
            </c:numRef>
          </c:val>
          <c:extLst>
            <c:ext xmlns:c16="http://schemas.microsoft.com/office/drawing/2014/chart" uri="{C3380CC4-5D6E-409C-BE32-E72D297353CC}">
              <c16:uniqueId val="{00000005-FC56-4778-9E00-80EE8A370A78}"/>
            </c:ext>
          </c:extLst>
        </c:ser>
        <c:ser>
          <c:idx val="6"/>
          <c:order val="6"/>
          <c:tx>
            <c:strRef>
              <c:f>'PBTChart (2)'!$H$3:$H$4</c:f>
              <c:strCache>
                <c:ptCount val="1"/>
                <c:pt idx="0">
                  <c:v>CTLR</c:v>
                </c:pt>
              </c:strCache>
            </c:strRef>
          </c:tx>
          <c:spPr>
            <a:solidFill>
              <a:srgbClr val="EEEEEE"/>
            </a:solidFill>
            <a:ln>
              <a:noFill/>
            </a:ln>
            <a:effectLst/>
          </c:spPr>
          <c:invertIfNegative val="0"/>
          <c:cat>
            <c:strRef>
              <c:f>'PBTChart (2)'!$A$5:$A$37</c:f>
              <c:strCach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strCache>
            </c:strRef>
          </c:cat>
          <c:val>
            <c:numRef>
              <c:f>'PBTChart (2)'!$H$5:$H$37</c:f>
              <c:numCache>
                <c:formatCode>General</c:formatCode>
                <c:ptCount val="32"/>
                <c:pt idx="0">
                  <c:v>5.7631200000000202</c:v>
                </c:pt>
                <c:pt idx="1">
                  <c:v>5.763119999999998</c:v>
                </c:pt>
                <c:pt idx="2">
                  <c:v>5.7631200000000051</c:v>
                </c:pt>
                <c:pt idx="3">
                  <c:v>5.7631199999999998</c:v>
                </c:pt>
                <c:pt idx="4">
                  <c:v>5.7631199999999962</c:v>
                </c:pt>
                <c:pt idx="5">
                  <c:v>5.7631199999999962</c:v>
                </c:pt>
                <c:pt idx="6">
                  <c:v>5.7631199999999962</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numCache>
            </c:numRef>
          </c:val>
          <c:extLst>
            <c:ext xmlns:c16="http://schemas.microsoft.com/office/drawing/2014/chart" uri="{C3380CC4-5D6E-409C-BE32-E72D297353CC}">
              <c16:uniqueId val="{00000006-FC56-4778-9E00-80EE8A370A78}"/>
            </c:ext>
          </c:extLst>
        </c:ser>
        <c:ser>
          <c:idx val="7"/>
          <c:order val="7"/>
          <c:tx>
            <c:strRef>
              <c:f>'PBTChart (2)'!$I$3:$I$4</c:f>
              <c:strCache>
                <c:ptCount val="1"/>
                <c:pt idx="0">
                  <c:v>CTMG</c:v>
                </c:pt>
              </c:strCache>
            </c:strRef>
          </c:tx>
          <c:spPr>
            <a:solidFill>
              <a:srgbClr val="F0F0F0"/>
            </a:solidFill>
            <a:ln>
              <a:noFill/>
            </a:ln>
            <a:effectLst/>
          </c:spPr>
          <c:invertIfNegative val="0"/>
          <c:cat>
            <c:strRef>
              <c:f>'PBTChart (2)'!$A$5:$A$37</c:f>
              <c:strCach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strCache>
            </c:strRef>
          </c:cat>
          <c:val>
            <c:numRef>
              <c:f>'PBTChart (2)'!$I$5:$I$37</c:f>
              <c:numCache>
                <c:formatCode>General</c:formatCode>
                <c:ptCount val="32"/>
                <c:pt idx="0">
                  <c:v>6.1400591999999747</c:v>
                </c:pt>
                <c:pt idx="1">
                  <c:v>6.1400591999999996</c:v>
                </c:pt>
                <c:pt idx="2">
                  <c:v>6.1400592000000058</c:v>
                </c:pt>
                <c:pt idx="3">
                  <c:v>6.1400591999999996</c:v>
                </c:pt>
                <c:pt idx="4">
                  <c:v>0</c:v>
                </c:pt>
                <c:pt idx="5">
                  <c:v>0.47948376158908979</c:v>
                </c:pt>
                <c:pt idx="6">
                  <c:v>1.0588075858435411</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numCache>
            </c:numRef>
          </c:val>
          <c:extLst>
            <c:ext xmlns:c16="http://schemas.microsoft.com/office/drawing/2014/chart" uri="{C3380CC4-5D6E-409C-BE32-E72D297353CC}">
              <c16:uniqueId val="{00000007-FC56-4778-9E00-80EE8A370A78}"/>
            </c:ext>
          </c:extLst>
        </c:ser>
        <c:ser>
          <c:idx val="8"/>
          <c:order val="8"/>
          <c:tx>
            <c:strRef>
              <c:f>'PBTChart (2)'!$J$3:$J$4</c:f>
              <c:strCache>
                <c:ptCount val="1"/>
                <c:pt idx="0">
                  <c:v>CTNUE</c:v>
                </c:pt>
              </c:strCache>
            </c:strRef>
          </c:tx>
          <c:spPr>
            <a:solidFill>
              <a:srgbClr val="4B4747"/>
            </a:solidFill>
            <a:ln>
              <a:noFill/>
            </a:ln>
            <a:effectLst/>
          </c:spPr>
          <c:invertIfNegative val="0"/>
          <c:cat>
            <c:strRef>
              <c:f>'PBTChart (2)'!$A$5:$A$37</c:f>
              <c:strCach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strCache>
            </c:strRef>
          </c:cat>
          <c:val>
            <c:numRef>
              <c:f>'PBTChart (2)'!$J$5:$J$37</c:f>
              <c:numCache>
                <c:formatCode>General</c:formatCode>
                <c:ptCount val="32"/>
                <c:pt idx="0">
                  <c:v>0</c:v>
                </c:pt>
                <c:pt idx="1">
                  <c:v>0</c:v>
                </c:pt>
                <c:pt idx="2">
                  <c:v>0</c:v>
                </c:pt>
                <c:pt idx="3">
                  <c:v>0</c:v>
                </c:pt>
                <c:pt idx="4">
                  <c:v>0</c:v>
                </c:pt>
                <c:pt idx="5">
                  <c:v>0</c:v>
                </c:pt>
                <c:pt idx="6">
                  <c:v>0</c:v>
                </c:pt>
                <c:pt idx="7">
                  <c:v>37.827911419981447</c:v>
                </c:pt>
                <c:pt idx="8">
                  <c:v>38.381567578931602</c:v>
                </c:pt>
                <c:pt idx="9">
                  <c:v>38.944948799299858</c:v>
                </c:pt>
                <c:pt idx="10">
                  <c:v>39.516711909394211</c:v>
                </c:pt>
                <c:pt idx="11">
                  <c:v>40.094764414281457</c:v>
                </c:pt>
                <c:pt idx="12">
                  <c:v>40.679175496200209</c:v>
                </c:pt>
                <c:pt idx="13">
                  <c:v>41.270015100328493</c:v>
                </c:pt>
                <c:pt idx="14">
                  <c:v>41.867353940036317</c:v>
                </c:pt>
                <c:pt idx="15">
                  <c:v>42.471263506927663</c:v>
                </c:pt>
                <c:pt idx="16">
                  <c:v>43.081816079078393</c:v>
                </c:pt>
                <c:pt idx="17">
                  <c:v>43.69908472948493</c:v>
                </c:pt>
                <c:pt idx="18">
                  <c:v>44.323143335122523</c:v>
                </c:pt>
                <c:pt idx="19">
                  <c:v>44.954066585700822</c:v>
                </c:pt>
                <c:pt idx="20">
                  <c:v>45.591929991650119</c:v>
                </c:pt>
                <c:pt idx="21">
                  <c:v>46.236809895030063</c:v>
                </c:pt>
                <c:pt idx="22">
                  <c:v>46.896686002292697</c:v>
                </c:pt>
                <c:pt idx="23">
                  <c:v>47.555831939887291</c:v>
                </c:pt>
                <c:pt idx="24">
                  <c:v>48.222228483231433</c:v>
                </c:pt>
                <c:pt idx="25">
                  <c:v>48.895955388174571</c:v>
                </c:pt>
                <c:pt idx="26">
                  <c:v>49.577093289463448</c:v>
                </c:pt>
                <c:pt idx="27">
                  <c:v>50.265723707371698</c:v>
                </c:pt>
                <c:pt idx="28">
                  <c:v>50.961929059936743</c:v>
                </c:pt>
                <c:pt idx="29">
                  <c:v>51.665792671523022</c:v>
                </c:pt>
                <c:pt idx="30">
                  <c:v>52.377398782850221</c:v>
                </c:pt>
                <c:pt idx="31">
                  <c:v>53.096832561060793</c:v>
                </c:pt>
              </c:numCache>
            </c:numRef>
          </c:val>
          <c:extLst>
            <c:ext xmlns:c16="http://schemas.microsoft.com/office/drawing/2014/chart" uri="{C3380CC4-5D6E-409C-BE32-E72D297353CC}">
              <c16:uniqueId val="{00000008-FC56-4778-9E00-80EE8A370A78}"/>
            </c:ext>
          </c:extLst>
        </c:ser>
        <c:ser>
          <c:idx val="9"/>
          <c:order val="9"/>
          <c:tx>
            <c:strRef>
              <c:f>'PBTChart (2)'!$K$3:$K$4</c:f>
              <c:strCache>
                <c:ptCount val="1"/>
                <c:pt idx="0">
                  <c:v>CTOP</c:v>
                </c:pt>
              </c:strCache>
            </c:strRef>
          </c:tx>
          <c:spPr>
            <a:solidFill>
              <a:schemeClr val="accent4">
                <a:lumMod val="60000"/>
              </a:schemeClr>
            </a:solidFill>
            <a:ln>
              <a:noFill/>
            </a:ln>
            <a:effectLst/>
          </c:spPr>
          <c:invertIfNegative val="0"/>
          <c:cat>
            <c:strRef>
              <c:f>'PBTChart (2)'!$A$5:$A$37</c:f>
              <c:strCach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strCache>
            </c:strRef>
          </c:cat>
          <c:val>
            <c:numRef>
              <c:f>'PBTChart (2)'!$K$5:$K$37</c:f>
              <c:numCache>
                <c:formatCode>General</c:formatCode>
                <c:ptCount val="32"/>
                <c:pt idx="0">
                  <c:v>0.99063359999999934</c:v>
                </c:pt>
                <c:pt idx="1">
                  <c:v>0.99063359999999967</c:v>
                </c:pt>
                <c:pt idx="2">
                  <c:v>0.9906336</c:v>
                </c:pt>
                <c:pt idx="3">
                  <c:v>0.99063360000000045</c:v>
                </c:pt>
                <c:pt idx="4">
                  <c:v>0</c:v>
                </c:pt>
                <c:pt idx="5">
                  <c:v>0.1062581917808219</c:v>
                </c:pt>
                <c:pt idx="6">
                  <c:v>0.33133570320358768</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numCache>
            </c:numRef>
          </c:val>
          <c:extLst>
            <c:ext xmlns:c16="http://schemas.microsoft.com/office/drawing/2014/chart" uri="{C3380CC4-5D6E-409C-BE32-E72D297353CC}">
              <c16:uniqueId val="{00000009-FC56-4778-9E00-80EE8A370A78}"/>
            </c:ext>
          </c:extLst>
        </c:ser>
        <c:ser>
          <c:idx val="10"/>
          <c:order val="10"/>
          <c:tx>
            <c:strRef>
              <c:f>'PBTChart (2)'!$L$3:$L$4</c:f>
              <c:strCache>
                <c:ptCount val="1"/>
                <c:pt idx="0">
                  <c:v>EOLICA</c:v>
                </c:pt>
              </c:strCache>
            </c:strRef>
          </c:tx>
          <c:spPr>
            <a:solidFill>
              <a:srgbClr val="4BCFDD"/>
            </a:solidFill>
            <a:ln>
              <a:noFill/>
            </a:ln>
            <a:effectLst/>
          </c:spPr>
          <c:invertIfNegative val="0"/>
          <c:cat>
            <c:strRef>
              <c:f>'PBTChart (2)'!$A$5:$A$37</c:f>
              <c:strCach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strCache>
            </c:strRef>
          </c:cat>
          <c:val>
            <c:numRef>
              <c:f>'PBTChart (2)'!$L$5:$L$37</c:f>
              <c:numCache>
                <c:formatCode>General</c:formatCode>
                <c:ptCount val="32"/>
                <c:pt idx="0">
                  <c:v>0.1117458879054771</c:v>
                </c:pt>
                <c:pt idx="1">
                  <c:v>0.1117458879054995</c:v>
                </c:pt>
                <c:pt idx="2">
                  <c:v>0.1117458879054936</c:v>
                </c:pt>
                <c:pt idx="3">
                  <c:v>0.11174588790549871</c:v>
                </c:pt>
                <c:pt idx="4">
                  <c:v>8.0000000000000053</c:v>
                </c:pt>
                <c:pt idx="5">
                  <c:v>8.0000000000000018</c:v>
                </c:pt>
                <c:pt idx="6">
                  <c:v>8.0000000000000018</c:v>
                </c:pt>
                <c:pt idx="7">
                  <c:v>8.0000000000000018</c:v>
                </c:pt>
                <c:pt idx="8">
                  <c:v>8.0000000000000018</c:v>
                </c:pt>
                <c:pt idx="9">
                  <c:v>8.0000000000000018</c:v>
                </c:pt>
                <c:pt idx="10">
                  <c:v>8.0000000000000036</c:v>
                </c:pt>
                <c:pt idx="11">
                  <c:v>8.0000000000000018</c:v>
                </c:pt>
                <c:pt idx="12">
                  <c:v>7.9999999999999991</c:v>
                </c:pt>
                <c:pt idx="13">
                  <c:v>8</c:v>
                </c:pt>
                <c:pt idx="14">
                  <c:v>8.0000000000000036</c:v>
                </c:pt>
                <c:pt idx="15">
                  <c:v>8.0000000000000018</c:v>
                </c:pt>
                <c:pt idx="16">
                  <c:v>8</c:v>
                </c:pt>
                <c:pt idx="17">
                  <c:v>8.0000000000000018</c:v>
                </c:pt>
                <c:pt idx="18">
                  <c:v>8</c:v>
                </c:pt>
                <c:pt idx="19">
                  <c:v>8</c:v>
                </c:pt>
                <c:pt idx="20">
                  <c:v>8</c:v>
                </c:pt>
                <c:pt idx="21">
                  <c:v>8.0000000000000053</c:v>
                </c:pt>
                <c:pt idx="22">
                  <c:v>8.0000000000000018</c:v>
                </c:pt>
                <c:pt idx="23">
                  <c:v>8.0000000000000036</c:v>
                </c:pt>
                <c:pt idx="24">
                  <c:v>7.9999999999999982</c:v>
                </c:pt>
                <c:pt idx="25">
                  <c:v>8</c:v>
                </c:pt>
                <c:pt idx="26">
                  <c:v>8</c:v>
                </c:pt>
                <c:pt idx="27">
                  <c:v>8.0000000000000018</c:v>
                </c:pt>
                <c:pt idx="28">
                  <c:v>8</c:v>
                </c:pt>
                <c:pt idx="29">
                  <c:v>8</c:v>
                </c:pt>
                <c:pt idx="30">
                  <c:v>8</c:v>
                </c:pt>
                <c:pt idx="31">
                  <c:v>8.0000000000000018</c:v>
                </c:pt>
              </c:numCache>
            </c:numRef>
          </c:val>
          <c:extLst>
            <c:ext xmlns:c16="http://schemas.microsoft.com/office/drawing/2014/chart" uri="{C3380CC4-5D6E-409C-BE32-E72D297353CC}">
              <c16:uniqueId val="{0000000A-FC56-4778-9E00-80EE8A370A78}"/>
            </c:ext>
          </c:extLst>
        </c:ser>
        <c:ser>
          <c:idx val="11"/>
          <c:order val="11"/>
          <c:tx>
            <c:strRef>
              <c:f>'PBTChart (2)'!$M$3:$M$4</c:f>
              <c:strCache>
                <c:ptCount val="1"/>
                <c:pt idx="0">
                  <c:v>GEDIESEL</c:v>
                </c:pt>
              </c:strCache>
            </c:strRef>
          </c:tx>
          <c:spPr>
            <a:solidFill>
              <a:schemeClr val="accent1">
                <a:lumMod val="40000"/>
                <a:lumOff val="60000"/>
              </a:schemeClr>
            </a:solidFill>
            <a:ln>
              <a:noFill/>
            </a:ln>
            <a:effectLst/>
          </c:spPr>
          <c:invertIfNegative val="0"/>
          <c:cat>
            <c:strRef>
              <c:f>'PBTChart (2)'!$A$5:$A$37</c:f>
              <c:strCach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strCache>
            </c:strRef>
          </c:cat>
          <c:val>
            <c:numRef>
              <c:f>'PBTChart (2)'!$M$5:$M$37</c:f>
              <c:numCache>
                <c:formatCode>General</c:formatCode>
                <c:ptCount val="32"/>
                <c:pt idx="0">
                  <c:v>10.9375</c:v>
                </c:pt>
                <c:pt idx="1">
                  <c:v>9.2278850617873545</c:v>
                </c:pt>
                <c:pt idx="2">
                  <c:v>10.937499999999879</c:v>
                </c:pt>
                <c:pt idx="3">
                  <c:v>9.5123218375391935E-2</c:v>
                </c:pt>
                <c:pt idx="4">
                  <c:v>0</c:v>
                </c:pt>
                <c:pt idx="5">
                  <c:v>0</c:v>
                </c:pt>
                <c:pt idx="6">
                  <c:v>7.1705103937395077E-3</c:v>
                </c:pt>
                <c:pt idx="7">
                  <c:v>2.2100070864190281E-2</c:v>
                </c:pt>
                <c:pt idx="8">
                  <c:v>4.2474139291754941E-2</c:v>
                </c:pt>
                <c:pt idx="9">
                  <c:v>5.0956176039740057E-2</c:v>
                </c:pt>
                <c:pt idx="10">
                  <c:v>5.2249193584581938E-2</c:v>
                </c:pt>
                <c:pt idx="11">
                  <c:v>5.3556434335708891E-2</c:v>
                </c:pt>
                <c:pt idx="12">
                  <c:v>5.4878054728705189E-2</c:v>
                </c:pt>
                <c:pt idx="13">
                  <c:v>5.6214212935456413E-2</c:v>
                </c:pt>
                <c:pt idx="14">
                  <c:v>5.7565068892222133E-2</c:v>
                </c:pt>
                <c:pt idx="15">
                  <c:v>5.8930784265698533E-2</c:v>
                </c:pt>
                <c:pt idx="16">
                  <c:v>6.0311522507159758E-2</c:v>
                </c:pt>
                <c:pt idx="17">
                  <c:v>6.1707448868075457E-2</c:v>
                </c:pt>
                <c:pt idx="18">
                  <c:v>6.3118730426508313E-2</c:v>
                </c:pt>
                <c:pt idx="19">
                  <c:v>6.4545536075110072E-2</c:v>
                </c:pt>
                <c:pt idx="20">
                  <c:v>6.5988036574848169E-2</c:v>
                </c:pt>
                <c:pt idx="21">
                  <c:v>6.7446404604300958E-2</c:v>
                </c:pt>
                <c:pt idx="22">
                  <c:v>0</c:v>
                </c:pt>
                <c:pt idx="23">
                  <c:v>0</c:v>
                </c:pt>
                <c:pt idx="24">
                  <c:v>0</c:v>
                </c:pt>
                <c:pt idx="25">
                  <c:v>0</c:v>
                </c:pt>
                <c:pt idx="26">
                  <c:v>0</c:v>
                </c:pt>
                <c:pt idx="27">
                  <c:v>0</c:v>
                </c:pt>
                <c:pt idx="28">
                  <c:v>0</c:v>
                </c:pt>
                <c:pt idx="29">
                  <c:v>0</c:v>
                </c:pt>
                <c:pt idx="30">
                  <c:v>0</c:v>
                </c:pt>
                <c:pt idx="31">
                  <c:v>0</c:v>
                </c:pt>
              </c:numCache>
            </c:numRef>
          </c:val>
          <c:extLst>
            <c:ext xmlns:c16="http://schemas.microsoft.com/office/drawing/2014/chart" uri="{C3380CC4-5D6E-409C-BE32-E72D297353CC}">
              <c16:uniqueId val="{0000000B-FC56-4778-9E00-80EE8A370A78}"/>
            </c:ext>
          </c:extLst>
        </c:ser>
        <c:ser>
          <c:idx val="12"/>
          <c:order val="12"/>
          <c:tx>
            <c:strRef>
              <c:f>'PBTChart (2)'!$N$3:$N$4</c:f>
              <c:strCache>
                <c:ptCount val="1"/>
                <c:pt idx="0">
                  <c:v>GEFUEL</c:v>
                </c:pt>
              </c:strCache>
            </c:strRef>
          </c:tx>
          <c:spPr>
            <a:solidFill>
              <a:schemeClr val="accent1">
                <a:lumMod val="80000"/>
                <a:lumOff val="20000"/>
              </a:schemeClr>
            </a:solidFill>
            <a:ln>
              <a:noFill/>
            </a:ln>
            <a:effectLst/>
          </c:spPr>
          <c:invertIfNegative val="0"/>
          <c:cat>
            <c:strRef>
              <c:f>'PBTChart (2)'!$A$5:$A$37</c:f>
              <c:strCach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strCache>
            </c:strRef>
          </c:cat>
          <c:val>
            <c:numRef>
              <c:f>'PBTChart (2)'!$N$5:$N$37</c:f>
              <c:numCache>
                <c:formatCode>General</c:formatCode>
                <c:ptCount val="3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numCache>
            </c:numRef>
          </c:val>
          <c:extLst>
            <c:ext xmlns:c16="http://schemas.microsoft.com/office/drawing/2014/chart" uri="{C3380CC4-5D6E-409C-BE32-E72D297353CC}">
              <c16:uniqueId val="{0000000C-FC56-4778-9E00-80EE8A370A78}"/>
            </c:ext>
          </c:extLst>
        </c:ser>
        <c:ser>
          <c:idx val="13"/>
          <c:order val="13"/>
          <c:tx>
            <c:strRef>
              <c:f>'PBTChart (2)'!$O$3:$O$4</c:f>
              <c:strCache>
                <c:ptCount val="1"/>
                <c:pt idx="0">
                  <c:v>GMOVIL</c:v>
                </c:pt>
              </c:strCache>
            </c:strRef>
          </c:tx>
          <c:spPr>
            <a:solidFill>
              <a:schemeClr val="accent2">
                <a:lumMod val="75000"/>
              </a:schemeClr>
            </a:solidFill>
            <a:ln>
              <a:noFill/>
            </a:ln>
            <a:effectLst/>
          </c:spPr>
          <c:invertIfNegative val="0"/>
          <c:cat>
            <c:strRef>
              <c:f>'PBTChart (2)'!$A$5:$A$37</c:f>
              <c:strCach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strCache>
            </c:strRef>
          </c:cat>
          <c:val>
            <c:numRef>
              <c:f>'PBTChart (2)'!$O$5:$O$37</c:f>
              <c:numCache>
                <c:formatCode>General</c:formatCode>
                <c:ptCount val="32"/>
                <c:pt idx="0">
                  <c:v>1.471603534514667</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numCache>
            </c:numRef>
          </c:val>
          <c:extLst>
            <c:ext xmlns:c16="http://schemas.microsoft.com/office/drawing/2014/chart" uri="{C3380CC4-5D6E-409C-BE32-E72D297353CC}">
              <c16:uniqueId val="{0000000D-FC56-4778-9E00-80EE8A370A78}"/>
            </c:ext>
          </c:extLst>
        </c:ser>
        <c:ser>
          <c:idx val="14"/>
          <c:order val="14"/>
          <c:tx>
            <c:strRef>
              <c:f>'PBTChart (2)'!$P$3:$P$4</c:f>
              <c:strCache>
                <c:ptCount val="1"/>
                <c:pt idx="0">
                  <c:v>NGBJ</c:v>
                </c:pt>
              </c:strCache>
            </c:strRef>
          </c:tx>
          <c:spPr>
            <a:solidFill>
              <a:schemeClr val="accent1">
                <a:lumMod val="75000"/>
              </a:schemeClr>
            </a:solidFill>
            <a:ln>
              <a:noFill/>
            </a:ln>
            <a:effectLst/>
          </c:spPr>
          <c:invertIfNegative val="0"/>
          <c:cat>
            <c:strRef>
              <c:f>'PBTChart (2)'!$A$5:$A$37</c:f>
              <c:strCach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strCache>
            </c:strRef>
          </c:cat>
          <c:val>
            <c:numRef>
              <c:f>'PBTChart (2)'!$P$5:$P$37</c:f>
              <c:numCache>
                <c:formatCode>General</c:formatCode>
                <c:ptCount val="32"/>
                <c:pt idx="0">
                  <c:v>6.9905087999999953</c:v>
                </c:pt>
                <c:pt idx="1">
                  <c:v>5.4819693497872146</c:v>
                </c:pt>
                <c:pt idx="2">
                  <c:v>6.9885492159835101</c:v>
                </c:pt>
                <c:pt idx="3">
                  <c:v>5.4124446081977426</c:v>
                </c:pt>
                <c:pt idx="4">
                  <c:v>5.3474185615450383</c:v>
                </c:pt>
                <c:pt idx="5">
                  <c:v>5.5001290550838657</c:v>
                </c:pt>
                <c:pt idx="6">
                  <c:v>5.6125764584027431</c:v>
                </c:pt>
                <c:pt idx="7">
                  <c:v>7.3204767941862361</c:v>
                </c:pt>
                <c:pt idx="8">
                  <c:v>6.8742652286332531</c:v>
                </c:pt>
                <c:pt idx="9">
                  <c:v>6.9243363114659413</c:v>
                </c:pt>
                <c:pt idx="10">
                  <c:v>7.4300725805916992</c:v>
                </c:pt>
                <c:pt idx="11">
                  <c:v>7.1525938868283019</c:v>
                </c:pt>
                <c:pt idx="12">
                  <c:v>7.1060924781133989</c:v>
                </c:pt>
                <c:pt idx="13">
                  <c:v>6.2951121557987193</c:v>
                </c:pt>
                <c:pt idx="14">
                  <c:v>7.3802643621356836</c:v>
                </c:pt>
                <c:pt idx="15">
                  <c:v>6.9492254103901336</c:v>
                </c:pt>
                <c:pt idx="16">
                  <c:v>6.7992563367875221</c:v>
                </c:pt>
                <c:pt idx="17">
                  <c:v>6.7043606516294014</c:v>
                </c:pt>
                <c:pt idx="18">
                  <c:v>6.350692228399569</c:v>
                </c:pt>
                <c:pt idx="19">
                  <c:v>7.2461833759024774</c:v>
                </c:pt>
                <c:pt idx="20">
                  <c:v>7.3742568693387227</c:v>
                </c:pt>
                <c:pt idx="21">
                  <c:v>6.8310541686115593</c:v>
                </c:pt>
                <c:pt idx="22">
                  <c:v>3.5261781809491421</c:v>
                </c:pt>
                <c:pt idx="23">
                  <c:v>5.2890242554671127</c:v>
                </c:pt>
                <c:pt idx="24">
                  <c:v>3.9441926720324818</c:v>
                </c:pt>
                <c:pt idx="25">
                  <c:v>5.6105497334615597</c:v>
                </c:pt>
                <c:pt idx="26">
                  <c:v>2.7143468667948998</c:v>
                </c:pt>
                <c:pt idx="27">
                  <c:v>3.411312706632764</c:v>
                </c:pt>
                <c:pt idx="28">
                  <c:v>4.7114388339696038</c:v>
                </c:pt>
                <c:pt idx="29">
                  <c:v>3.4845786685996312</c:v>
                </c:pt>
                <c:pt idx="30">
                  <c:v>5.3454171678990567</c:v>
                </c:pt>
                <c:pt idx="31">
                  <c:v>5.2343677554791812</c:v>
                </c:pt>
              </c:numCache>
            </c:numRef>
          </c:val>
          <c:extLst>
            <c:ext xmlns:c16="http://schemas.microsoft.com/office/drawing/2014/chart" uri="{C3380CC4-5D6E-409C-BE32-E72D297353CC}">
              <c16:uniqueId val="{0000000E-FC56-4778-9E00-80EE8A370A78}"/>
            </c:ext>
          </c:extLst>
        </c:ser>
        <c:ser>
          <c:idx val="15"/>
          <c:order val="15"/>
          <c:tx>
            <c:strRef>
              <c:f>'PBTChart (2)'!$Q$3:$Q$4</c:f>
              <c:strCache>
                <c:ptCount val="1"/>
                <c:pt idx="0">
                  <c:v>NGVA</c:v>
                </c:pt>
              </c:strCache>
            </c:strRef>
          </c:tx>
          <c:spPr>
            <a:solidFill>
              <a:schemeClr val="accent1">
                <a:lumMod val="75000"/>
              </a:schemeClr>
            </a:solidFill>
            <a:ln>
              <a:noFill/>
            </a:ln>
            <a:effectLst/>
          </c:spPr>
          <c:invertIfNegative val="0"/>
          <c:cat>
            <c:strRef>
              <c:f>'PBTChart (2)'!$A$5:$A$37</c:f>
              <c:strCach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strCache>
            </c:strRef>
          </c:cat>
          <c:val>
            <c:numRef>
              <c:f>'PBTChart (2)'!$Q$5:$Q$37</c:f>
              <c:numCache>
                <c:formatCode>General</c:formatCode>
                <c:ptCount val="32"/>
                <c:pt idx="0">
                  <c:v>3.5045999999999982</c:v>
                </c:pt>
                <c:pt idx="1">
                  <c:v>2.5507579229400621</c:v>
                </c:pt>
                <c:pt idx="2">
                  <c:v>3.481763118531231</c:v>
                </c:pt>
                <c:pt idx="3">
                  <c:v>2.6202826645295358</c:v>
                </c:pt>
                <c:pt idx="4">
                  <c:v>2.6853087111822349</c:v>
                </c:pt>
                <c:pt idx="5">
                  <c:v>2.5325982176434159</c:v>
                </c:pt>
                <c:pt idx="6">
                  <c:v>2.4201508143245318</c:v>
                </c:pt>
                <c:pt idx="7">
                  <c:v>0.71225047854103785</c:v>
                </c:pt>
                <c:pt idx="8">
                  <c:v>1.1584620440940261</c:v>
                </c:pt>
                <c:pt idx="9">
                  <c:v>1.1083909612613341</c:v>
                </c:pt>
                <c:pt idx="10">
                  <c:v>0.60265469213557676</c:v>
                </c:pt>
                <c:pt idx="11">
                  <c:v>0.8801333858989745</c:v>
                </c:pt>
                <c:pt idx="12">
                  <c:v>0.92663479461387688</c:v>
                </c:pt>
                <c:pt idx="13">
                  <c:v>1.737615116928553</c:v>
                </c:pt>
                <c:pt idx="14">
                  <c:v>0.65246291059160355</c:v>
                </c:pt>
                <c:pt idx="15">
                  <c:v>1.0835018623371491</c:v>
                </c:pt>
                <c:pt idx="16">
                  <c:v>1.233470935939758</c:v>
                </c:pt>
                <c:pt idx="17">
                  <c:v>1.3283666210978671</c:v>
                </c:pt>
                <c:pt idx="18">
                  <c:v>1.6820350443276959</c:v>
                </c:pt>
                <c:pt idx="19">
                  <c:v>0.78654389682479597</c:v>
                </c:pt>
                <c:pt idx="20">
                  <c:v>0.65847040338855678</c:v>
                </c:pt>
                <c:pt idx="21">
                  <c:v>1.201673104115722</c:v>
                </c:pt>
                <c:pt idx="22">
                  <c:v>4.5065490917781386</c:v>
                </c:pt>
                <c:pt idx="23">
                  <c:v>2.7437030172601489</c:v>
                </c:pt>
                <c:pt idx="24">
                  <c:v>4.0885346006947936</c:v>
                </c:pt>
                <c:pt idx="25">
                  <c:v>2.422177539265717</c:v>
                </c:pt>
                <c:pt idx="26">
                  <c:v>5.318380405932384</c:v>
                </c:pt>
                <c:pt idx="27">
                  <c:v>4.6214145660945007</c:v>
                </c:pt>
                <c:pt idx="28">
                  <c:v>3.3212884387576769</c:v>
                </c:pt>
                <c:pt idx="29">
                  <c:v>4.548148604127654</c:v>
                </c:pt>
                <c:pt idx="30">
                  <c:v>2.6873101048282209</c:v>
                </c:pt>
                <c:pt idx="31">
                  <c:v>2.7983595172480888</c:v>
                </c:pt>
              </c:numCache>
            </c:numRef>
          </c:val>
          <c:extLst>
            <c:ext xmlns:c16="http://schemas.microsoft.com/office/drawing/2014/chart" uri="{C3380CC4-5D6E-409C-BE32-E72D297353CC}">
              <c16:uniqueId val="{0000000F-FC56-4778-9E00-80EE8A370A78}"/>
            </c:ext>
          </c:extLst>
        </c:ser>
        <c:ser>
          <c:idx val="16"/>
          <c:order val="16"/>
          <c:tx>
            <c:strRef>
              <c:f>'PBTChart (2)'!$R$3:$R$4</c:f>
              <c:strCache>
                <c:ptCount val="1"/>
                <c:pt idx="0">
                  <c:v>PV</c:v>
                </c:pt>
              </c:strCache>
            </c:strRef>
          </c:tx>
          <c:spPr>
            <a:solidFill>
              <a:srgbClr val="FFC000"/>
            </a:solidFill>
            <a:ln>
              <a:noFill/>
            </a:ln>
            <a:effectLst/>
          </c:spPr>
          <c:invertIfNegative val="0"/>
          <c:cat>
            <c:strRef>
              <c:f>'PBTChart (2)'!$A$5:$A$37</c:f>
              <c:strCach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strCache>
            </c:strRef>
          </c:cat>
          <c:val>
            <c:numRef>
              <c:f>'PBTChart (2)'!$R$5:$R$37</c:f>
              <c:numCache>
                <c:formatCode>General</c:formatCode>
                <c:ptCount val="32"/>
                <c:pt idx="0">
                  <c:v>0.88754689757987759</c:v>
                </c:pt>
                <c:pt idx="1">
                  <c:v>0.88754689757987759</c:v>
                </c:pt>
                <c:pt idx="2">
                  <c:v>0.88754689757987759</c:v>
                </c:pt>
                <c:pt idx="3">
                  <c:v>0.88754689757987759</c:v>
                </c:pt>
                <c:pt idx="4">
                  <c:v>19.051422257230929</c:v>
                </c:pt>
                <c:pt idx="5">
                  <c:v>20.009277174085192</c:v>
                </c:pt>
                <c:pt idx="6">
                  <c:v>20.528693676369929</c:v>
                </c:pt>
                <c:pt idx="7">
                  <c:v>20.783586363394711</c:v>
                </c:pt>
                <c:pt idx="8">
                  <c:v>21.044355525740571</c:v>
                </c:pt>
                <c:pt idx="9">
                  <c:v>21.307993149086229</c:v>
                </c:pt>
                <c:pt idx="10">
                  <c:v>21.574530786516231</c:v>
                </c:pt>
                <c:pt idx="11">
                  <c:v>21.844000337350518</c:v>
                </c:pt>
                <c:pt idx="12">
                  <c:v>22.116434053820441</c:v>
                </c:pt>
                <c:pt idx="13">
                  <c:v>22.391864540791321</c:v>
                </c:pt>
                <c:pt idx="14">
                  <c:v>22.670324763211109</c:v>
                </c:pt>
                <c:pt idx="15">
                  <c:v>22.951848048161452</c:v>
                </c:pt>
                <c:pt idx="16">
                  <c:v>23.236468089199981</c:v>
                </c:pt>
                <c:pt idx="17">
                  <c:v>23.524218950750289</c:v>
                </c:pt>
                <c:pt idx="18">
                  <c:v>23.815135071655849</c:v>
                </c:pt>
                <c:pt idx="19">
                  <c:v>24.109251269601859</c:v>
                </c:pt>
                <c:pt idx="20">
                  <c:v>24.40660274618762</c:v>
                </c:pt>
                <c:pt idx="21">
                  <c:v>24.707225089020181</c:v>
                </c:pt>
                <c:pt idx="22">
                  <c:v>25.011154277249972</c:v>
                </c:pt>
                <c:pt idx="23">
                  <c:v>25.318426687053371</c:v>
                </c:pt>
                <c:pt idx="24">
                  <c:v>25.62907909295901</c:v>
                </c:pt>
                <c:pt idx="25">
                  <c:v>25.943148675669459</c:v>
                </c:pt>
                <c:pt idx="26">
                  <c:v>26.260673023392691</c:v>
                </c:pt>
                <c:pt idx="27">
                  <c:v>26.581690139211059</c:v>
                </c:pt>
                <c:pt idx="28">
                  <c:v>26.90623844325982</c:v>
                </c:pt>
                <c:pt idx="29">
                  <c:v>27.234356778572231</c:v>
                </c:pt>
                <c:pt idx="30">
                  <c:v>27.566084415480091</c:v>
                </c:pt>
                <c:pt idx="31">
                  <c:v>27.901461056760638</c:v>
                </c:pt>
              </c:numCache>
            </c:numRef>
          </c:val>
          <c:extLst>
            <c:ext xmlns:c16="http://schemas.microsoft.com/office/drawing/2014/chart" uri="{C3380CC4-5D6E-409C-BE32-E72D297353CC}">
              <c16:uniqueId val="{00000010-FC56-4778-9E00-80EE8A370A78}"/>
            </c:ext>
          </c:extLst>
        </c:ser>
        <c:dLbls>
          <c:showLegendKey val="0"/>
          <c:showVal val="0"/>
          <c:showCatName val="0"/>
          <c:showSerName val="0"/>
          <c:showPercent val="0"/>
          <c:showBubbleSize val="0"/>
        </c:dLbls>
        <c:gapWidth val="66"/>
        <c:overlap val="100"/>
        <c:axId val="676255327"/>
        <c:axId val="676249087"/>
      </c:barChart>
      <c:catAx>
        <c:axId val="676255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BE"/>
          </a:p>
        </c:txPr>
        <c:crossAx val="676249087"/>
        <c:crosses val="autoZero"/>
        <c:auto val="1"/>
        <c:lblAlgn val="ctr"/>
        <c:lblOffset val="100"/>
        <c:tickLblSkip val="5"/>
        <c:noMultiLvlLbl val="0"/>
      </c:catAx>
      <c:valAx>
        <c:axId val="676249087"/>
        <c:scaling>
          <c:orientation val="minMax"/>
        </c:scaling>
        <c:delete val="0"/>
        <c:axPos val="l"/>
        <c:majorGridlines>
          <c:spPr>
            <a:ln w="9525" cap="flat" cmpd="sng" algn="ctr">
              <a:noFill/>
              <a:round/>
            </a:ln>
            <a:effectLst/>
          </c:spPr>
        </c:majorGridlines>
        <c:title>
          <c:tx>
            <c:rich>
              <a:bodyPr/>
              <a:lstStyle/>
              <a:p>
                <a:pPr>
                  <a:defRPr/>
                </a:pPr>
                <a:r>
                  <a:rPr lang="es-ES_tradnl"/>
                  <a:t>Energía (PJ)</a:t>
                </a:r>
              </a:p>
            </c:rich>
          </c:tx>
          <c:overlay val="0"/>
        </c:title>
        <c:numFmt formatCode="General" sourceLinked="1"/>
        <c:majorTickMark val="cross"/>
        <c:minorTickMark val="cross"/>
        <c:tickLblPos val="nextTo"/>
        <c:spPr>
          <a:noFill/>
          <a:ln>
            <a:solidFill>
              <a:sysClr val="windowText" lastClr="000000">
                <a:lumMod val="15000"/>
                <a:lumOff val="85000"/>
              </a:sysClr>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BE"/>
          </a:p>
        </c:txPr>
        <c:crossAx val="676255327"/>
        <c:crosses val="autoZero"/>
        <c:crossBetween val="between"/>
      </c:valAx>
    </c:plotArea>
    <c:legend>
      <c:legendPos val="r"/>
      <c:layout>
        <c:manualLayout>
          <c:xMode val="edge"/>
          <c:yMode val="edge"/>
          <c:x val="0.86365434330116075"/>
          <c:y val="0"/>
          <c:w val="0.12911793245975955"/>
          <c:h val="0.917143420793055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BE"/>
        </a:p>
      </c:txPr>
    </c:legend>
    <c:plotVisOnly val="1"/>
    <c:dispBlanksAs val="gap"/>
    <c:showDLblsOverMax val="0"/>
    <c:extLst/>
  </c:chart>
  <c:spPr>
    <a:ln>
      <a:noFill/>
    </a:ln>
  </c:spPr>
  <c:txPr>
    <a:bodyPr/>
    <a:lstStyle/>
    <a:p>
      <a:pPr>
        <a:defRPr/>
      </a:pPr>
      <a:endParaRPr lang="en-BE"/>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[v_RateOfProductionByTechnology.xlsx]Sheet2!PivotTable75</c:name>
    <c:fmtId val="-1"/>
  </c:pivotSource>
  <c:chart>
    <c:title>
      <c:tx>
        <c:rich>
          <a:bodyPr/>
          <a:lstStyle/>
          <a:p>
            <a:pPr>
              <a:defRPr sz="1600"/>
            </a:pPr>
            <a:r>
              <a:rPr lang="es-ES_tradnl" sz="1600"/>
              <a:t>Producción de energía por timesclice</a:t>
            </a:r>
            <a:r>
              <a:rPr lang="es-ES_tradnl" sz="1600" baseline="0"/>
              <a:t> (PJ)</a:t>
            </a:r>
            <a:endParaRPr lang="es-ES_tradnl" sz="1600"/>
          </a:p>
        </c:rich>
      </c:tx>
      <c:layout>
        <c:manualLayout>
          <c:xMode val="edge"/>
          <c:yMode val="edge"/>
          <c:x val="0.14915333960489183"/>
          <c:y val="2.7900488258544524E-2"/>
        </c:manualLayout>
      </c:layout>
      <c:overlay val="0"/>
    </c:title>
    <c:autoTitleDeleted val="0"/>
    <c:pivotFmts>
      <c:pivotFmt>
        <c:idx val="0"/>
        <c:spPr>
          <a:solidFill>
            <a:srgbClr val="95F3AE"/>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2"/>
        <c:spPr>
          <a:solidFill>
            <a:srgbClr val="4B4747"/>
          </a:solidFill>
          <a:ln>
            <a:noFill/>
          </a:ln>
          <a:effectLst/>
        </c:spPr>
        <c:marker>
          <c:symbol val="none"/>
        </c:marker>
        <c:dLbl>
          <c:idx val="0"/>
          <c:delete val="1"/>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1"/>
        <c:spPr>
          <a:solidFill>
            <a:srgbClr val="4BCFDD"/>
          </a:solidFill>
          <a:ln>
            <a:noFill/>
          </a:ln>
          <a:effectLst/>
        </c:spPr>
        <c:marker>
          <c:symbol val="none"/>
        </c:marker>
        <c:dLbl>
          <c:idx val="0"/>
          <c:delete val="1"/>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6"/>
        <c:spPr>
          <a:solidFill>
            <a:schemeClr val="accent1">
              <a:lumMod val="60000"/>
              <a:lumOff val="40000"/>
            </a:schemeClr>
          </a:solidFill>
          <a:ln>
            <a:noFill/>
          </a:ln>
          <a:effectLst/>
        </c:spPr>
        <c:marker>
          <c:symbol val="none"/>
        </c:marker>
        <c:dLbl>
          <c:idx val="0"/>
          <c:delete val="1"/>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9"/>
        <c:spPr>
          <a:solidFill>
            <a:schemeClr val="tx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30"/>
        <c:spPr>
          <a:solidFill>
            <a:schemeClr val="tx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31"/>
        <c:spPr>
          <a:solidFill>
            <a:srgbClr val="FFC000"/>
          </a:solidFill>
          <a:ln>
            <a:noFill/>
          </a:ln>
          <a:effectLst/>
        </c:spPr>
        <c:marker>
          <c:symbol val="none"/>
        </c:marker>
        <c:dLbl>
          <c:idx val="0"/>
          <c:delete val="1"/>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4"/>
        <c:spPr>
          <a:solidFill>
            <a:srgbClr val="95F3AE"/>
          </a:solidFill>
          <a:ln>
            <a:noFill/>
          </a:ln>
          <a:effectLst/>
        </c:spPr>
        <c:marker>
          <c:symbol val="none"/>
        </c:marker>
        <c:dLbl>
          <c:idx val="0"/>
          <c:delete val="1"/>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2"/>
        <c:spPr>
          <a:solidFill>
            <a:srgbClr val="4B4747"/>
          </a:solidFill>
          <a:ln>
            <a:noFill/>
          </a:ln>
          <a:effectLst/>
        </c:spPr>
        <c:marker>
          <c:symbol val="none"/>
        </c:marker>
        <c:dLbl>
          <c:idx val="0"/>
          <c:delete val="1"/>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4"/>
        <c:spPr>
          <a:solidFill>
            <a:srgbClr val="4BCFDD"/>
          </a:solidFill>
          <a:ln>
            <a:noFill/>
          </a:ln>
          <a:effectLst/>
        </c:spPr>
        <c:marker>
          <c:symbol val="none"/>
        </c:marker>
        <c:dLbl>
          <c:idx val="0"/>
          <c:delete val="1"/>
          <c:extLst>
            <c:ext xmlns:c15="http://schemas.microsoft.com/office/drawing/2012/chart" uri="{CE6537A1-D6FC-4f65-9D91-7224C49458BB}"/>
          </c:extLst>
        </c:dLbl>
      </c:pivotFmt>
      <c:pivotFmt>
        <c:idx val="45"/>
        <c:spPr>
          <a:solidFill>
            <a:schemeClr val="accent1">
              <a:lumMod val="60000"/>
              <a:lumOff val="40000"/>
            </a:schemeClr>
          </a:solidFill>
          <a:ln>
            <a:noFill/>
          </a:ln>
          <a:effectLst/>
        </c:spPr>
        <c:marker>
          <c:symbol val="none"/>
        </c:marker>
        <c:dLbl>
          <c:idx val="0"/>
          <c:delete val="1"/>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48"/>
        <c:spPr>
          <a:solidFill>
            <a:schemeClr val="tx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49"/>
        <c:spPr>
          <a:solidFill>
            <a:schemeClr val="tx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50"/>
        <c:spPr>
          <a:solidFill>
            <a:srgbClr val="FFC000"/>
          </a:solidFill>
          <a:ln>
            <a:noFill/>
          </a:ln>
          <a:effectLst/>
        </c:spPr>
        <c:marker>
          <c:symbol val="none"/>
        </c:marker>
        <c:dLbl>
          <c:idx val="0"/>
          <c:delete val="1"/>
          <c:extLst>
            <c:ext xmlns:c15="http://schemas.microsoft.com/office/drawing/2012/chart" uri="{CE6537A1-D6FC-4f65-9D91-7224C49458BB}"/>
          </c:extLst>
        </c:dLbl>
      </c:pivotFmt>
      <c:pivotFmt>
        <c:idx val="51"/>
        <c:spPr>
          <a:solidFill>
            <a:srgbClr val="95F3AE"/>
          </a:solidFill>
          <a:ln>
            <a:noFill/>
          </a:ln>
          <a:effectLst/>
        </c:spPr>
        <c:marker>
          <c:symbol val="none"/>
        </c:marker>
        <c:dLbl>
          <c:idx val="0"/>
          <c:delete val="1"/>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59"/>
        <c:spPr>
          <a:solidFill>
            <a:srgbClr val="4B4747"/>
          </a:solidFill>
          <a:ln>
            <a:noFill/>
          </a:ln>
          <a:effectLst/>
        </c:spPr>
        <c:marker>
          <c:symbol val="none"/>
        </c:marker>
        <c:dLbl>
          <c:idx val="0"/>
          <c:delete val="1"/>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1"/>
        <c:spPr>
          <a:solidFill>
            <a:srgbClr val="4BCFDD"/>
          </a:solidFill>
          <a:ln>
            <a:noFill/>
          </a:ln>
          <a:effectLst/>
        </c:spPr>
        <c:marker>
          <c:symbol val="none"/>
        </c:marker>
        <c:dLbl>
          <c:idx val="0"/>
          <c:delete val="1"/>
          <c:extLst>
            <c:ext xmlns:c15="http://schemas.microsoft.com/office/drawing/2012/chart" uri="{CE6537A1-D6FC-4f65-9D91-7224C49458BB}"/>
          </c:extLst>
        </c:dLbl>
      </c:pivotFmt>
      <c:pivotFmt>
        <c:idx val="62"/>
        <c:spPr>
          <a:solidFill>
            <a:schemeClr val="accent1">
              <a:lumMod val="60000"/>
              <a:lumOff val="40000"/>
            </a:schemeClr>
          </a:solidFill>
          <a:ln>
            <a:noFill/>
          </a:ln>
          <a:effectLst/>
        </c:spPr>
        <c:marker>
          <c:symbol val="none"/>
        </c:marker>
        <c:dLbl>
          <c:idx val="0"/>
          <c:delete val="1"/>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65"/>
        <c:spPr>
          <a:solidFill>
            <a:schemeClr val="tx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66"/>
        <c:spPr>
          <a:solidFill>
            <a:schemeClr val="tx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67"/>
        <c:spPr>
          <a:solidFill>
            <a:srgbClr val="FFC000"/>
          </a:solidFill>
          <a:ln>
            <a:noFill/>
          </a:ln>
          <a:effectLst/>
        </c:spPr>
        <c:marker>
          <c:symbol val="none"/>
        </c:marker>
        <c:dLbl>
          <c:idx val="0"/>
          <c:delete val="1"/>
          <c:extLst>
            <c:ext xmlns:c15="http://schemas.microsoft.com/office/drawing/2012/chart" uri="{CE6537A1-D6FC-4f65-9D91-7224C49458BB}"/>
          </c:extLst>
        </c:dLbl>
      </c:pivotFmt>
      <c:pivotFmt>
        <c:idx val="68"/>
        <c:spPr>
          <a:solidFill>
            <a:srgbClr val="95F3AE"/>
          </a:solidFill>
          <a:ln>
            <a:noFill/>
          </a:ln>
          <a:effectLst/>
        </c:spPr>
        <c:marker>
          <c:symbol val="none"/>
        </c:marker>
        <c:dLbl>
          <c:idx val="0"/>
          <c:delete val="1"/>
          <c:extLst>
            <c:ext xmlns:c15="http://schemas.microsoft.com/office/drawing/2012/chart" uri="{CE6537A1-D6FC-4f65-9D91-7224C49458BB}"/>
          </c:extLst>
        </c:dLbl>
      </c:pivotFmt>
      <c:pivotFmt>
        <c:idx val="69"/>
        <c:spPr>
          <a:solidFill>
            <a:srgbClr val="5C5858"/>
          </a:solidFill>
          <a:ln>
            <a:noFill/>
          </a:ln>
          <a:effectLst/>
        </c:spPr>
        <c:marker>
          <c:symbol val="none"/>
        </c:marker>
        <c:dLbl>
          <c:idx val="0"/>
          <c:delete val="1"/>
          <c:extLst>
            <c:ext xmlns:c15="http://schemas.microsoft.com/office/drawing/2012/chart" uri="{CE6537A1-D6FC-4f65-9D91-7224C49458BB}"/>
          </c:extLst>
        </c:dLbl>
      </c:pivotFmt>
      <c:pivotFmt>
        <c:idx val="70"/>
        <c:spPr>
          <a:solidFill>
            <a:srgbClr val="767171"/>
          </a:solidFill>
          <a:ln>
            <a:noFill/>
          </a:ln>
          <a:effectLst/>
        </c:spPr>
        <c:marker>
          <c:symbol val="none"/>
        </c:marker>
        <c:dLbl>
          <c:idx val="0"/>
          <c:delete val="1"/>
          <c:extLst>
            <c:ext xmlns:c15="http://schemas.microsoft.com/office/drawing/2012/chart" uri="{CE6537A1-D6FC-4f65-9D91-7224C49458BB}"/>
          </c:extLst>
        </c:dLbl>
      </c:pivotFmt>
      <c:pivotFmt>
        <c:idx val="71"/>
        <c:spPr>
          <a:solidFill>
            <a:srgbClr val="AFABAB"/>
          </a:solidFill>
          <a:ln>
            <a:noFill/>
          </a:ln>
          <a:effectLst/>
        </c:spPr>
        <c:marker>
          <c:symbol val="none"/>
        </c:marker>
        <c:dLbl>
          <c:idx val="0"/>
          <c:delete val="1"/>
          <c:extLst>
            <c:ext xmlns:c15="http://schemas.microsoft.com/office/drawing/2012/chart" uri="{CE6537A1-D6FC-4f65-9D91-7224C49458BB}"/>
          </c:extLst>
        </c:dLbl>
      </c:pivotFmt>
      <c:pivotFmt>
        <c:idx val="72"/>
        <c:spPr>
          <a:solidFill>
            <a:srgbClr val="D0CECE"/>
          </a:solidFill>
          <a:ln>
            <a:noFill/>
          </a:ln>
          <a:effectLst/>
        </c:spPr>
        <c:marker>
          <c:symbol val="none"/>
        </c:marker>
        <c:dLbl>
          <c:idx val="0"/>
          <c:delete val="1"/>
          <c:extLst>
            <c:ext xmlns:c15="http://schemas.microsoft.com/office/drawing/2012/chart" uri="{CE6537A1-D6FC-4f65-9D91-7224C49458BB}"/>
          </c:extLst>
        </c:dLbl>
      </c:pivotFmt>
      <c:pivotFmt>
        <c:idx val="73"/>
        <c:spPr>
          <a:solidFill>
            <a:srgbClr val="E7E6E6"/>
          </a:solidFill>
          <a:ln>
            <a:noFill/>
          </a:ln>
          <a:effectLst/>
        </c:spPr>
        <c:marker>
          <c:symbol val="none"/>
        </c:marker>
        <c:dLbl>
          <c:idx val="0"/>
          <c:delete val="1"/>
          <c:extLst>
            <c:ext xmlns:c15="http://schemas.microsoft.com/office/drawing/2012/chart" uri="{CE6537A1-D6FC-4f65-9D91-7224C49458BB}"/>
          </c:extLst>
        </c:dLbl>
      </c:pivotFmt>
      <c:pivotFmt>
        <c:idx val="74"/>
        <c:spPr>
          <a:solidFill>
            <a:srgbClr val="EEEEEE"/>
          </a:solidFill>
          <a:ln>
            <a:noFill/>
          </a:ln>
          <a:effectLst/>
        </c:spPr>
        <c:marker>
          <c:symbol val="none"/>
        </c:marker>
        <c:dLbl>
          <c:idx val="0"/>
          <c:delete val="1"/>
          <c:extLst>
            <c:ext xmlns:c15="http://schemas.microsoft.com/office/drawing/2012/chart" uri="{CE6537A1-D6FC-4f65-9D91-7224C49458BB}"/>
          </c:extLst>
        </c:dLbl>
      </c:pivotFmt>
      <c:pivotFmt>
        <c:idx val="75"/>
        <c:spPr>
          <a:solidFill>
            <a:srgbClr val="F0F0F0"/>
          </a:solidFill>
          <a:ln>
            <a:noFill/>
          </a:ln>
          <a:effectLst/>
        </c:spPr>
        <c:marker>
          <c:symbol val="none"/>
        </c:marker>
        <c:dLbl>
          <c:idx val="0"/>
          <c:delete val="1"/>
          <c:extLst>
            <c:ext xmlns:c15="http://schemas.microsoft.com/office/drawing/2012/chart" uri="{CE6537A1-D6FC-4f65-9D91-7224C49458BB}"/>
          </c:extLst>
        </c:dLbl>
      </c:pivotFmt>
      <c:pivotFmt>
        <c:idx val="76"/>
        <c:spPr>
          <a:solidFill>
            <a:srgbClr val="4B4747"/>
          </a:solidFill>
          <a:ln>
            <a:noFill/>
          </a:ln>
          <a:effectLst/>
        </c:spPr>
        <c:marker>
          <c:symbol val="none"/>
        </c:marker>
        <c:dLbl>
          <c:idx val="0"/>
          <c:delete val="1"/>
          <c:extLst>
            <c:ext xmlns:c15="http://schemas.microsoft.com/office/drawing/2012/chart" uri="{CE6537A1-D6FC-4f65-9D91-7224C49458BB}"/>
          </c:extLst>
        </c:dLbl>
      </c:pivotFmt>
      <c:pivotFmt>
        <c:idx val="77"/>
        <c:spPr>
          <a:solidFill>
            <a:srgbClr val="997300"/>
          </a:solidFill>
          <a:ln>
            <a:noFill/>
          </a:ln>
          <a:effectLst/>
        </c:spPr>
        <c:marker>
          <c:symbol val="none"/>
        </c:marker>
        <c:dLbl>
          <c:idx val="0"/>
          <c:delete val="1"/>
          <c:extLst>
            <c:ext xmlns:c15="http://schemas.microsoft.com/office/drawing/2012/chart" uri="{CE6537A1-D6FC-4f65-9D91-7224C49458BB}"/>
          </c:extLst>
        </c:dLbl>
      </c:pivotFmt>
      <c:pivotFmt>
        <c:idx val="78"/>
        <c:spPr>
          <a:solidFill>
            <a:srgbClr val="4BCFDD"/>
          </a:solidFill>
          <a:ln>
            <a:noFill/>
          </a:ln>
          <a:effectLst/>
        </c:spPr>
        <c:marker>
          <c:symbol val="none"/>
        </c:marker>
        <c:dLbl>
          <c:idx val="0"/>
          <c:delete val="1"/>
          <c:extLst>
            <c:ext xmlns:c15="http://schemas.microsoft.com/office/drawing/2012/chart" uri="{CE6537A1-D6FC-4f65-9D91-7224C49458BB}"/>
          </c:extLst>
        </c:dLbl>
      </c:pivotFmt>
      <c:pivotFmt>
        <c:idx val="79"/>
        <c:spPr>
          <a:solidFill>
            <a:schemeClr val="accent1">
              <a:lumMod val="60000"/>
              <a:lumOff val="40000"/>
            </a:schemeClr>
          </a:solidFill>
          <a:ln>
            <a:noFill/>
          </a:ln>
          <a:effectLst/>
        </c:spPr>
        <c:marker>
          <c:symbol val="none"/>
        </c:marker>
        <c:dLbl>
          <c:idx val="0"/>
          <c:delete val="1"/>
          <c:extLst>
            <c:ext xmlns:c15="http://schemas.microsoft.com/office/drawing/2012/chart" uri="{CE6537A1-D6FC-4f65-9D91-7224C49458BB}"/>
          </c:extLst>
        </c:dLbl>
      </c:pivotFmt>
      <c:pivotFmt>
        <c:idx val="80"/>
        <c:spPr>
          <a:solidFill>
            <a:schemeClr val="tx2">
              <a:lumMod val="60000"/>
              <a:lumOff val="40000"/>
            </a:schemeClr>
          </a:solidFill>
          <a:ln>
            <a:noFill/>
          </a:ln>
          <a:effectLst/>
        </c:spPr>
        <c:marker>
          <c:symbol val="none"/>
        </c:marker>
        <c:dLbl>
          <c:idx val="0"/>
          <c:delete val="1"/>
          <c:extLst>
            <c:ext xmlns:c15="http://schemas.microsoft.com/office/drawing/2012/chart" uri="{CE6537A1-D6FC-4f65-9D91-7224C49458BB}"/>
          </c:extLst>
        </c:dLbl>
      </c:pivotFmt>
      <c:pivotFmt>
        <c:idx val="81"/>
        <c:spPr>
          <a:solidFill>
            <a:schemeClr val="accent2">
              <a:lumMod val="80000"/>
              <a:lumOff val="20000"/>
            </a:schemeClr>
          </a:solidFill>
          <a:ln>
            <a:noFill/>
          </a:ln>
          <a:effectLst/>
        </c:spPr>
        <c:marker>
          <c:symbol val="none"/>
        </c:marker>
        <c:dLbl>
          <c:idx val="0"/>
          <c:delete val="1"/>
          <c:extLst>
            <c:ext xmlns:c15="http://schemas.microsoft.com/office/drawing/2012/chart" uri="{CE6537A1-D6FC-4f65-9D91-7224C49458BB}"/>
          </c:extLst>
        </c:dLbl>
      </c:pivotFmt>
      <c:pivotFmt>
        <c:idx val="82"/>
        <c:spPr>
          <a:solidFill>
            <a:schemeClr val="tx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83"/>
        <c:spPr>
          <a:solidFill>
            <a:schemeClr val="tx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84"/>
        <c:spPr>
          <a:solidFill>
            <a:srgbClr val="FFC000"/>
          </a:solidFill>
          <a:ln>
            <a:noFill/>
          </a:ln>
          <a:effectLst/>
        </c:spPr>
        <c:marker>
          <c:symbol val="none"/>
        </c:marker>
        <c:dLbl>
          <c:idx val="0"/>
          <c:delete val="1"/>
          <c:extLst>
            <c:ext xmlns:c15="http://schemas.microsoft.com/office/drawing/2012/chart" uri="{CE6537A1-D6FC-4f65-9D91-7224C49458BB}"/>
          </c:extLst>
        </c:dLbl>
      </c:pivotFmt>
      <c:pivotFmt>
        <c:idx val="85"/>
      </c:pivotFmt>
      <c:pivotFmt>
        <c:idx val="86"/>
        <c:spPr>
          <a:solidFill>
            <a:srgbClr val="95F3AE"/>
          </a:solidFill>
          <a:ln>
            <a:noFill/>
          </a:ln>
          <a:effectLst/>
        </c:spPr>
        <c:marker>
          <c:symbol val="none"/>
        </c:marker>
        <c:dLbl>
          <c:idx val="0"/>
          <c:delete val="1"/>
          <c:extLst>
            <c:ext xmlns:c15="http://schemas.microsoft.com/office/drawing/2012/chart" uri="{CE6537A1-D6FC-4f65-9D91-7224C49458BB}"/>
          </c:extLst>
        </c:dLbl>
      </c:pivotFmt>
      <c:pivotFmt>
        <c:idx val="87"/>
        <c:spPr>
          <a:solidFill>
            <a:srgbClr val="5C5858"/>
          </a:solidFill>
          <a:ln>
            <a:noFill/>
          </a:ln>
          <a:effectLst/>
        </c:spPr>
        <c:marker>
          <c:symbol val="none"/>
        </c:marker>
        <c:dLbl>
          <c:idx val="0"/>
          <c:delete val="1"/>
          <c:extLst>
            <c:ext xmlns:c15="http://schemas.microsoft.com/office/drawing/2012/chart" uri="{CE6537A1-D6FC-4f65-9D91-7224C49458BB}"/>
          </c:extLst>
        </c:dLbl>
      </c:pivotFmt>
      <c:pivotFmt>
        <c:idx val="88"/>
        <c:spPr>
          <a:solidFill>
            <a:srgbClr val="767171"/>
          </a:solidFill>
          <a:ln>
            <a:noFill/>
          </a:ln>
          <a:effectLst/>
        </c:spPr>
        <c:marker>
          <c:symbol val="none"/>
        </c:marker>
        <c:dLbl>
          <c:idx val="0"/>
          <c:delete val="1"/>
          <c:extLst>
            <c:ext xmlns:c15="http://schemas.microsoft.com/office/drawing/2012/chart" uri="{CE6537A1-D6FC-4f65-9D91-7224C49458BB}"/>
          </c:extLst>
        </c:dLbl>
      </c:pivotFmt>
      <c:pivotFmt>
        <c:idx val="89"/>
        <c:spPr>
          <a:solidFill>
            <a:srgbClr val="AFABAB"/>
          </a:solidFill>
          <a:ln>
            <a:noFill/>
          </a:ln>
          <a:effectLst/>
        </c:spPr>
        <c:marker>
          <c:symbol val="none"/>
        </c:marker>
        <c:dLbl>
          <c:idx val="0"/>
          <c:delete val="1"/>
          <c:extLst>
            <c:ext xmlns:c15="http://schemas.microsoft.com/office/drawing/2012/chart" uri="{CE6537A1-D6FC-4f65-9D91-7224C49458BB}"/>
          </c:extLst>
        </c:dLbl>
      </c:pivotFmt>
      <c:pivotFmt>
        <c:idx val="90"/>
        <c:spPr>
          <a:solidFill>
            <a:srgbClr val="D0CECE"/>
          </a:solidFill>
          <a:ln>
            <a:noFill/>
          </a:ln>
          <a:effectLst/>
        </c:spPr>
        <c:marker>
          <c:symbol val="none"/>
        </c:marker>
        <c:dLbl>
          <c:idx val="0"/>
          <c:delete val="1"/>
          <c:extLst>
            <c:ext xmlns:c15="http://schemas.microsoft.com/office/drawing/2012/chart" uri="{CE6537A1-D6FC-4f65-9D91-7224C49458BB}"/>
          </c:extLst>
        </c:dLbl>
      </c:pivotFmt>
      <c:pivotFmt>
        <c:idx val="91"/>
        <c:spPr>
          <a:solidFill>
            <a:srgbClr val="E7E6E6"/>
          </a:solidFill>
          <a:ln>
            <a:noFill/>
          </a:ln>
          <a:effectLst/>
        </c:spPr>
        <c:marker>
          <c:symbol val="none"/>
        </c:marker>
        <c:dLbl>
          <c:idx val="0"/>
          <c:delete val="1"/>
          <c:extLst>
            <c:ext xmlns:c15="http://schemas.microsoft.com/office/drawing/2012/chart" uri="{CE6537A1-D6FC-4f65-9D91-7224C49458BB}"/>
          </c:extLst>
        </c:dLbl>
      </c:pivotFmt>
      <c:pivotFmt>
        <c:idx val="92"/>
        <c:spPr>
          <a:solidFill>
            <a:srgbClr val="EEEEEE"/>
          </a:solidFill>
          <a:ln>
            <a:noFill/>
          </a:ln>
          <a:effectLst/>
        </c:spPr>
        <c:marker>
          <c:symbol val="none"/>
        </c:marker>
        <c:dLbl>
          <c:idx val="0"/>
          <c:delete val="1"/>
          <c:extLst>
            <c:ext xmlns:c15="http://schemas.microsoft.com/office/drawing/2012/chart" uri="{CE6537A1-D6FC-4f65-9D91-7224C49458BB}"/>
          </c:extLst>
        </c:dLbl>
      </c:pivotFmt>
      <c:pivotFmt>
        <c:idx val="93"/>
        <c:spPr>
          <a:solidFill>
            <a:srgbClr val="F0F0F0"/>
          </a:solidFill>
          <a:ln>
            <a:noFill/>
          </a:ln>
          <a:effectLst/>
        </c:spPr>
        <c:marker>
          <c:symbol val="none"/>
        </c:marker>
        <c:dLbl>
          <c:idx val="0"/>
          <c:delete val="1"/>
          <c:extLst>
            <c:ext xmlns:c15="http://schemas.microsoft.com/office/drawing/2012/chart" uri="{CE6537A1-D6FC-4f65-9D91-7224C49458BB}"/>
          </c:extLst>
        </c:dLbl>
      </c:pivotFmt>
      <c:pivotFmt>
        <c:idx val="94"/>
        <c:spPr>
          <a:solidFill>
            <a:srgbClr val="4B4747"/>
          </a:solidFill>
          <a:ln>
            <a:noFill/>
          </a:ln>
          <a:effectLst/>
        </c:spPr>
        <c:marker>
          <c:symbol val="none"/>
        </c:marker>
        <c:dLbl>
          <c:idx val="0"/>
          <c:delete val="1"/>
          <c:extLst>
            <c:ext xmlns:c15="http://schemas.microsoft.com/office/drawing/2012/chart" uri="{CE6537A1-D6FC-4f65-9D91-7224C49458BB}"/>
          </c:extLst>
        </c:dLbl>
      </c:pivotFmt>
      <c:pivotFmt>
        <c:idx val="95"/>
        <c:spPr>
          <a:solidFill>
            <a:srgbClr val="997300"/>
          </a:solidFill>
          <a:ln>
            <a:noFill/>
          </a:ln>
          <a:effectLst/>
        </c:spPr>
        <c:marker>
          <c:symbol val="none"/>
        </c:marker>
        <c:dLbl>
          <c:idx val="0"/>
          <c:delete val="1"/>
          <c:extLst>
            <c:ext xmlns:c15="http://schemas.microsoft.com/office/drawing/2012/chart" uri="{CE6537A1-D6FC-4f65-9D91-7224C49458BB}"/>
          </c:extLst>
        </c:dLbl>
      </c:pivotFmt>
      <c:pivotFmt>
        <c:idx val="96"/>
        <c:spPr>
          <a:solidFill>
            <a:srgbClr val="4BCFDD"/>
          </a:solidFill>
          <a:ln>
            <a:noFill/>
          </a:ln>
          <a:effectLst/>
        </c:spPr>
        <c:marker>
          <c:symbol val="none"/>
        </c:marker>
        <c:dLbl>
          <c:idx val="0"/>
          <c:delete val="1"/>
          <c:extLst>
            <c:ext xmlns:c15="http://schemas.microsoft.com/office/drawing/2012/chart" uri="{CE6537A1-D6FC-4f65-9D91-7224C49458BB}"/>
          </c:extLst>
        </c:dLbl>
      </c:pivotFmt>
      <c:pivotFmt>
        <c:idx val="97"/>
        <c:spPr>
          <a:solidFill>
            <a:schemeClr val="accent1">
              <a:lumMod val="60000"/>
              <a:lumOff val="40000"/>
            </a:schemeClr>
          </a:solidFill>
          <a:ln>
            <a:noFill/>
          </a:ln>
          <a:effectLst/>
        </c:spPr>
        <c:marker>
          <c:symbol val="none"/>
        </c:marker>
        <c:dLbl>
          <c:idx val="0"/>
          <c:delete val="1"/>
          <c:extLst>
            <c:ext xmlns:c15="http://schemas.microsoft.com/office/drawing/2012/chart" uri="{CE6537A1-D6FC-4f65-9D91-7224C49458BB}"/>
          </c:extLst>
        </c:dLbl>
      </c:pivotFmt>
      <c:pivotFmt>
        <c:idx val="98"/>
        <c:spPr>
          <a:solidFill>
            <a:schemeClr val="tx2">
              <a:lumMod val="60000"/>
              <a:lumOff val="40000"/>
            </a:schemeClr>
          </a:solidFill>
          <a:ln>
            <a:noFill/>
          </a:ln>
          <a:effectLst/>
        </c:spPr>
        <c:marker>
          <c:symbol val="none"/>
        </c:marker>
        <c:dLbl>
          <c:idx val="0"/>
          <c:delete val="1"/>
          <c:extLst>
            <c:ext xmlns:c15="http://schemas.microsoft.com/office/drawing/2012/chart" uri="{CE6537A1-D6FC-4f65-9D91-7224C49458BB}"/>
          </c:extLst>
        </c:dLbl>
      </c:pivotFmt>
      <c:pivotFmt>
        <c:idx val="99"/>
        <c:spPr>
          <a:solidFill>
            <a:schemeClr val="accent2">
              <a:lumMod val="80000"/>
              <a:lumOff val="20000"/>
            </a:schemeClr>
          </a:solidFill>
          <a:ln>
            <a:noFill/>
          </a:ln>
          <a:effectLst/>
        </c:spPr>
        <c:marker>
          <c:symbol val="none"/>
        </c:marker>
        <c:dLbl>
          <c:idx val="0"/>
          <c:delete val="1"/>
          <c:extLst>
            <c:ext xmlns:c15="http://schemas.microsoft.com/office/drawing/2012/chart" uri="{CE6537A1-D6FC-4f65-9D91-7224C49458BB}"/>
          </c:extLst>
        </c:dLbl>
      </c:pivotFmt>
      <c:pivotFmt>
        <c:idx val="100"/>
        <c:spPr>
          <a:solidFill>
            <a:schemeClr val="tx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01"/>
        <c:spPr>
          <a:solidFill>
            <a:schemeClr val="tx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02"/>
        <c:spPr>
          <a:solidFill>
            <a:srgbClr val="FFC000"/>
          </a:solidFill>
          <a:ln>
            <a:noFill/>
          </a:ln>
          <a:effectLst/>
        </c:spPr>
        <c:marker>
          <c:symbol val="none"/>
        </c:marker>
        <c:dLbl>
          <c:idx val="0"/>
          <c:delete val="1"/>
          <c:extLst>
            <c:ext xmlns:c15="http://schemas.microsoft.com/office/drawing/2012/chart" uri="{CE6537A1-D6FC-4f65-9D91-7224C49458BB}"/>
          </c:extLst>
        </c:dLbl>
      </c:pivotFmt>
      <c:pivotFmt>
        <c:idx val="103"/>
        <c:spPr>
          <a:solidFill>
            <a:srgbClr val="95F3AE"/>
          </a:solidFill>
          <a:ln>
            <a:noFill/>
          </a:ln>
          <a:effectLst/>
        </c:spPr>
        <c:marker>
          <c:symbol val="none"/>
        </c:marker>
        <c:dLbl>
          <c:idx val="0"/>
          <c:delete val="1"/>
          <c:extLst>
            <c:ext xmlns:c15="http://schemas.microsoft.com/office/drawing/2012/chart" uri="{CE6537A1-D6FC-4f65-9D91-7224C49458BB}"/>
          </c:extLst>
        </c:dLbl>
      </c:pivotFmt>
      <c:pivotFmt>
        <c:idx val="104"/>
        <c:spPr>
          <a:solidFill>
            <a:srgbClr val="5C5858"/>
          </a:solidFill>
          <a:ln>
            <a:noFill/>
          </a:ln>
          <a:effectLst/>
        </c:spPr>
        <c:marker>
          <c:symbol val="none"/>
        </c:marker>
        <c:dLbl>
          <c:idx val="0"/>
          <c:delete val="1"/>
          <c:extLst>
            <c:ext xmlns:c15="http://schemas.microsoft.com/office/drawing/2012/chart" uri="{CE6537A1-D6FC-4f65-9D91-7224C49458BB}"/>
          </c:extLst>
        </c:dLbl>
      </c:pivotFmt>
      <c:pivotFmt>
        <c:idx val="105"/>
        <c:spPr>
          <a:solidFill>
            <a:srgbClr val="767171"/>
          </a:solidFill>
          <a:ln>
            <a:noFill/>
          </a:ln>
          <a:effectLst/>
        </c:spPr>
        <c:marker>
          <c:symbol val="none"/>
        </c:marker>
        <c:dLbl>
          <c:idx val="0"/>
          <c:delete val="1"/>
          <c:extLst>
            <c:ext xmlns:c15="http://schemas.microsoft.com/office/drawing/2012/chart" uri="{CE6537A1-D6FC-4f65-9D91-7224C49458BB}"/>
          </c:extLst>
        </c:dLbl>
      </c:pivotFmt>
      <c:pivotFmt>
        <c:idx val="106"/>
        <c:spPr>
          <a:solidFill>
            <a:srgbClr val="AFABAB"/>
          </a:solidFill>
          <a:ln>
            <a:noFill/>
          </a:ln>
          <a:effectLst/>
        </c:spPr>
        <c:marker>
          <c:symbol val="none"/>
        </c:marker>
        <c:dLbl>
          <c:idx val="0"/>
          <c:delete val="1"/>
          <c:extLst>
            <c:ext xmlns:c15="http://schemas.microsoft.com/office/drawing/2012/chart" uri="{CE6537A1-D6FC-4f65-9D91-7224C49458BB}"/>
          </c:extLst>
        </c:dLbl>
      </c:pivotFmt>
      <c:pivotFmt>
        <c:idx val="107"/>
        <c:spPr>
          <a:solidFill>
            <a:srgbClr val="D0CECE"/>
          </a:solidFill>
          <a:ln>
            <a:noFill/>
          </a:ln>
          <a:effectLst/>
        </c:spPr>
        <c:marker>
          <c:symbol val="none"/>
        </c:marker>
        <c:dLbl>
          <c:idx val="0"/>
          <c:delete val="1"/>
          <c:extLst>
            <c:ext xmlns:c15="http://schemas.microsoft.com/office/drawing/2012/chart" uri="{CE6537A1-D6FC-4f65-9D91-7224C49458BB}"/>
          </c:extLst>
        </c:dLbl>
      </c:pivotFmt>
      <c:pivotFmt>
        <c:idx val="108"/>
        <c:spPr>
          <a:solidFill>
            <a:srgbClr val="E7E6E6"/>
          </a:solidFill>
          <a:ln>
            <a:noFill/>
          </a:ln>
          <a:effectLst/>
        </c:spPr>
        <c:marker>
          <c:symbol val="none"/>
        </c:marker>
        <c:dLbl>
          <c:idx val="0"/>
          <c:delete val="1"/>
          <c:extLst>
            <c:ext xmlns:c15="http://schemas.microsoft.com/office/drawing/2012/chart" uri="{CE6537A1-D6FC-4f65-9D91-7224C49458BB}"/>
          </c:extLst>
        </c:dLbl>
      </c:pivotFmt>
      <c:pivotFmt>
        <c:idx val="109"/>
        <c:spPr>
          <a:solidFill>
            <a:srgbClr val="EEEEEE"/>
          </a:solidFill>
          <a:ln>
            <a:noFill/>
          </a:ln>
          <a:effectLst/>
        </c:spPr>
        <c:marker>
          <c:symbol val="none"/>
        </c:marker>
        <c:dLbl>
          <c:idx val="0"/>
          <c:delete val="1"/>
          <c:extLst>
            <c:ext xmlns:c15="http://schemas.microsoft.com/office/drawing/2012/chart" uri="{CE6537A1-D6FC-4f65-9D91-7224C49458BB}"/>
          </c:extLst>
        </c:dLbl>
      </c:pivotFmt>
      <c:pivotFmt>
        <c:idx val="110"/>
        <c:spPr>
          <a:solidFill>
            <a:srgbClr val="F0F0F0"/>
          </a:solidFill>
          <a:ln>
            <a:noFill/>
          </a:ln>
          <a:effectLst/>
        </c:spPr>
        <c:marker>
          <c:symbol val="none"/>
        </c:marker>
        <c:dLbl>
          <c:idx val="0"/>
          <c:delete val="1"/>
          <c:extLst>
            <c:ext xmlns:c15="http://schemas.microsoft.com/office/drawing/2012/chart" uri="{CE6537A1-D6FC-4f65-9D91-7224C49458BB}"/>
          </c:extLst>
        </c:dLbl>
      </c:pivotFmt>
      <c:pivotFmt>
        <c:idx val="111"/>
        <c:spPr>
          <a:solidFill>
            <a:srgbClr val="4B4747"/>
          </a:solidFill>
          <a:ln>
            <a:noFill/>
          </a:ln>
          <a:effectLst/>
        </c:spPr>
        <c:marker>
          <c:symbol val="none"/>
        </c:marker>
        <c:dLbl>
          <c:idx val="0"/>
          <c:delete val="1"/>
          <c:extLst>
            <c:ext xmlns:c15="http://schemas.microsoft.com/office/drawing/2012/chart" uri="{CE6537A1-D6FC-4f65-9D91-7224C49458BB}"/>
          </c:extLst>
        </c:dLbl>
      </c:pivotFmt>
      <c:pivotFmt>
        <c:idx val="112"/>
        <c:spPr>
          <a:solidFill>
            <a:srgbClr val="997300"/>
          </a:solidFill>
          <a:ln>
            <a:noFill/>
          </a:ln>
          <a:effectLst/>
        </c:spPr>
        <c:marker>
          <c:symbol val="none"/>
        </c:marker>
        <c:dLbl>
          <c:idx val="0"/>
          <c:delete val="1"/>
          <c:extLst>
            <c:ext xmlns:c15="http://schemas.microsoft.com/office/drawing/2012/chart" uri="{CE6537A1-D6FC-4f65-9D91-7224C49458BB}"/>
          </c:extLst>
        </c:dLbl>
      </c:pivotFmt>
      <c:pivotFmt>
        <c:idx val="113"/>
        <c:spPr>
          <a:solidFill>
            <a:srgbClr val="4BCFDD"/>
          </a:solidFill>
          <a:ln>
            <a:noFill/>
          </a:ln>
          <a:effectLst/>
        </c:spPr>
        <c:marker>
          <c:symbol val="none"/>
        </c:marker>
        <c:dLbl>
          <c:idx val="0"/>
          <c:delete val="1"/>
          <c:extLst>
            <c:ext xmlns:c15="http://schemas.microsoft.com/office/drawing/2012/chart" uri="{CE6537A1-D6FC-4f65-9D91-7224C49458BB}"/>
          </c:extLst>
        </c:dLbl>
      </c:pivotFmt>
      <c:pivotFmt>
        <c:idx val="114"/>
        <c:spPr>
          <a:solidFill>
            <a:schemeClr val="accent1">
              <a:lumMod val="60000"/>
              <a:lumOff val="40000"/>
            </a:schemeClr>
          </a:solidFill>
          <a:ln>
            <a:noFill/>
          </a:ln>
          <a:effectLst/>
        </c:spPr>
        <c:marker>
          <c:symbol val="none"/>
        </c:marker>
        <c:dLbl>
          <c:idx val="0"/>
          <c:delete val="1"/>
          <c:extLst>
            <c:ext xmlns:c15="http://schemas.microsoft.com/office/drawing/2012/chart" uri="{CE6537A1-D6FC-4f65-9D91-7224C49458BB}"/>
          </c:extLst>
        </c:dLbl>
      </c:pivotFmt>
      <c:pivotFmt>
        <c:idx val="115"/>
        <c:spPr>
          <a:solidFill>
            <a:schemeClr val="tx2">
              <a:lumMod val="60000"/>
              <a:lumOff val="40000"/>
            </a:schemeClr>
          </a:solidFill>
          <a:ln>
            <a:noFill/>
          </a:ln>
          <a:effectLst/>
        </c:spPr>
        <c:marker>
          <c:symbol val="none"/>
        </c:marker>
        <c:dLbl>
          <c:idx val="0"/>
          <c:delete val="1"/>
          <c:extLst>
            <c:ext xmlns:c15="http://schemas.microsoft.com/office/drawing/2012/chart" uri="{CE6537A1-D6FC-4f65-9D91-7224C49458BB}"/>
          </c:extLst>
        </c:dLbl>
      </c:pivotFmt>
      <c:pivotFmt>
        <c:idx val="116"/>
        <c:spPr>
          <a:solidFill>
            <a:schemeClr val="accent2">
              <a:lumMod val="80000"/>
              <a:lumOff val="20000"/>
            </a:schemeClr>
          </a:solidFill>
          <a:ln>
            <a:noFill/>
          </a:ln>
          <a:effectLst/>
        </c:spPr>
        <c:marker>
          <c:symbol val="none"/>
        </c:marker>
        <c:dLbl>
          <c:idx val="0"/>
          <c:delete val="1"/>
          <c:extLst>
            <c:ext xmlns:c15="http://schemas.microsoft.com/office/drawing/2012/chart" uri="{CE6537A1-D6FC-4f65-9D91-7224C49458BB}"/>
          </c:extLst>
        </c:dLbl>
      </c:pivotFmt>
      <c:pivotFmt>
        <c:idx val="117"/>
        <c:spPr>
          <a:solidFill>
            <a:schemeClr val="tx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18"/>
        <c:spPr>
          <a:solidFill>
            <a:schemeClr val="tx2">
              <a:lumMod val="75000"/>
            </a:schemeClr>
          </a:solidFill>
          <a:ln>
            <a:noFill/>
          </a:ln>
          <a:effectLst/>
        </c:spPr>
        <c:marker>
          <c:symbol val="none"/>
        </c:marker>
        <c:dLbl>
          <c:idx val="0"/>
          <c:delete val="1"/>
          <c:extLst>
            <c:ext xmlns:c15="http://schemas.microsoft.com/office/drawing/2012/chart" uri="{CE6537A1-D6FC-4f65-9D91-7224C49458BB}"/>
          </c:extLst>
        </c:dLbl>
      </c:pivotFmt>
      <c:pivotFmt>
        <c:idx val="119"/>
        <c:spPr>
          <a:solidFill>
            <a:srgbClr val="FFC000"/>
          </a:solidFill>
          <a:ln>
            <a:noFill/>
          </a:ln>
          <a:effectLst/>
        </c:spPr>
        <c:marker>
          <c:symbol val="none"/>
        </c:marker>
        <c:dLbl>
          <c:idx val="0"/>
          <c:delete val="1"/>
          <c:extLst>
            <c:ext xmlns:c15="http://schemas.microsoft.com/office/drawing/2012/chart" uri="{CE6537A1-D6FC-4f65-9D91-7224C49458BB}"/>
          </c:extLst>
        </c:dLbl>
      </c:pivotFmt>
    </c:pivotFmts>
    <c:plotArea>
      <c:layout/>
      <c:barChart>
        <c:barDir val="col"/>
        <c:grouping val="stacked"/>
        <c:varyColors val="0"/>
        <c:ser>
          <c:idx val="0"/>
          <c:order val="0"/>
          <c:tx>
            <c:strRef>
              <c:f>Sheet2!$B$17:$B$18</c:f>
              <c:strCache>
                <c:ptCount val="1"/>
                <c:pt idx="0">
                  <c:v>BIOELEC</c:v>
                </c:pt>
              </c:strCache>
            </c:strRef>
          </c:tx>
          <c:spPr>
            <a:solidFill>
              <a:srgbClr val="95F3AE"/>
            </a:solidFill>
            <a:ln>
              <a:noFill/>
            </a:ln>
            <a:effectLst/>
          </c:spPr>
          <c:invertIfNegative val="0"/>
          <c:cat>
            <c:multiLvlStrRef>
              <c:f>Sheet2!$A$19:$A$37</c:f>
              <c:multiLvlStrCache>
                <c:ptCount val="16"/>
                <c:lvl>
                  <c:pt idx="0">
                    <c:v>111</c:v>
                  </c:pt>
                  <c:pt idx="1">
                    <c:v>112</c:v>
                  </c:pt>
                  <c:pt idx="2">
                    <c:v>113</c:v>
                  </c:pt>
                  <c:pt idx="3">
                    <c:v>114</c:v>
                  </c:pt>
                  <c:pt idx="4">
                    <c:v>115</c:v>
                  </c:pt>
                  <c:pt idx="5">
                    <c:v>116</c:v>
                  </c:pt>
                  <c:pt idx="6">
                    <c:v>117</c:v>
                  </c:pt>
                  <c:pt idx="7">
                    <c:v>118</c:v>
                  </c:pt>
                  <c:pt idx="8">
                    <c:v>111</c:v>
                  </c:pt>
                  <c:pt idx="9">
                    <c:v>112</c:v>
                  </c:pt>
                  <c:pt idx="10">
                    <c:v>113</c:v>
                  </c:pt>
                  <c:pt idx="11">
                    <c:v>114</c:v>
                  </c:pt>
                  <c:pt idx="12">
                    <c:v>115</c:v>
                  </c:pt>
                  <c:pt idx="13">
                    <c:v>116</c:v>
                  </c:pt>
                  <c:pt idx="14">
                    <c:v>117</c:v>
                  </c:pt>
                  <c:pt idx="15">
                    <c:v>118</c:v>
                  </c:pt>
                </c:lvl>
                <c:lvl>
                  <c:pt idx="0">
                    <c:v>2019</c:v>
                  </c:pt>
                  <c:pt idx="8">
                    <c:v>2030</c:v>
                  </c:pt>
                </c:lvl>
              </c:multiLvlStrCache>
            </c:multiLvlStrRef>
          </c:cat>
          <c:val>
            <c:numRef>
              <c:f>Sheet2!$B$19:$B$37</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0-0719-4E75-BC7F-F3634D317B8F}"/>
            </c:ext>
          </c:extLst>
        </c:ser>
        <c:ser>
          <c:idx val="1"/>
          <c:order val="1"/>
          <c:tx>
            <c:strRef>
              <c:f>Sheet2!$C$17:$C$18</c:f>
              <c:strCache>
                <c:ptCount val="1"/>
                <c:pt idx="0">
                  <c:v>CTAG</c:v>
                </c:pt>
              </c:strCache>
            </c:strRef>
          </c:tx>
          <c:spPr>
            <a:solidFill>
              <a:srgbClr val="5C5858"/>
            </a:solidFill>
            <a:ln>
              <a:noFill/>
            </a:ln>
            <a:effectLst/>
          </c:spPr>
          <c:invertIfNegative val="0"/>
          <c:cat>
            <c:multiLvlStrRef>
              <c:f>Sheet2!$A$19:$A$37</c:f>
              <c:multiLvlStrCache>
                <c:ptCount val="16"/>
                <c:lvl>
                  <c:pt idx="0">
                    <c:v>111</c:v>
                  </c:pt>
                  <c:pt idx="1">
                    <c:v>112</c:v>
                  </c:pt>
                  <c:pt idx="2">
                    <c:v>113</c:v>
                  </c:pt>
                  <c:pt idx="3">
                    <c:v>114</c:v>
                  </c:pt>
                  <c:pt idx="4">
                    <c:v>115</c:v>
                  </c:pt>
                  <c:pt idx="5">
                    <c:v>116</c:v>
                  </c:pt>
                  <c:pt idx="6">
                    <c:v>117</c:v>
                  </c:pt>
                  <c:pt idx="7">
                    <c:v>118</c:v>
                  </c:pt>
                  <c:pt idx="8">
                    <c:v>111</c:v>
                  </c:pt>
                  <c:pt idx="9">
                    <c:v>112</c:v>
                  </c:pt>
                  <c:pt idx="10">
                    <c:v>113</c:v>
                  </c:pt>
                  <c:pt idx="11">
                    <c:v>114</c:v>
                  </c:pt>
                  <c:pt idx="12">
                    <c:v>115</c:v>
                  </c:pt>
                  <c:pt idx="13">
                    <c:v>116</c:v>
                  </c:pt>
                  <c:pt idx="14">
                    <c:v>117</c:v>
                  </c:pt>
                  <c:pt idx="15">
                    <c:v>118</c:v>
                  </c:pt>
                </c:lvl>
                <c:lvl>
                  <c:pt idx="0">
                    <c:v>2019</c:v>
                  </c:pt>
                  <c:pt idx="8">
                    <c:v>2030</c:v>
                  </c:pt>
                </c:lvl>
              </c:multiLvlStrCache>
            </c:multiLvlStrRef>
          </c:cat>
          <c:val>
            <c:numRef>
              <c:f>Sheet2!$C$19:$C$37</c:f>
              <c:numCache>
                <c:formatCode>General</c:formatCode>
                <c:ptCount val="16"/>
                <c:pt idx="0">
                  <c:v>7.7029714635988711</c:v>
                </c:pt>
                <c:pt idx="1">
                  <c:v>9.8751840000000009</c:v>
                </c:pt>
                <c:pt idx="2">
                  <c:v>9.8751839999999991</c:v>
                </c:pt>
                <c:pt idx="3">
                  <c:v>9.3522587434227891</c:v>
                </c:pt>
                <c:pt idx="4">
                  <c:v>9.8751839999999991</c:v>
                </c:pt>
                <c:pt idx="5">
                  <c:v>9.8751840000000009</c:v>
                </c:pt>
                <c:pt idx="6">
                  <c:v>2.5729149748183362</c:v>
                </c:pt>
                <c:pt idx="7">
                  <c:v>0</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1-0719-4E75-BC7F-F3634D317B8F}"/>
            </c:ext>
          </c:extLst>
        </c:ser>
        <c:ser>
          <c:idx val="2"/>
          <c:order val="2"/>
          <c:tx>
            <c:strRef>
              <c:f>Sheet2!$D$17:$D$18</c:f>
              <c:strCache>
                <c:ptCount val="1"/>
                <c:pt idx="0">
                  <c:v>CTAM</c:v>
                </c:pt>
              </c:strCache>
            </c:strRef>
          </c:tx>
          <c:spPr>
            <a:solidFill>
              <a:srgbClr val="767171"/>
            </a:solidFill>
            <a:ln>
              <a:noFill/>
            </a:ln>
            <a:effectLst/>
          </c:spPr>
          <c:invertIfNegative val="0"/>
          <c:cat>
            <c:multiLvlStrRef>
              <c:f>Sheet2!$A$19:$A$37</c:f>
              <c:multiLvlStrCache>
                <c:ptCount val="16"/>
                <c:lvl>
                  <c:pt idx="0">
                    <c:v>111</c:v>
                  </c:pt>
                  <c:pt idx="1">
                    <c:v>112</c:v>
                  </c:pt>
                  <c:pt idx="2">
                    <c:v>113</c:v>
                  </c:pt>
                  <c:pt idx="3">
                    <c:v>114</c:v>
                  </c:pt>
                  <c:pt idx="4">
                    <c:v>115</c:v>
                  </c:pt>
                  <c:pt idx="5">
                    <c:v>116</c:v>
                  </c:pt>
                  <c:pt idx="6">
                    <c:v>117</c:v>
                  </c:pt>
                  <c:pt idx="7">
                    <c:v>118</c:v>
                  </c:pt>
                  <c:pt idx="8">
                    <c:v>111</c:v>
                  </c:pt>
                  <c:pt idx="9">
                    <c:v>112</c:v>
                  </c:pt>
                  <c:pt idx="10">
                    <c:v>113</c:v>
                  </c:pt>
                  <c:pt idx="11">
                    <c:v>114</c:v>
                  </c:pt>
                  <c:pt idx="12">
                    <c:v>115</c:v>
                  </c:pt>
                  <c:pt idx="13">
                    <c:v>116</c:v>
                  </c:pt>
                  <c:pt idx="14">
                    <c:v>117</c:v>
                  </c:pt>
                  <c:pt idx="15">
                    <c:v>118</c:v>
                  </c:pt>
                </c:lvl>
                <c:lvl>
                  <c:pt idx="0">
                    <c:v>2019</c:v>
                  </c:pt>
                  <c:pt idx="8">
                    <c:v>2030</c:v>
                  </c:pt>
                </c:lvl>
              </c:multiLvlStrCache>
            </c:multiLvlStrRef>
          </c:cat>
          <c:val>
            <c:numRef>
              <c:f>Sheet2!$D$19:$D$37</c:f>
              <c:numCache>
                <c:formatCode>General</c:formatCode>
                <c:ptCount val="16"/>
                <c:pt idx="0">
                  <c:v>6.5118903328625066</c:v>
                </c:pt>
                <c:pt idx="1">
                  <c:v>0</c:v>
                </c:pt>
                <c:pt idx="2">
                  <c:v>10.469313906741149</c:v>
                </c:pt>
                <c:pt idx="3">
                  <c:v>11.837759999999999</c:v>
                </c:pt>
                <c:pt idx="4">
                  <c:v>0</c:v>
                </c:pt>
                <c:pt idx="5">
                  <c:v>0</c:v>
                </c:pt>
                <c:pt idx="6">
                  <c:v>11.837759999999999</c:v>
                </c:pt>
                <c:pt idx="7">
                  <c:v>0</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2-0719-4E75-BC7F-F3634D317B8F}"/>
            </c:ext>
          </c:extLst>
        </c:ser>
        <c:ser>
          <c:idx val="3"/>
          <c:order val="3"/>
          <c:tx>
            <c:strRef>
              <c:f>Sheet2!$E$17:$E$18</c:f>
              <c:strCache>
                <c:ptCount val="1"/>
                <c:pt idx="0">
                  <c:v>CTCM</c:v>
                </c:pt>
              </c:strCache>
            </c:strRef>
          </c:tx>
          <c:spPr>
            <a:solidFill>
              <a:srgbClr val="AFABAB"/>
            </a:solidFill>
            <a:ln>
              <a:noFill/>
            </a:ln>
            <a:effectLst/>
          </c:spPr>
          <c:invertIfNegative val="0"/>
          <c:cat>
            <c:multiLvlStrRef>
              <c:f>Sheet2!$A$19:$A$37</c:f>
              <c:multiLvlStrCache>
                <c:ptCount val="16"/>
                <c:lvl>
                  <c:pt idx="0">
                    <c:v>111</c:v>
                  </c:pt>
                  <c:pt idx="1">
                    <c:v>112</c:v>
                  </c:pt>
                  <c:pt idx="2">
                    <c:v>113</c:v>
                  </c:pt>
                  <c:pt idx="3">
                    <c:v>114</c:v>
                  </c:pt>
                  <c:pt idx="4">
                    <c:v>115</c:v>
                  </c:pt>
                  <c:pt idx="5">
                    <c:v>116</c:v>
                  </c:pt>
                  <c:pt idx="6">
                    <c:v>117</c:v>
                  </c:pt>
                  <c:pt idx="7">
                    <c:v>118</c:v>
                  </c:pt>
                  <c:pt idx="8">
                    <c:v>111</c:v>
                  </c:pt>
                  <c:pt idx="9">
                    <c:v>112</c:v>
                  </c:pt>
                  <c:pt idx="10">
                    <c:v>113</c:v>
                  </c:pt>
                  <c:pt idx="11">
                    <c:v>114</c:v>
                  </c:pt>
                  <c:pt idx="12">
                    <c:v>115</c:v>
                  </c:pt>
                  <c:pt idx="13">
                    <c:v>116</c:v>
                  </c:pt>
                  <c:pt idx="14">
                    <c:v>117</c:v>
                  </c:pt>
                  <c:pt idx="15">
                    <c:v>118</c:v>
                  </c:pt>
                </c:lvl>
                <c:lvl>
                  <c:pt idx="0">
                    <c:v>2019</c:v>
                  </c:pt>
                  <c:pt idx="8">
                    <c:v>2030</c:v>
                  </c:pt>
                </c:lvl>
              </c:multiLvlStrCache>
            </c:multiLvlStrRef>
          </c:cat>
          <c:val>
            <c:numRef>
              <c:f>Sheet2!$E$19:$E$37</c:f>
              <c:numCache>
                <c:formatCode>General</c:formatCode>
                <c:ptCount val="16"/>
                <c:pt idx="0">
                  <c:v>9.8440319999999986</c:v>
                </c:pt>
                <c:pt idx="1">
                  <c:v>9.8440319999999986</c:v>
                </c:pt>
                <c:pt idx="2">
                  <c:v>9.8440320000000003</c:v>
                </c:pt>
                <c:pt idx="3">
                  <c:v>3.130331436870522</c:v>
                </c:pt>
                <c:pt idx="4">
                  <c:v>0</c:v>
                </c:pt>
                <c:pt idx="5">
                  <c:v>9.8440320000000003</c:v>
                </c:pt>
                <c:pt idx="6">
                  <c:v>9.8440320000000003</c:v>
                </c:pt>
                <c:pt idx="7">
                  <c:v>8.4812782629716601</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3-0719-4E75-BC7F-F3634D317B8F}"/>
            </c:ext>
          </c:extLst>
        </c:ser>
        <c:ser>
          <c:idx val="4"/>
          <c:order val="4"/>
          <c:tx>
            <c:strRef>
              <c:f>Sheet2!$F$17:$F$18</c:f>
              <c:strCache>
                <c:ptCount val="1"/>
                <c:pt idx="0">
                  <c:v>CTDO</c:v>
                </c:pt>
              </c:strCache>
            </c:strRef>
          </c:tx>
          <c:spPr>
            <a:solidFill>
              <a:srgbClr val="D0CECE"/>
            </a:solidFill>
            <a:ln>
              <a:noFill/>
            </a:ln>
            <a:effectLst/>
          </c:spPr>
          <c:invertIfNegative val="0"/>
          <c:cat>
            <c:multiLvlStrRef>
              <c:f>Sheet2!$A$19:$A$37</c:f>
              <c:multiLvlStrCache>
                <c:ptCount val="16"/>
                <c:lvl>
                  <c:pt idx="0">
                    <c:v>111</c:v>
                  </c:pt>
                  <c:pt idx="1">
                    <c:v>112</c:v>
                  </c:pt>
                  <c:pt idx="2">
                    <c:v>113</c:v>
                  </c:pt>
                  <c:pt idx="3">
                    <c:v>114</c:v>
                  </c:pt>
                  <c:pt idx="4">
                    <c:v>115</c:v>
                  </c:pt>
                  <c:pt idx="5">
                    <c:v>116</c:v>
                  </c:pt>
                  <c:pt idx="6">
                    <c:v>117</c:v>
                  </c:pt>
                  <c:pt idx="7">
                    <c:v>118</c:v>
                  </c:pt>
                  <c:pt idx="8">
                    <c:v>111</c:v>
                  </c:pt>
                  <c:pt idx="9">
                    <c:v>112</c:v>
                  </c:pt>
                  <c:pt idx="10">
                    <c:v>113</c:v>
                  </c:pt>
                  <c:pt idx="11">
                    <c:v>114</c:v>
                  </c:pt>
                  <c:pt idx="12">
                    <c:v>115</c:v>
                  </c:pt>
                  <c:pt idx="13">
                    <c:v>116</c:v>
                  </c:pt>
                  <c:pt idx="14">
                    <c:v>117</c:v>
                  </c:pt>
                  <c:pt idx="15">
                    <c:v>118</c:v>
                  </c:pt>
                </c:lvl>
                <c:lvl>
                  <c:pt idx="0">
                    <c:v>2019</c:v>
                  </c:pt>
                  <c:pt idx="8">
                    <c:v>2030</c:v>
                  </c:pt>
                </c:lvl>
              </c:multiLvlStrCache>
            </c:multiLvlStrRef>
          </c:cat>
          <c:val>
            <c:numRef>
              <c:f>Sheet2!$F$19:$F$37</c:f>
              <c:numCache>
                <c:formatCode>General</c:formatCode>
                <c:ptCount val="16"/>
                <c:pt idx="0">
                  <c:v>11.21472</c:v>
                </c:pt>
                <c:pt idx="1">
                  <c:v>8.5996748963265315</c:v>
                </c:pt>
                <c:pt idx="2">
                  <c:v>0</c:v>
                </c:pt>
                <c:pt idx="3">
                  <c:v>11.21472</c:v>
                </c:pt>
                <c:pt idx="4">
                  <c:v>11.21472</c:v>
                </c:pt>
                <c:pt idx="5">
                  <c:v>11.21472</c:v>
                </c:pt>
                <c:pt idx="6">
                  <c:v>11.21472</c:v>
                </c:pt>
                <c:pt idx="7">
                  <c:v>11.21472</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4-0719-4E75-BC7F-F3634D317B8F}"/>
            </c:ext>
          </c:extLst>
        </c:ser>
        <c:ser>
          <c:idx val="5"/>
          <c:order val="5"/>
          <c:tx>
            <c:strRef>
              <c:f>Sheet2!$G$17:$G$18</c:f>
              <c:strCache>
                <c:ptCount val="1"/>
                <c:pt idx="0">
                  <c:v>CTEG</c:v>
                </c:pt>
              </c:strCache>
            </c:strRef>
          </c:tx>
          <c:spPr>
            <a:solidFill>
              <a:srgbClr val="E7E6E6"/>
            </a:solidFill>
            <a:ln>
              <a:noFill/>
            </a:ln>
            <a:effectLst/>
          </c:spPr>
          <c:invertIfNegative val="0"/>
          <c:cat>
            <c:multiLvlStrRef>
              <c:f>Sheet2!$A$19:$A$37</c:f>
              <c:multiLvlStrCache>
                <c:ptCount val="16"/>
                <c:lvl>
                  <c:pt idx="0">
                    <c:v>111</c:v>
                  </c:pt>
                  <c:pt idx="1">
                    <c:v>112</c:v>
                  </c:pt>
                  <c:pt idx="2">
                    <c:v>113</c:v>
                  </c:pt>
                  <c:pt idx="3">
                    <c:v>114</c:v>
                  </c:pt>
                  <c:pt idx="4">
                    <c:v>115</c:v>
                  </c:pt>
                  <c:pt idx="5">
                    <c:v>116</c:v>
                  </c:pt>
                  <c:pt idx="6">
                    <c:v>117</c:v>
                  </c:pt>
                  <c:pt idx="7">
                    <c:v>118</c:v>
                  </c:pt>
                  <c:pt idx="8">
                    <c:v>111</c:v>
                  </c:pt>
                  <c:pt idx="9">
                    <c:v>112</c:v>
                  </c:pt>
                  <c:pt idx="10">
                    <c:v>113</c:v>
                  </c:pt>
                  <c:pt idx="11">
                    <c:v>114</c:v>
                  </c:pt>
                  <c:pt idx="12">
                    <c:v>115</c:v>
                  </c:pt>
                  <c:pt idx="13">
                    <c:v>116</c:v>
                  </c:pt>
                  <c:pt idx="14">
                    <c:v>117</c:v>
                  </c:pt>
                  <c:pt idx="15">
                    <c:v>118</c:v>
                  </c:pt>
                </c:lvl>
                <c:lvl>
                  <c:pt idx="0">
                    <c:v>2019</c:v>
                  </c:pt>
                  <c:pt idx="8">
                    <c:v>2030</c:v>
                  </c:pt>
                </c:lvl>
              </c:multiLvlStrCache>
            </c:multiLvlStrRef>
          </c:cat>
          <c:val>
            <c:numRef>
              <c:f>Sheet2!$G$19:$G$37</c:f>
              <c:numCache>
                <c:formatCode>General</c:formatCode>
                <c:ptCount val="16"/>
                <c:pt idx="0">
                  <c:v>9.3455999999999992</c:v>
                </c:pt>
                <c:pt idx="1">
                  <c:v>9.3455999999999992</c:v>
                </c:pt>
                <c:pt idx="2">
                  <c:v>9.3455999999999992</c:v>
                </c:pt>
                <c:pt idx="3">
                  <c:v>9.345600000000001</c:v>
                </c:pt>
                <c:pt idx="4">
                  <c:v>9.3455999999999992</c:v>
                </c:pt>
                <c:pt idx="5">
                  <c:v>9.345600000000001</c:v>
                </c:pt>
                <c:pt idx="6">
                  <c:v>9.3455999999999992</c:v>
                </c:pt>
                <c:pt idx="7">
                  <c:v>5.0201334369888819</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5-0719-4E75-BC7F-F3634D317B8F}"/>
            </c:ext>
          </c:extLst>
        </c:ser>
        <c:ser>
          <c:idx val="6"/>
          <c:order val="6"/>
          <c:tx>
            <c:strRef>
              <c:f>Sheet2!$H$17:$H$18</c:f>
              <c:strCache>
                <c:ptCount val="1"/>
                <c:pt idx="0">
                  <c:v>CTLR</c:v>
                </c:pt>
              </c:strCache>
            </c:strRef>
          </c:tx>
          <c:spPr>
            <a:solidFill>
              <a:srgbClr val="EEEEEE"/>
            </a:solidFill>
            <a:ln>
              <a:noFill/>
            </a:ln>
            <a:effectLst/>
          </c:spPr>
          <c:invertIfNegative val="0"/>
          <c:cat>
            <c:multiLvlStrRef>
              <c:f>Sheet2!$A$19:$A$37</c:f>
              <c:multiLvlStrCache>
                <c:ptCount val="16"/>
                <c:lvl>
                  <c:pt idx="0">
                    <c:v>111</c:v>
                  </c:pt>
                  <c:pt idx="1">
                    <c:v>112</c:v>
                  </c:pt>
                  <c:pt idx="2">
                    <c:v>113</c:v>
                  </c:pt>
                  <c:pt idx="3">
                    <c:v>114</c:v>
                  </c:pt>
                  <c:pt idx="4">
                    <c:v>115</c:v>
                  </c:pt>
                  <c:pt idx="5">
                    <c:v>116</c:v>
                  </c:pt>
                  <c:pt idx="6">
                    <c:v>117</c:v>
                  </c:pt>
                  <c:pt idx="7">
                    <c:v>118</c:v>
                  </c:pt>
                  <c:pt idx="8">
                    <c:v>111</c:v>
                  </c:pt>
                  <c:pt idx="9">
                    <c:v>112</c:v>
                  </c:pt>
                  <c:pt idx="10">
                    <c:v>113</c:v>
                  </c:pt>
                  <c:pt idx="11">
                    <c:v>114</c:v>
                  </c:pt>
                  <c:pt idx="12">
                    <c:v>115</c:v>
                  </c:pt>
                  <c:pt idx="13">
                    <c:v>116</c:v>
                  </c:pt>
                  <c:pt idx="14">
                    <c:v>117</c:v>
                  </c:pt>
                  <c:pt idx="15">
                    <c:v>118</c:v>
                  </c:pt>
                </c:lvl>
                <c:lvl>
                  <c:pt idx="0">
                    <c:v>2019</c:v>
                  </c:pt>
                  <c:pt idx="8">
                    <c:v>2030</c:v>
                  </c:pt>
                </c:lvl>
              </c:multiLvlStrCache>
            </c:multiLvlStrRef>
          </c:cat>
          <c:val>
            <c:numRef>
              <c:f>Sheet2!$H$19:$H$37</c:f>
              <c:numCache>
                <c:formatCode>General</c:formatCode>
                <c:ptCount val="16"/>
                <c:pt idx="0">
                  <c:v>0</c:v>
                </c:pt>
                <c:pt idx="1">
                  <c:v>0</c:v>
                </c:pt>
                <c:pt idx="2">
                  <c:v>0</c:v>
                </c:pt>
                <c:pt idx="3">
                  <c:v>0</c:v>
                </c:pt>
                <c:pt idx="4">
                  <c:v>14.460746915589461</c:v>
                </c:pt>
                <c:pt idx="5">
                  <c:v>4.6065525649539678</c:v>
                </c:pt>
                <c:pt idx="6">
                  <c:v>0</c:v>
                </c:pt>
                <c:pt idx="7">
                  <c:v>15.576000000000001</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6-0719-4E75-BC7F-F3634D317B8F}"/>
            </c:ext>
          </c:extLst>
        </c:ser>
        <c:ser>
          <c:idx val="7"/>
          <c:order val="7"/>
          <c:tx>
            <c:strRef>
              <c:f>Sheet2!$I$17:$I$18</c:f>
              <c:strCache>
                <c:ptCount val="1"/>
                <c:pt idx="0">
                  <c:v>CTMG</c:v>
                </c:pt>
              </c:strCache>
            </c:strRef>
          </c:tx>
          <c:spPr>
            <a:solidFill>
              <a:srgbClr val="F0F0F0"/>
            </a:solidFill>
            <a:ln>
              <a:noFill/>
            </a:ln>
            <a:effectLst/>
          </c:spPr>
          <c:invertIfNegative val="0"/>
          <c:cat>
            <c:multiLvlStrRef>
              <c:f>Sheet2!$A$19:$A$37</c:f>
              <c:multiLvlStrCache>
                <c:ptCount val="16"/>
                <c:lvl>
                  <c:pt idx="0">
                    <c:v>111</c:v>
                  </c:pt>
                  <c:pt idx="1">
                    <c:v>112</c:v>
                  </c:pt>
                  <c:pt idx="2">
                    <c:v>113</c:v>
                  </c:pt>
                  <c:pt idx="3">
                    <c:v>114</c:v>
                  </c:pt>
                  <c:pt idx="4">
                    <c:v>115</c:v>
                  </c:pt>
                  <c:pt idx="5">
                    <c:v>116</c:v>
                  </c:pt>
                  <c:pt idx="6">
                    <c:v>117</c:v>
                  </c:pt>
                  <c:pt idx="7">
                    <c:v>118</c:v>
                  </c:pt>
                  <c:pt idx="8">
                    <c:v>111</c:v>
                  </c:pt>
                  <c:pt idx="9">
                    <c:v>112</c:v>
                  </c:pt>
                  <c:pt idx="10">
                    <c:v>113</c:v>
                  </c:pt>
                  <c:pt idx="11">
                    <c:v>114</c:v>
                  </c:pt>
                  <c:pt idx="12">
                    <c:v>115</c:v>
                  </c:pt>
                  <c:pt idx="13">
                    <c:v>116</c:v>
                  </c:pt>
                  <c:pt idx="14">
                    <c:v>117</c:v>
                  </c:pt>
                  <c:pt idx="15">
                    <c:v>118</c:v>
                  </c:pt>
                </c:lvl>
                <c:lvl>
                  <c:pt idx="0">
                    <c:v>2019</c:v>
                  </c:pt>
                  <c:pt idx="8">
                    <c:v>2030</c:v>
                  </c:pt>
                </c:lvl>
              </c:multiLvlStrCache>
            </c:multiLvlStrRef>
          </c:cat>
          <c:val>
            <c:numRef>
              <c:f>Sheet2!$I$19:$I$37</c:f>
              <c:numCache>
                <c:formatCode>General</c:formatCode>
                <c:ptCount val="16"/>
                <c:pt idx="0">
                  <c:v>2.21501414351623</c:v>
                </c:pt>
                <c:pt idx="1">
                  <c:v>8.4110399999999998</c:v>
                </c:pt>
                <c:pt idx="2">
                  <c:v>8.4110400000000016</c:v>
                </c:pt>
                <c:pt idx="3">
                  <c:v>3.85120027428423</c:v>
                </c:pt>
                <c:pt idx="4">
                  <c:v>3.837319255565752</c:v>
                </c:pt>
                <c:pt idx="5">
                  <c:v>1.9772529861319079</c:v>
                </c:pt>
                <c:pt idx="6">
                  <c:v>3.9096824027982011</c:v>
                </c:pt>
                <c:pt idx="7">
                  <c:v>8.4110400000000016</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7-0719-4E75-BC7F-F3634D317B8F}"/>
            </c:ext>
          </c:extLst>
        </c:ser>
        <c:ser>
          <c:idx val="8"/>
          <c:order val="8"/>
          <c:tx>
            <c:strRef>
              <c:f>Sheet2!$J$17:$J$18</c:f>
              <c:strCache>
                <c:ptCount val="1"/>
                <c:pt idx="0">
                  <c:v>CTNUE</c:v>
                </c:pt>
              </c:strCache>
            </c:strRef>
          </c:tx>
          <c:spPr>
            <a:solidFill>
              <a:srgbClr val="4B4747"/>
            </a:solidFill>
            <a:ln>
              <a:noFill/>
            </a:ln>
            <a:effectLst/>
          </c:spPr>
          <c:invertIfNegative val="0"/>
          <c:cat>
            <c:multiLvlStrRef>
              <c:f>Sheet2!$A$19:$A$37</c:f>
              <c:multiLvlStrCache>
                <c:ptCount val="16"/>
                <c:lvl>
                  <c:pt idx="0">
                    <c:v>111</c:v>
                  </c:pt>
                  <c:pt idx="1">
                    <c:v>112</c:v>
                  </c:pt>
                  <c:pt idx="2">
                    <c:v>113</c:v>
                  </c:pt>
                  <c:pt idx="3">
                    <c:v>114</c:v>
                  </c:pt>
                  <c:pt idx="4">
                    <c:v>115</c:v>
                  </c:pt>
                  <c:pt idx="5">
                    <c:v>116</c:v>
                  </c:pt>
                  <c:pt idx="6">
                    <c:v>117</c:v>
                  </c:pt>
                  <c:pt idx="7">
                    <c:v>118</c:v>
                  </c:pt>
                  <c:pt idx="8">
                    <c:v>111</c:v>
                  </c:pt>
                  <c:pt idx="9">
                    <c:v>112</c:v>
                  </c:pt>
                  <c:pt idx="10">
                    <c:v>113</c:v>
                  </c:pt>
                  <c:pt idx="11">
                    <c:v>114</c:v>
                  </c:pt>
                  <c:pt idx="12">
                    <c:v>115</c:v>
                  </c:pt>
                  <c:pt idx="13">
                    <c:v>116</c:v>
                  </c:pt>
                  <c:pt idx="14">
                    <c:v>117</c:v>
                  </c:pt>
                  <c:pt idx="15">
                    <c:v>118</c:v>
                  </c:pt>
                </c:lvl>
                <c:lvl>
                  <c:pt idx="0">
                    <c:v>2019</c:v>
                  </c:pt>
                  <c:pt idx="8">
                    <c:v>2030</c:v>
                  </c:pt>
                </c:lvl>
              </c:multiLvlStrCache>
            </c:multiLvlStrRef>
          </c:cat>
          <c:val>
            <c:numRef>
              <c:f>Sheet2!$J$19:$J$37</c:f>
              <c:numCache>
                <c:formatCode>General</c:formatCode>
                <c:ptCount val="16"/>
                <c:pt idx="0">
                  <c:v>0</c:v>
                </c:pt>
                <c:pt idx="1">
                  <c:v>0</c:v>
                </c:pt>
                <c:pt idx="2">
                  <c:v>0</c:v>
                </c:pt>
                <c:pt idx="3">
                  <c:v>0</c:v>
                </c:pt>
                <c:pt idx="4">
                  <c:v>0</c:v>
                </c:pt>
                <c:pt idx="5">
                  <c:v>0</c:v>
                </c:pt>
                <c:pt idx="6">
                  <c:v>0</c:v>
                </c:pt>
                <c:pt idx="7">
                  <c:v>0</c:v>
                </c:pt>
                <c:pt idx="8">
                  <c:v>53.698257951187507</c:v>
                </c:pt>
                <c:pt idx="9">
                  <c:v>45.918644777894499</c:v>
                </c:pt>
                <c:pt idx="10">
                  <c:v>53.698257951187522</c:v>
                </c:pt>
                <c:pt idx="11">
                  <c:v>47.925911525731117</c:v>
                </c:pt>
                <c:pt idx="12">
                  <c:v>17.85492663200905</c:v>
                </c:pt>
                <c:pt idx="13">
                  <c:v>0</c:v>
                </c:pt>
                <c:pt idx="14">
                  <c:v>24.28338320716481</c:v>
                </c:pt>
                <c:pt idx="15">
                  <c:v>53.698257951187522</c:v>
                </c:pt>
              </c:numCache>
            </c:numRef>
          </c:val>
          <c:extLst>
            <c:ext xmlns:c16="http://schemas.microsoft.com/office/drawing/2014/chart" uri="{C3380CC4-5D6E-409C-BE32-E72D297353CC}">
              <c16:uniqueId val="{00000008-0719-4E75-BC7F-F3634D317B8F}"/>
            </c:ext>
          </c:extLst>
        </c:ser>
        <c:ser>
          <c:idx val="9"/>
          <c:order val="9"/>
          <c:tx>
            <c:strRef>
              <c:f>Sheet2!$K$17:$K$18</c:f>
              <c:strCache>
                <c:ptCount val="1"/>
                <c:pt idx="0">
                  <c:v>CTOP</c:v>
                </c:pt>
              </c:strCache>
            </c:strRef>
          </c:tx>
          <c:spPr>
            <a:solidFill>
              <a:srgbClr val="997300"/>
            </a:solidFill>
            <a:ln>
              <a:noFill/>
            </a:ln>
            <a:effectLst/>
          </c:spPr>
          <c:invertIfNegative val="0"/>
          <c:cat>
            <c:multiLvlStrRef>
              <c:f>Sheet2!$A$19:$A$37</c:f>
              <c:multiLvlStrCache>
                <c:ptCount val="16"/>
                <c:lvl>
                  <c:pt idx="0">
                    <c:v>111</c:v>
                  </c:pt>
                  <c:pt idx="1">
                    <c:v>112</c:v>
                  </c:pt>
                  <c:pt idx="2">
                    <c:v>113</c:v>
                  </c:pt>
                  <c:pt idx="3">
                    <c:v>114</c:v>
                  </c:pt>
                  <c:pt idx="4">
                    <c:v>115</c:v>
                  </c:pt>
                  <c:pt idx="5">
                    <c:v>116</c:v>
                  </c:pt>
                  <c:pt idx="6">
                    <c:v>117</c:v>
                  </c:pt>
                  <c:pt idx="7">
                    <c:v>118</c:v>
                  </c:pt>
                  <c:pt idx="8">
                    <c:v>111</c:v>
                  </c:pt>
                  <c:pt idx="9">
                    <c:v>112</c:v>
                  </c:pt>
                  <c:pt idx="10">
                    <c:v>113</c:v>
                  </c:pt>
                  <c:pt idx="11">
                    <c:v>114</c:v>
                  </c:pt>
                  <c:pt idx="12">
                    <c:v>115</c:v>
                  </c:pt>
                  <c:pt idx="13">
                    <c:v>116</c:v>
                  </c:pt>
                  <c:pt idx="14">
                    <c:v>117</c:v>
                  </c:pt>
                  <c:pt idx="15">
                    <c:v>118</c:v>
                  </c:pt>
                </c:lvl>
                <c:lvl>
                  <c:pt idx="0">
                    <c:v>2019</c:v>
                  </c:pt>
                  <c:pt idx="8">
                    <c:v>2030</c:v>
                  </c:pt>
                </c:lvl>
              </c:multiLvlStrCache>
            </c:multiLvlStrRef>
          </c:cat>
          <c:val>
            <c:numRef>
              <c:f>Sheet2!$K$19:$K$37</c:f>
              <c:numCache>
                <c:formatCode>General</c:formatCode>
                <c:ptCount val="16"/>
                <c:pt idx="0">
                  <c:v>1.8691199999999999</c:v>
                </c:pt>
                <c:pt idx="1">
                  <c:v>1.8691199999999999</c:v>
                </c:pt>
                <c:pt idx="2">
                  <c:v>0.20344160890333179</c:v>
                </c:pt>
                <c:pt idx="3">
                  <c:v>0</c:v>
                </c:pt>
                <c:pt idx="4">
                  <c:v>0</c:v>
                </c:pt>
                <c:pt idx="5">
                  <c:v>1.8691199999999999</c:v>
                </c:pt>
                <c:pt idx="6">
                  <c:v>0</c:v>
                </c:pt>
                <c:pt idx="7">
                  <c:v>0</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9-0719-4E75-BC7F-F3634D317B8F}"/>
            </c:ext>
          </c:extLst>
        </c:ser>
        <c:ser>
          <c:idx val="10"/>
          <c:order val="10"/>
          <c:tx>
            <c:strRef>
              <c:f>Sheet2!$L$17:$L$18</c:f>
              <c:strCache>
                <c:ptCount val="1"/>
                <c:pt idx="0">
                  <c:v>EOLICA</c:v>
                </c:pt>
              </c:strCache>
            </c:strRef>
          </c:tx>
          <c:spPr>
            <a:solidFill>
              <a:srgbClr val="4BCFDD"/>
            </a:solidFill>
            <a:ln>
              <a:noFill/>
            </a:ln>
            <a:effectLst/>
          </c:spPr>
          <c:invertIfNegative val="0"/>
          <c:cat>
            <c:multiLvlStrRef>
              <c:f>Sheet2!$A$19:$A$37</c:f>
              <c:multiLvlStrCache>
                <c:ptCount val="16"/>
                <c:lvl>
                  <c:pt idx="0">
                    <c:v>111</c:v>
                  </c:pt>
                  <c:pt idx="1">
                    <c:v>112</c:v>
                  </c:pt>
                  <c:pt idx="2">
                    <c:v>113</c:v>
                  </c:pt>
                  <c:pt idx="3">
                    <c:v>114</c:v>
                  </c:pt>
                  <c:pt idx="4">
                    <c:v>115</c:v>
                  </c:pt>
                  <c:pt idx="5">
                    <c:v>116</c:v>
                  </c:pt>
                  <c:pt idx="6">
                    <c:v>117</c:v>
                  </c:pt>
                  <c:pt idx="7">
                    <c:v>118</c:v>
                  </c:pt>
                  <c:pt idx="8">
                    <c:v>111</c:v>
                  </c:pt>
                  <c:pt idx="9">
                    <c:v>112</c:v>
                  </c:pt>
                  <c:pt idx="10">
                    <c:v>113</c:v>
                  </c:pt>
                  <c:pt idx="11">
                    <c:v>114</c:v>
                  </c:pt>
                  <c:pt idx="12">
                    <c:v>115</c:v>
                  </c:pt>
                  <c:pt idx="13">
                    <c:v>116</c:v>
                  </c:pt>
                  <c:pt idx="14">
                    <c:v>117</c:v>
                  </c:pt>
                  <c:pt idx="15">
                    <c:v>118</c:v>
                  </c:pt>
                </c:lvl>
                <c:lvl>
                  <c:pt idx="0">
                    <c:v>2019</c:v>
                  </c:pt>
                  <c:pt idx="8">
                    <c:v>2030</c:v>
                  </c:pt>
                </c:lvl>
              </c:multiLvlStrCache>
            </c:multiLvlStrRef>
          </c:cat>
          <c:val>
            <c:numRef>
              <c:f>Sheet2!$L$19:$L$37</c:f>
              <c:numCache>
                <c:formatCode>General</c:formatCode>
                <c:ptCount val="16"/>
                <c:pt idx="0">
                  <c:v>0.15211892378026531</c:v>
                </c:pt>
                <c:pt idx="1">
                  <c:v>0.14059664631467131</c:v>
                </c:pt>
                <c:pt idx="2">
                  <c:v>0.14015751214665659</c:v>
                </c:pt>
                <c:pt idx="3">
                  <c:v>0.1235964091803311</c:v>
                </c:pt>
                <c:pt idx="4">
                  <c:v>0.1218966926026491</c:v>
                </c:pt>
                <c:pt idx="5">
                  <c:v>0.12300531267200369</c:v>
                </c:pt>
                <c:pt idx="6">
                  <c:v>0.1307574861413168</c:v>
                </c:pt>
                <c:pt idx="7">
                  <c:v>0.1522951637973167</c:v>
                </c:pt>
                <c:pt idx="8">
                  <c:v>10.98411346497552</c:v>
                </c:pt>
                <c:pt idx="9">
                  <c:v>10.152119654396779</c:v>
                </c:pt>
                <c:pt idx="10">
                  <c:v>10.120410913578789</c:v>
                </c:pt>
                <c:pt idx="11">
                  <c:v>8.924576565257393</c:v>
                </c:pt>
                <c:pt idx="12">
                  <c:v>8.8018444338127892</c:v>
                </c:pt>
                <c:pt idx="13">
                  <c:v>8.5892751287505913</c:v>
                </c:pt>
                <c:pt idx="14">
                  <c:v>9.441659383851654</c:v>
                </c:pt>
                <c:pt idx="15">
                  <c:v>10.99683930010781</c:v>
                </c:pt>
              </c:numCache>
            </c:numRef>
          </c:val>
          <c:extLst>
            <c:ext xmlns:c16="http://schemas.microsoft.com/office/drawing/2014/chart" uri="{C3380CC4-5D6E-409C-BE32-E72D297353CC}">
              <c16:uniqueId val="{0000000A-0719-4E75-BC7F-F3634D317B8F}"/>
            </c:ext>
          </c:extLst>
        </c:ser>
        <c:ser>
          <c:idx val="11"/>
          <c:order val="11"/>
          <c:tx>
            <c:strRef>
              <c:f>Sheet2!$M$17:$M$18</c:f>
              <c:strCache>
                <c:ptCount val="1"/>
                <c:pt idx="0">
                  <c:v>GEDIESEL</c:v>
                </c:pt>
              </c:strCache>
            </c:strRef>
          </c:tx>
          <c:spPr>
            <a:solidFill>
              <a:schemeClr val="accent1">
                <a:lumMod val="60000"/>
                <a:lumOff val="40000"/>
              </a:schemeClr>
            </a:solidFill>
            <a:ln>
              <a:noFill/>
            </a:ln>
            <a:effectLst/>
          </c:spPr>
          <c:invertIfNegative val="0"/>
          <c:cat>
            <c:multiLvlStrRef>
              <c:f>Sheet2!$A$19:$A$37</c:f>
              <c:multiLvlStrCache>
                <c:ptCount val="16"/>
                <c:lvl>
                  <c:pt idx="0">
                    <c:v>111</c:v>
                  </c:pt>
                  <c:pt idx="1">
                    <c:v>112</c:v>
                  </c:pt>
                  <c:pt idx="2">
                    <c:v>113</c:v>
                  </c:pt>
                  <c:pt idx="3">
                    <c:v>114</c:v>
                  </c:pt>
                  <c:pt idx="4">
                    <c:v>115</c:v>
                  </c:pt>
                  <c:pt idx="5">
                    <c:v>116</c:v>
                  </c:pt>
                  <c:pt idx="6">
                    <c:v>117</c:v>
                  </c:pt>
                  <c:pt idx="7">
                    <c:v>118</c:v>
                  </c:pt>
                  <c:pt idx="8">
                    <c:v>111</c:v>
                  </c:pt>
                  <c:pt idx="9">
                    <c:v>112</c:v>
                  </c:pt>
                  <c:pt idx="10">
                    <c:v>113</c:v>
                  </c:pt>
                  <c:pt idx="11">
                    <c:v>114</c:v>
                  </c:pt>
                  <c:pt idx="12">
                    <c:v>115</c:v>
                  </c:pt>
                  <c:pt idx="13">
                    <c:v>116</c:v>
                  </c:pt>
                  <c:pt idx="14">
                    <c:v>117</c:v>
                  </c:pt>
                  <c:pt idx="15">
                    <c:v>118</c:v>
                  </c:pt>
                </c:lvl>
                <c:lvl>
                  <c:pt idx="0">
                    <c:v>2019</c:v>
                  </c:pt>
                  <c:pt idx="8">
                    <c:v>2030</c:v>
                  </c:pt>
                </c:lvl>
              </c:multiLvlStrCache>
            </c:multiLvlStrRef>
          </c:cat>
          <c:val>
            <c:numRef>
              <c:f>Sheet2!$M$19:$M$37</c:f>
              <c:numCache>
                <c:formatCode>General</c:formatCode>
                <c:ptCount val="16"/>
                <c:pt idx="0">
                  <c:v>4.676621937255371</c:v>
                </c:pt>
                <c:pt idx="1">
                  <c:v>0</c:v>
                </c:pt>
                <c:pt idx="2">
                  <c:v>0</c:v>
                </c:pt>
                <c:pt idx="3">
                  <c:v>7.6949327946705424</c:v>
                </c:pt>
                <c:pt idx="4">
                  <c:v>16.043683457102301</c:v>
                </c:pt>
                <c:pt idx="5">
                  <c:v>7.5112740412472689</c:v>
                </c:pt>
                <c:pt idx="6">
                  <c:v>13.75537027457681</c:v>
                </c:pt>
                <c:pt idx="7">
                  <c:v>27.137007290141511</c:v>
                </c:pt>
                <c:pt idx="8">
                  <c:v>0</c:v>
                </c:pt>
                <c:pt idx="9">
                  <c:v>0</c:v>
                </c:pt>
                <c:pt idx="10">
                  <c:v>0</c:v>
                </c:pt>
                <c:pt idx="11">
                  <c:v>0</c:v>
                </c:pt>
                <c:pt idx="12">
                  <c:v>0</c:v>
                </c:pt>
                <c:pt idx="13">
                  <c:v>0</c:v>
                </c:pt>
                <c:pt idx="14">
                  <c:v>0</c:v>
                </c:pt>
                <c:pt idx="15">
                  <c:v>3.0341768509486542</c:v>
                </c:pt>
              </c:numCache>
            </c:numRef>
          </c:val>
          <c:extLst>
            <c:ext xmlns:c16="http://schemas.microsoft.com/office/drawing/2014/chart" uri="{C3380CC4-5D6E-409C-BE32-E72D297353CC}">
              <c16:uniqueId val="{0000000B-0719-4E75-BC7F-F3634D317B8F}"/>
            </c:ext>
          </c:extLst>
        </c:ser>
        <c:ser>
          <c:idx val="12"/>
          <c:order val="12"/>
          <c:tx>
            <c:strRef>
              <c:f>Sheet2!$N$17:$N$18</c:f>
              <c:strCache>
                <c:ptCount val="1"/>
                <c:pt idx="0">
                  <c:v>GEFUEL</c:v>
                </c:pt>
              </c:strCache>
            </c:strRef>
          </c:tx>
          <c:spPr>
            <a:solidFill>
              <a:schemeClr val="tx2">
                <a:lumMod val="60000"/>
                <a:lumOff val="40000"/>
              </a:schemeClr>
            </a:solidFill>
            <a:ln>
              <a:noFill/>
            </a:ln>
            <a:effectLst/>
          </c:spPr>
          <c:invertIfNegative val="0"/>
          <c:cat>
            <c:multiLvlStrRef>
              <c:f>Sheet2!$A$19:$A$37</c:f>
              <c:multiLvlStrCache>
                <c:ptCount val="16"/>
                <c:lvl>
                  <c:pt idx="0">
                    <c:v>111</c:v>
                  </c:pt>
                  <c:pt idx="1">
                    <c:v>112</c:v>
                  </c:pt>
                  <c:pt idx="2">
                    <c:v>113</c:v>
                  </c:pt>
                  <c:pt idx="3">
                    <c:v>114</c:v>
                  </c:pt>
                  <c:pt idx="4">
                    <c:v>115</c:v>
                  </c:pt>
                  <c:pt idx="5">
                    <c:v>116</c:v>
                  </c:pt>
                  <c:pt idx="6">
                    <c:v>117</c:v>
                  </c:pt>
                  <c:pt idx="7">
                    <c:v>118</c:v>
                  </c:pt>
                  <c:pt idx="8">
                    <c:v>111</c:v>
                  </c:pt>
                  <c:pt idx="9">
                    <c:v>112</c:v>
                  </c:pt>
                  <c:pt idx="10">
                    <c:v>113</c:v>
                  </c:pt>
                  <c:pt idx="11">
                    <c:v>114</c:v>
                  </c:pt>
                  <c:pt idx="12">
                    <c:v>115</c:v>
                  </c:pt>
                  <c:pt idx="13">
                    <c:v>116</c:v>
                  </c:pt>
                  <c:pt idx="14">
                    <c:v>117</c:v>
                  </c:pt>
                  <c:pt idx="15">
                    <c:v>118</c:v>
                  </c:pt>
                </c:lvl>
                <c:lvl>
                  <c:pt idx="0">
                    <c:v>2019</c:v>
                  </c:pt>
                  <c:pt idx="8">
                    <c:v>2030</c:v>
                  </c:pt>
                </c:lvl>
              </c:multiLvlStrCache>
            </c:multiLvlStrRef>
          </c:cat>
          <c:val>
            <c:numRef>
              <c:f>Sheet2!$N$19:$N$37</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C-0719-4E75-BC7F-F3634D317B8F}"/>
            </c:ext>
          </c:extLst>
        </c:ser>
        <c:ser>
          <c:idx val="13"/>
          <c:order val="13"/>
          <c:tx>
            <c:strRef>
              <c:f>Sheet2!$O$17:$O$18</c:f>
              <c:strCache>
                <c:ptCount val="1"/>
                <c:pt idx="0">
                  <c:v>GMOVIL</c:v>
                </c:pt>
              </c:strCache>
            </c:strRef>
          </c:tx>
          <c:spPr>
            <a:solidFill>
              <a:schemeClr val="accent2">
                <a:lumMod val="80000"/>
                <a:lumOff val="20000"/>
              </a:schemeClr>
            </a:solidFill>
            <a:ln>
              <a:noFill/>
            </a:ln>
            <a:effectLst/>
          </c:spPr>
          <c:invertIfNegative val="0"/>
          <c:cat>
            <c:multiLvlStrRef>
              <c:f>Sheet2!$A$19:$A$37</c:f>
              <c:multiLvlStrCache>
                <c:ptCount val="16"/>
                <c:lvl>
                  <c:pt idx="0">
                    <c:v>111</c:v>
                  </c:pt>
                  <c:pt idx="1">
                    <c:v>112</c:v>
                  </c:pt>
                  <c:pt idx="2">
                    <c:v>113</c:v>
                  </c:pt>
                  <c:pt idx="3">
                    <c:v>114</c:v>
                  </c:pt>
                  <c:pt idx="4">
                    <c:v>115</c:v>
                  </c:pt>
                  <c:pt idx="5">
                    <c:v>116</c:v>
                  </c:pt>
                  <c:pt idx="6">
                    <c:v>117</c:v>
                  </c:pt>
                  <c:pt idx="7">
                    <c:v>118</c:v>
                  </c:pt>
                  <c:pt idx="8">
                    <c:v>111</c:v>
                  </c:pt>
                  <c:pt idx="9">
                    <c:v>112</c:v>
                  </c:pt>
                  <c:pt idx="10">
                    <c:v>113</c:v>
                  </c:pt>
                  <c:pt idx="11">
                    <c:v>114</c:v>
                  </c:pt>
                  <c:pt idx="12">
                    <c:v>115</c:v>
                  </c:pt>
                  <c:pt idx="13">
                    <c:v>116</c:v>
                  </c:pt>
                  <c:pt idx="14">
                    <c:v>117</c:v>
                  </c:pt>
                  <c:pt idx="15">
                    <c:v>118</c:v>
                  </c:pt>
                </c:lvl>
                <c:lvl>
                  <c:pt idx="0">
                    <c:v>2019</c:v>
                  </c:pt>
                  <c:pt idx="8">
                    <c:v>2030</c:v>
                  </c:pt>
                </c:lvl>
              </c:multiLvlStrCache>
            </c:multiLvlStrRef>
          </c:cat>
          <c:val>
            <c:numRef>
              <c:f>Sheet2!$O$19:$O$37</c:f>
              <c:numCache>
                <c:formatCode>General</c:formatCode>
                <c:ptCount val="16"/>
                <c:pt idx="0">
                  <c:v>1.471603534514667</c:v>
                </c:pt>
                <c:pt idx="1">
                  <c:v>1.471603534514667</c:v>
                </c:pt>
                <c:pt idx="2">
                  <c:v>1.471603534514667</c:v>
                </c:pt>
                <c:pt idx="3">
                  <c:v>1.471603534514667</c:v>
                </c:pt>
                <c:pt idx="4">
                  <c:v>1.471603534514667</c:v>
                </c:pt>
                <c:pt idx="5">
                  <c:v>1.471603534514667</c:v>
                </c:pt>
                <c:pt idx="6">
                  <c:v>1.471603534514667</c:v>
                </c:pt>
                <c:pt idx="7">
                  <c:v>1.471603534514667</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D-0719-4E75-BC7F-F3634D317B8F}"/>
            </c:ext>
          </c:extLst>
        </c:ser>
        <c:ser>
          <c:idx val="14"/>
          <c:order val="14"/>
          <c:tx>
            <c:strRef>
              <c:f>Sheet2!$P$17:$P$18</c:f>
              <c:strCache>
                <c:ptCount val="1"/>
                <c:pt idx="0">
                  <c:v>NGBJ</c:v>
                </c:pt>
              </c:strCache>
            </c:strRef>
          </c:tx>
          <c:spPr>
            <a:solidFill>
              <a:schemeClr val="tx2">
                <a:lumMod val="75000"/>
              </a:schemeClr>
            </a:solidFill>
            <a:ln>
              <a:noFill/>
            </a:ln>
            <a:effectLst/>
          </c:spPr>
          <c:invertIfNegative val="0"/>
          <c:cat>
            <c:multiLvlStrRef>
              <c:f>Sheet2!$A$19:$A$37</c:f>
              <c:multiLvlStrCache>
                <c:ptCount val="16"/>
                <c:lvl>
                  <c:pt idx="0">
                    <c:v>111</c:v>
                  </c:pt>
                  <c:pt idx="1">
                    <c:v>112</c:v>
                  </c:pt>
                  <c:pt idx="2">
                    <c:v>113</c:v>
                  </c:pt>
                  <c:pt idx="3">
                    <c:v>114</c:v>
                  </c:pt>
                  <c:pt idx="4">
                    <c:v>115</c:v>
                  </c:pt>
                  <c:pt idx="5">
                    <c:v>116</c:v>
                  </c:pt>
                  <c:pt idx="6">
                    <c:v>117</c:v>
                  </c:pt>
                  <c:pt idx="7">
                    <c:v>118</c:v>
                  </c:pt>
                  <c:pt idx="8">
                    <c:v>111</c:v>
                  </c:pt>
                  <c:pt idx="9">
                    <c:v>112</c:v>
                  </c:pt>
                  <c:pt idx="10">
                    <c:v>113</c:v>
                  </c:pt>
                  <c:pt idx="11">
                    <c:v>114</c:v>
                  </c:pt>
                  <c:pt idx="12">
                    <c:v>115</c:v>
                  </c:pt>
                  <c:pt idx="13">
                    <c:v>116</c:v>
                  </c:pt>
                  <c:pt idx="14">
                    <c:v>117</c:v>
                  </c:pt>
                  <c:pt idx="15">
                    <c:v>118</c:v>
                  </c:pt>
                </c:lvl>
                <c:lvl>
                  <c:pt idx="0">
                    <c:v>2019</c:v>
                  </c:pt>
                  <c:pt idx="8">
                    <c:v>2030</c:v>
                  </c:pt>
                </c:lvl>
              </c:multiLvlStrCache>
            </c:multiLvlStrRef>
          </c:cat>
          <c:val>
            <c:numRef>
              <c:f>Sheet2!$P$19:$P$37</c:f>
              <c:numCache>
                <c:formatCode>General</c:formatCode>
                <c:ptCount val="16"/>
                <c:pt idx="0">
                  <c:v>6.2496653475109794</c:v>
                </c:pt>
                <c:pt idx="1">
                  <c:v>0</c:v>
                </c:pt>
                <c:pt idx="2">
                  <c:v>6.2496653475109802</c:v>
                </c:pt>
                <c:pt idx="3">
                  <c:v>10.28016</c:v>
                </c:pt>
                <c:pt idx="4">
                  <c:v>10.28016</c:v>
                </c:pt>
                <c:pt idx="5">
                  <c:v>6.2496653475109776</c:v>
                </c:pt>
                <c:pt idx="6">
                  <c:v>6.2496653475109802</c:v>
                </c:pt>
                <c:pt idx="7">
                  <c:v>6.2496653475109802</c:v>
                </c:pt>
                <c:pt idx="8">
                  <c:v>6.1776545354331072</c:v>
                </c:pt>
                <c:pt idx="9">
                  <c:v>0</c:v>
                </c:pt>
                <c:pt idx="10">
                  <c:v>1.405630870396287</c:v>
                </c:pt>
                <c:pt idx="11">
                  <c:v>0</c:v>
                </c:pt>
                <c:pt idx="12">
                  <c:v>0</c:v>
                </c:pt>
                <c:pt idx="13">
                  <c:v>0</c:v>
                </c:pt>
                <c:pt idx="14">
                  <c:v>0</c:v>
                </c:pt>
                <c:pt idx="15">
                  <c:v>20.81450339565378</c:v>
                </c:pt>
              </c:numCache>
            </c:numRef>
          </c:val>
          <c:extLst>
            <c:ext xmlns:c16="http://schemas.microsoft.com/office/drawing/2014/chart" uri="{C3380CC4-5D6E-409C-BE32-E72D297353CC}">
              <c16:uniqueId val="{0000000E-0719-4E75-BC7F-F3634D317B8F}"/>
            </c:ext>
          </c:extLst>
        </c:ser>
        <c:ser>
          <c:idx val="15"/>
          <c:order val="15"/>
          <c:tx>
            <c:strRef>
              <c:f>Sheet2!$Q$17:$Q$18</c:f>
              <c:strCache>
                <c:ptCount val="1"/>
                <c:pt idx="0">
                  <c:v>NGVA</c:v>
                </c:pt>
              </c:strCache>
            </c:strRef>
          </c:tx>
          <c:spPr>
            <a:solidFill>
              <a:schemeClr val="tx2">
                <a:lumMod val="75000"/>
              </a:schemeClr>
            </a:solidFill>
            <a:ln>
              <a:noFill/>
            </a:ln>
            <a:effectLst/>
          </c:spPr>
          <c:invertIfNegative val="0"/>
          <c:cat>
            <c:multiLvlStrRef>
              <c:f>Sheet2!$A$19:$A$37</c:f>
              <c:multiLvlStrCache>
                <c:ptCount val="16"/>
                <c:lvl>
                  <c:pt idx="0">
                    <c:v>111</c:v>
                  </c:pt>
                  <c:pt idx="1">
                    <c:v>112</c:v>
                  </c:pt>
                  <c:pt idx="2">
                    <c:v>113</c:v>
                  </c:pt>
                  <c:pt idx="3">
                    <c:v>114</c:v>
                  </c:pt>
                  <c:pt idx="4">
                    <c:v>115</c:v>
                  </c:pt>
                  <c:pt idx="5">
                    <c:v>116</c:v>
                  </c:pt>
                  <c:pt idx="6">
                    <c:v>117</c:v>
                  </c:pt>
                  <c:pt idx="7">
                    <c:v>118</c:v>
                  </c:pt>
                  <c:pt idx="8">
                    <c:v>111</c:v>
                  </c:pt>
                  <c:pt idx="9">
                    <c:v>112</c:v>
                  </c:pt>
                  <c:pt idx="10">
                    <c:v>113</c:v>
                  </c:pt>
                  <c:pt idx="11">
                    <c:v>114</c:v>
                  </c:pt>
                  <c:pt idx="12">
                    <c:v>115</c:v>
                  </c:pt>
                  <c:pt idx="13">
                    <c:v>116</c:v>
                  </c:pt>
                  <c:pt idx="14">
                    <c:v>117</c:v>
                  </c:pt>
                  <c:pt idx="15">
                    <c:v>118</c:v>
                  </c:pt>
                </c:lvl>
                <c:lvl>
                  <c:pt idx="0">
                    <c:v>2019</c:v>
                  </c:pt>
                  <c:pt idx="8">
                    <c:v>2030</c:v>
                  </c:pt>
                </c:lvl>
              </c:multiLvlStrCache>
            </c:multiLvlStrRef>
          </c:cat>
          <c:val>
            <c:numRef>
              <c:f>Sheet2!$Q$19:$Q$37</c:f>
              <c:numCache>
                <c:formatCode>General</c:formatCode>
                <c:ptCount val="16"/>
                <c:pt idx="0">
                  <c:v>4.6727999999999996</c:v>
                </c:pt>
                <c:pt idx="1">
                  <c:v>2.6097972937541489</c:v>
                </c:pt>
                <c:pt idx="2">
                  <c:v>4.6727999999999996</c:v>
                </c:pt>
                <c:pt idx="3">
                  <c:v>0.64230534751097712</c:v>
                </c:pt>
                <c:pt idx="4">
                  <c:v>0.64230534751098078</c:v>
                </c:pt>
                <c:pt idx="5">
                  <c:v>4.6727999999999996</c:v>
                </c:pt>
                <c:pt idx="6">
                  <c:v>4.6727999999999996</c:v>
                </c:pt>
                <c:pt idx="7">
                  <c:v>4.6727999999999996</c:v>
                </c:pt>
                <c:pt idx="8">
                  <c:v>0</c:v>
                </c:pt>
                <c:pt idx="9">
                  <c:v>0</c:v>
                </c:pt>
                <c:pt idx="10">
                  <c:v>0</c:v>
                </c:pt>
                <c:pt idx="11">
                  <c:v>0</c:v>
                </c:pt>
                <c:pt idx="12">
                  <c:v>0</c:v>
                </c:pt>
                <c:pt idx="13">
                  <c:v>0</c:v>
                </c:pt>
                <c:pt idx="14">
                  <c:v>0</c:v>
                </c:pt>
                <c:pt idx="15">
                  <c:v>6.1251381877070052</c:v>
                </c:pt>
              </c:numCache>
            </c:numRef>
          </c:val>
          <c:extLst>
            <c:ext xmlns:c16="http://schemas.microsoft.com/office/drawing/2014/chart" uri="{C3380CC4-5D6E-409C-BE32-E72D297353CC}">
              <c16:uniqueId val="{0000000F-0719-4E75-BC7F-F3634D317B8F}"/>
            </c:ext>
          </c:extLst>
        </c:ser>
        <c:ser>
          <c:idx val="16"/>
          <c:order val="16"/>
          <c:tx>
            <c:strRef>
              <c:f>Sheet2!$R$17:$R$18</c:f>
              <c:strCache>
                <c:ptCount val="1"/>
                <c:pt idx="0">
                  <c:v>PV</c:v>
                </c:pt>
              </c:strCache>
            </c:strRef>
          </c:tx>
          <c:spPr>
            <a:solidFill>
              <a:srgbClr val="FFC000"/>
            </a:solidFill>
            <a:ln>
              <a:noFill/>
            </a:ln>
            <a:effectLst/>
          </c:spPr>
          <c:invertIfNegative val="0"/>
          <c:cat>
            <c:multiLvlStrRef>
              <c:f>Sheet2!$A$19:$A$37</c:f>
              <c:multiLvlStrCache>
                <c:ptCount val="16"/>
                <c:lvl>
                  <c:pt idx="0">
                    <c:v>111</c:v>
                  </c:pt>
                  <c:pt idx="1">
                    <c:v>112</c:v>
                  </c:pt>
                  <c:pt idx="2">
                    <c:v>113</c:v>
                  </c:pt>
                  <c:pt idx="3">
                    <c:v>114</c:v>
                  </c:pt>
                  <c:pt idx="4">
                    <c:v>115</c:v>
                  </c:pt>
                  <c:pt idx="5">
                    <c:v>116</c:v>
                  </c:pt>
                  <c:pt idx="6">
                    <c:v>117</c:v>
                  </c:pt>
                  <c:pt idx="7">
                    <c:v>118</c:v>
                  </c:pt>
                  <c:pt idx="8">
                    <c:v>111</c:v>
                  </c:pt>
                  <c:pt idx="9">
                    <c:v>112</c:v>
                  </c:pt>
                  <c:pt idx="10">
                    <c:v>113</c:v>
                  </c:pt>
                  <c:pt idx="11">
                    <c:v>114</c:v>
                  </c:pt>
                  <c:pt idx="12">
                    <c:v>115</c:v>
                  </c:pt>
                  <c:pt idx="13">
                    <c:v>116</c:v>
                  </c:pt>
                  <c:pt idx="14">
                    <c:v>117</c:v>
                  </c:pt>
                  <c:pt idx="15">
                    <c:v>118</c:v>
                  </c:pt>
                </c:lvl>
                <c:lvl>
                  <c:pt idx="0">
                    <c:v>2019</c:v>
                  </c:pt>
                  <c:pt idx="8">
                    <c:v>2030</c:v>
                  </c:pt>
                </c:lvl>
              </c:multiLvlStrCache>
            </c:multiLvlStrRef>
          </c:cat>
          <c:val>
            <c:numRef>
              <c:f>Sheet2!$R$19:$R$37</c:f>
              <c:numCache>
                <c:formatCode>General</c:formatCode>
                <c:ptCount val="16"/>
                <c:pt idx="0">
                  <c:v>0</c:v>
                </c:pt>
                <c:pt idx="1">
                  <c:v>0</c:v>
                </c:pt>
                <c:pt idx="2">
                  <c:v>0</c:v>
                </c:pt>
                <c:pt idx="3">
                  <c:v>0.73305308918761258</c:v>
                </c:pt>
                <c:pt idx="4">
                  <c:v>2.397138808554486</c:v>
                </c:pt>
                <c:pt idx="5">
                  <c:v>2.7751222273023539</c:v>
                </c:pt>
                <c:pt idx="6">
                  <c:v>1.9923330035326501</c:v>
                </c:pt>
                <c:pt idx="7">
                  <c:v>1.412320914988199E-2</c:v>
                </c:pt>
                <c:pt idx="8">
                  <c:v>0</c:v>
                </c:pt>
                <c:pt idx="9">
                  <c:v>0</c:v>
                </c:pt>
                <c:pt idx="10">
                  <c:v>0</c:v>
                </c:pt>
                <c:pt idx="11">
                  <c:v>18.04165130296969</c:v>
                </c:pt>
                <c:pt idx="12">
                  <c:v>58.997558494276497</c:v>
                </c:pt>
                <c:pt idx="13">
                  <c:v>68.300356804438294</c:v>
                </c:pt>
                <c:pt idx="14">
                  <c:v>49.034616809226563</c:v>
                </c:pt>
                <c:pt idx="15">
                  <c:v>0.34759558143798858</c:v>
                </c:pt>
              </c:numCache>
            </c:numRef>
          </c:val>
          <c:extLst>
            <c:ext xmlns:c16="http://schemas.microsoft.com/office/drawing/2014/chart" uri="{C3380CC4-5D6E-409C-BE32-E72D297353CC}">
              <c16:uniqueId val="{00000010-0719-4E75-BC7F-F3634D317B8F}"/>
            </c:ext>
          </c:extLst>
        </c:ser>
        <c:dLbls>
          <c:showLegendKey val="0"/>
          <c:showVal val="0"/>
          <c:showCatName val="0"/>
          <c:showSerName val="0"/>
          <c:showPercent val="0"/>
          <c:showBubbleSize val="0"/>
        </c:dLbls>
        <c:gapWidth val="87"/>
        <c:overlap val="100"/>
        <c:axId val="138043663"/>
        <c:axId val="138044495"/>
      </c:barChart>
      <c:catAx>
        <c:axId val="138043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E"/>
          </a:p>
        </c:txPr>
        <c:crossAx val="138044495"/>
        <c:crosses val="autoZero"/>
        <c:auto val="1"/>
        <c:lblAlgn val="ctr"/>
        <c:lblOffset val="100"/>
        <c:noMultiLvlLbl val="0"/>
      </c:catAx>
      <c:valAx>
        <c:axId val="138044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E"/>
          </a:p>
        </c:txPr>
        <c:crossAx val="138043663"/>
        <c:crosses val="autoZero"/>
        <c:crossBetween val="between"/>
      </c:valAx>
    </c:plotArea>
    <c:legend>
      <c:legendPos val="r"/>
      <c:layout>
        <c:manualLayout>
          <c:xMode val="edge"/>
          <c:yMode val="edge"/>
          <c:x val="0.85341997466685426"/>
          <c:y val="2.6453470809754923E-2"/>
          <c:w val="0.14397782238650081"/>
          <c:h val="0.889845064414611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E"/>
        </a:p>
      </c:txPr>
    </c:legend>
    <c:plotVisOnly val="1"/>
    <c:dispBlanksAs val="gap"/>
    <c:showDLblsOverMax val="0"/>
    <c:extLst/>
  </c:chart>
  <c:spPr>
    <a:ln>
      <a:noFill/>
    </a:ln>
  </c:spPr>
  <c:txPr>
    <a:bodyPr/>
    <a:lstStyle/>
    <a:p>
      <a:pPr>
        <a:defRPr/>
      </a:pPr>
      <a:endParaRPr lang="en-BE"/>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[Resultados Artículo.xlsx]TACchart (2)!PivotTable81</c:name>
    <c:fmtId val="-1"/>
  </c:pivotSource>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ES_tradnl" sz="1000"/>
              <a:t>Nueva</a:t>
            </a:r>
            <a:r>
              <a:rPr lang="es-ES_tradnl" sz="1000" baseline="0"/>
              <a:t> potencia instalada escenario 1</a:t>
            </a:r>
            <a:endParaRPr lang="es-ES_tradnl" sz="1000"/>
          </a:p>
        </c:rich>
      </c:tx>
      <c:layout>
        <c:manualLayout>
          <c:xMode val="edge"/>
          <c:yMode val="edge"/>
          <c:x val="0.1627154820201113"/>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BE"/>
        </a:p>
      </c:txPr>
    </c:title>
    <c:autoTitleDeleted val="0"/>
    <c:pivotFmts>
      <c:pivotFmt>
        <c:idx val="0"/>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pPr>
            <a:solidFill>
              <a:srgbClr val="95F3AE"/>
            </a:solidFill>
            <a:ln w="9525">
              <a:solidFill>
                <a:srgbClr val="95F3AE"/>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rgbClr val="4B4747"/>
            </a:solidFill>
            <a:round/>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rgbClr val="4BCFDD"/>
            </a:solidFill>
            <a:round/>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rgbClr val="95F3AE"/>
            </a:solidFill>
            <a:round/>
          </a:ln>
          <a:effectLst/>
        </c:spPr>
        <c:marker>
          <c:symbol val="circle"/>
          <c:size val="5"/>
          <c:spPr>
            <a:solidFill>
              <a:srgbClr val="95F3AE"/>
            </a:solidFill>
            <a:ln w="9525">
              <a:solidFill>
                <a:srgbClr val="95F3AE"/>
              </a:solidFill>
            </a:ln>
            <a:effectLst/>
          </c:spPr>
        </c:marker>
      </c:pivotFmt>
      <c:pivotFmt>
        <c:idx val="9"/>
        <c:spPr>
          <a:solidFill>
            <a:schemeClr val="accent1"/>
          </a:solidFill>
          <a:ln w="28575" cap="rnd">
            <a:solidFill>
              <a:srgbClr val="4BCFDD"/>
            </a:solidFill>
            <a:round/>
          </a:ln>
          <a:effectLst/>
        </c:spPr>
        <c:marker>
          <c:symbol val="circle"/>
          <c:size val="5"/>
          <c:spPr>
            <a:solidFill>
              <a:srgbClr val="4BCFDD"/>
            </a:solidFill>
            <a:ln w="9525">
              <a:solidFill>
                <a:srgbClr val="4BCFDD"/>
              </a:solidFill>
            </a:ln>
            <a:effectLst/>
          </c:spPr>
        </c:marker>
      </c:pivotFmt>
      <c:pivotFmt>
        <c:idx val="10"/>
        <c:spPr>
          <a:solidFill>
            <a:schemeClr val="accent1"/>
          </a:solidFill>
          <a:ln w="28575" cap="rnd">
            <a:solidFill>
              <a:srgbClr val="4B4747"/>
            </a:solidFill>
            <a:round/>
          </a:ln>
          <a:effectLst/>
        </c:spPr>
        <c:marker>
          <c:symbol val="circle"/>
          <c:size val="5"/>
          <c:spPr>
            <a:solidFill>
              <a:srgbClr val="4B4747"/>
            </a:solidFill>
            <a:ln w="9525">
              <a:solidFill>
                <a:srgbClr val="4B4747"/>
              </a:solidFill>
            </a:ln>
            <a:effectLst/>
          </c:spPr>
        </c:marker>
      </c:pivotFmt>
      <c:pivotFmt>
        <c:idx val="11"/>
        <c:spPr>
          <a:solidFill>
            <a:schemeClr val="accent1"/>
          </a:solidFill>
          <a:ln w="28575" cap="rnd">
            <a:solidFill>
              <a:srgbClr val="95F3AE"/>
            </a:solidFill>
            <a:round/>
          </a:ln>
          <a:effectLst/>
        </c:spPr>
        <c:marker>
          <c:symbol val="circle"/>
          <c:size val="5"/>
          <c:spPr>
            <a:solidFill>
              <a:srgbClr val="95F3AE"/>
            </a:solidFill>
            <a:ln w="9525">
              <a:solidFill>
                <a:srgbClr val="95F3AE"/>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rgbClr val="4B4747"/>
            </a:solidFill>
            <a:round/>
          </a:ln>
          <a:effectLst/>
        </c:spPr>
        <c:marker>
          <c:symbol val="circle"/>
          <c:size val="5"/>
          <c:spPr>
            <a:solidFill>
              <a:srgbClr val="4B4747"/>
            </a:solidFill>
            <a:ln w="9525">
              <a:solidFill>
                <a:srgbClr val="4B4747"/>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rgbClr val="4BCFDD"/>
            </a:solidFill>
            <a:round/>
          </a:ln>
          <a:effectLst/>
        </c:spPr>
        <c:marker>
          <c:symbol val="circle"/>
          <c:size val="5"/>
          <c:spPr>
            <a:solidFill>
              <a:srgbClr val="4BCFDD"/>
            </a:solidFill>
            <a:ln w="9525">
              <a:solidFill>
                <a:srgbClr val="4BCFDD"/>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rgbClr val="95F3AE"/>
            </a:solidFill>
            <a:round/>
          </a:ln>
          <a:effectLst/>
        </c:spPr>
        <c:marker>
          <c:symbol val="circle"/>
          <c:size val="5"/>
          <c:spPr>
            <a:solidFill>
              <a:srgbClr val="95F3AE"/>
            </a:solidFill>
            <a:ln w="9525">
              <a:solidFill>
                <a:srgbClr val="95F3AE"/>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rgbClr val="4B4747"/>
            </a:solidFill>
            <a:round/>
          </a:ln>
          <a:effectLst/>
        </c:spPr>
        <c:marker>
          <c:symbol val="circle"/>
          <c:size val="5"/>
          <c:spPr>
            <a:solidFill>
              <a:srgbClr val="4B4747"/>
            </a:solidFill>
            <a:ln w="9525">
              <a:solidFill>
                <a:srgbClr val="4B4747"/>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rgbClr val="4BCFDD"/>
            </a:solidFill>
            <a:round/>
          </a:ln>
          <a:effectLst/>
        </c:spPr>
        <c:marker>
          <c:symbol val="circle"/>
          <c:size val="5"/>
          <c:spPr>
            <a:solidFill>
              <a:srgbClr val="4BCFDD"/>
            </a:solidFill>
            <a:ln w="9525">
              <a:solidFill>
                <a:srgbClr val="4BCFDD"/>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449157564981797"/>
          <c:y val="0.13172966259101837"/>
          <c:w val="0.80007049006346076"/>
          <c:h val="0.56580158847727247"/>
        </c:manualLayout>
      </c:layout>
      <c:lineChart>
        <c:grouping val="standard"/>
        <c:varyColors val="0"/>
        <c:ser>
          <c:idx val="0"/>
          <c:order val="0"/>
          <c:tx>
            <c:strRef>
              <c:f>'TACchart (2)'!$B$11:$B$12</c:f>
              <c:strCache>
                <c:ptCount val="1"/>
                <c:pt idx="0">
                  <c:v>BIOELEC</c:v>
                </c:pt>
              </c:strCache>
            </c:strRef>
          </c:tx>
          <c:spPr>
            <a:ln w="22225" cap="rnd">
              <a:solidFill>
                <a:srgbClr val="95F3AE"/>
              </a:solidFill>
              <a:round/>
            </a:ln>
            <a:effectLst/>
          </c:spPr>
          <c:marker>
            <c:symbol val="circle"/>
            <c:size val="5"/>
            <c:spPr>
              <a:solidFill>
                <a:srgbClr val="95F3AE"/>
              </a:solidFill>
              <a:ln w="9525">
                <a:solidFill>
                  <a:srgbClr val="95F3AE"/>
                </a:solidFill>
              </a:ln>
              <a:effectLst/>
            </c:spPr>
          </c:marker>
          <c:cat>
            <c:strRef>
              <c:f>'TACchart (2)'!$A$13:$A$16</c:f>
              <c:strCache>
                <c:ptCount val="3"/>
                <c:pt idx="0">
                  <c:v>2019</c:v>
                </c:pt>
                <c:pt idx="1">
                  <c:v>2030</c:v>
                </c:pt>
                <c:pt idx="2">
                  <c:v>2050</c:v>
                </c:pt>
              </c:strCache>
            </c:strRef>
          </c:cat>
          <c:val>
            <c:numRef>
              <c:f>'TACchart (2)'!$B$13:$B$16</c:f>
              <c:numCache>
                <c:formatCode>General</c:formatCode>
                <c:ptCount val="3"/>
                <c:pt idx="0">
                  <c:v>0.06</c:v>
                </c:pt>
                <c:pt idx="1">
                  <c:v>0.06</c:v>
                </c:pt>
                <c:pt idx="2">
                  <c:v>0.06</c:v>
                </c:pt>
              </c:numCache>
            </c:numRef>
          </c:val>
          <c:smooth val="0"/>
          <c:extLst>
            <c:ext xmlns:c16="http://schemas.microsoft.com/office/drawing/2014/chart" uri="{C3380CC4-5D6E-409C-BE32-E72D297353CC}">
              <c16:uniqueId val="{00000000-0942-40B7-AF56-FEAD24597F6C}"/>
            </c:ext>
          </c:extLst>
        </c:ser>
        <c:ser>
          <c:idx val="1"/>
          <c:order val="1"/>
          <c:tx>
            <c:strRef>
              <c:f>'TACchart (2)'!$C$11:$C$12</c:f>
              <c:strCache>
                <c:ptCount val="1"/>
                <c:pt idx="0">
                  <c:v>CTNUE</c:v>
                </c:pt>
              </c:strCache>
            </c:strRef>
          </c:tx>
          <c:spPr>
            <a:ln w="28575" cap="rnd">
              <a:solidFill>
                <a:srgbClr val="4B4747"/>
              </a:solidFill>
              <a:round/>
            </a:ln>
            <a:effectLst/>
          </c:spPr>
          <c:marker>
            <c:symbol val="circle"/>
            <c:size val="5"/>
            <c:spPr>
              <a:solidFill>
                <a:srgbClr val="4B4747"/>
              </a:solidFill>
              <a:ln w="9525">
                <a:solidFill>
                  <a:srgbClr val="4B4747"/>
                </a:solidFill>
              </a:ln>
              <a:effectLst/>
            </c:spPr>
          </c:marker>
          <c:cat>
            <c:strRef>
              <c:f>'TACchart (2)'!$A$13:$A$16</c:f>
              <c:strCache>
                <c:ptCount val="3"/>
                <c:pt idx="0">
                  <c:v>2019</c:v>
                </c:pt>
                <c:pt idx="1">
                  <c:v>2030</c:v>
                </c:pt>
                <c:pt idx="2">
                  <c:v>2050</c:v>
                </c:pt>
              </c:strCache>
            </c:strRef>
          </c:cat>
          <c:val>
            <c:numRef>
              <c:f>'TACchart (2)'!$C$13:$C$16</c:f>
              <c:numCache>
                <c:formatCode>General</c:formatCode>
                <c:ptCount val="3"/>
                <c:pt idx="0">
                  <c:v>0</c:v>
                </c:pt>
                <c:pt idx="1">
                  <c:v>1.701804861689092</c:v>
                </c:pt>
                <c:pt idx="2">
                  <c:v>2.1352432739514828</c:v>
                </c:pt>
              </c:numCache>
            </c:numRef>
          </c:val>
          <c:smooth val="0"/>
          <c:extLst>
            <c:ext xmlns:c16="http://schemas.microsoft.com/office/drawing/2014/chart" uri="{C3380CC4-5D6E-409C-BE32-E72D297353CC}">
              <c16:uniqueId val="{00000001-0942-40B7-AF56-FEAD24597F6C}"/>
            </c:ext>
          </c:extLst>
        </c:ser>
        <c:ser>
          <c:idx val="2"/>
          <c:order val="2"/>
          <c:tx>
            <c:strRef>
              <c:f>'TACchart (2)'!$D$11:$D$12</c:f>
              <c:strCache>
                <c:ptCount val="1"/>
                <c:pt idx="0">
                  <c:v>EOLICA</c:v>
                </c:pt>
              </c:strCache>
            </c:strRef>
          </c:tx>
          <c:spPr>
            <a:ln w="28575" cap="rnd">
              <a:solidFill>
                <a:srgbClr val="4BCFDD"/>
              </a:solidFill>
              <a:round/>
            </a:ln>
            <a:effectLst/>
          </c:spPr>
          <c:marker>
            <c:symbol val="circle"/>
            <c:size val="5"/>
            <c:spPr>
              <a:solidFill>
                <a:srgbClr val="4BCFDD"/>
              </a:solidFill>
              <a:ln w="9525">
                <a:solidFill>
                  <a:srgbClr val="4BCFDD"/>
                </a:solidFill>
              </a:ln>
              <a:effectLst/>
            </c:spPr>
          </c:marker>
          <c:cat>
            <c:strRef>
              <c:f>'TACchart (2)'!$A$13:$A$16</c:f>
              <c:strCache>
                <c:ptCount val="3"/>
                <c:pt idx="0">
                  <c:v>2019</c:v>
                </c:pt>
                <c:pt idx="1">
                  <c:v>2030</c:v>
                </c:pt>
                <c:pt idx="2">
                  <c:v>2050</c:v>
                </c:pt>
              </c:strCache>
            </c:strRef>
          </c:cat>
          <c:val>
            <c:numRef>
              <c:f>'TACchart (2)'!$D$13:$D$16</c:f>
              <c:numCache>
                <c:formatCode>General</c:formatCode>
                <c:ptCount val="3"/>
                <c:pt idx="0">
                  <c:v>1.0999999999999999E-2</c:v>
                </c:pt>
                <c:pt idx="1">
                  <c:v>0.78433447199029238</c:v>
                </c:pt>
                <c:pt idx="2">
                  <c:v>1.295217773077878</c:v>
                </c:pt>
              </c:numCache>
            </c:numRef>
          </c:val>
          <c:smooth val="0"/>
          <c:extLst>
            <c:ext xmlns:c16="http://schemas.microsoft.com/office/drawing/2014/chart" uri="{C3380CC4-5D6E-409C-BE32-E72D297353CC}">
              <c16:uniqueId val="{00000002-0942-40B7-AF56-FEAD24597F6C}"/>
            </c:ext>
          </c:extLst>
        </c:ser>
        <c:ser>
          <c:idx val="3"/>
          <c:order val="3"/>
          <c:tx>
            <c:strRef>
              <c:f>'TACchart (2)'!$E$11:$E$12</c:f>
              <c:strCache>
                <c:ptCount val="1"/>
                <c:pt idx="0">
                  <c:v>PV</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'TACchart (2)'!$A$13:$A$16</c:f>
              <c:strCache>
                <c:ptCount val="3"/>
                <c:pt idx="0">
                  <c:v>2019</c:v>
                </c:pt>
                <c:pt idx="1">
                  <c:v>2030</c:v>
                </c:pt>
                <c:pt idx="2">
                  <c:v>2050</c:v>
                </c:pt>
              </c:strCache>
            </c:strRef>
          </c:cat>
          <c:val>
            <c:numRef>
              <c:f>'TACchart (2)'!$E$13:$E$16</c:f>
              <c:numCache>
                <c:formatCode>General</c:formatCode>
                <c:ptCount val="3"/>
                <c:pt idx="0">
                  <c:v>0.16</c:v>
                </c:pt>
                <c:pt idx="1">
                  <c:v>3.8573610312724051</c:v>
                </c:pt>
                <c:pt idx="2">
                  <c:v>5.4501453891957308</c:v>
                </c:pt>
              </c:numCache>
            </c:numRef>
          </c:val>
          <c:smooth val="0"/>
          <c:extLst>
            <c:ext xmlns:c16="http://schemas.microsoft.com/office/drawing/2014/chart" uri="{C3380CC4-5D6E-409C-BE32-E72D297353CC}">
              <c16:uniqueId val="{00000003-0942-40B7-AF56-FEAD24597F6C}"/>
            </c:ext>
          </c:extLst>
        </c:ser>
        <c:dLbls>
          <c:showLegendKey val="0"/>
          <c:showVal val="0"/>
          <c:showCatName val="0"/>
          <c:showSerName val="0"/>
          <c:showPercent val="0"/>
          <c:showBubbleSize val="0"/>
        </c:dLbls>
        <c:marker val="1"/>
        <c:smooth val="0"/>
        <c:axId val="1601201072"/>
        <c:axId val="1601209392"/>
      </c:lineChart>
      <c:catAx>
        <c:axId val="160120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BE"/>
          </a:p>
        </c:txPr>
        <c:crossAx val="1601209392"/>
        <c:crosses val="autoZero"/>
        <c:auto val="1"/>
        <c:lblAlgn val="ctr"/>
        <c:lblOffset val="100"/>
        <c:noMultiLvlLbl val="0"/>
      </c:catAx>
      <c:valAx>
        <c:axId val="1601209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_tradnl"/>
                  <a:t>GW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BE"/>
          </a:p>
        </c:txPr>
        <c:crossAx val="1601201072"/>
        <c:crosses val="autoZero"/>
        <c:crossBetween val="between"/>
      </c:valAx>
      <c:spPr>
        <a:noFill/>
        <a:ln>
          <a:noFill/>
        </a:ln>
        <a:effectLst/>
      </c:spPr>
    </c:plotArea>
    <c:legend>
      <c:legendPos val="b"/>
      <c:layout>
        <c:manualLayout>
          <c:xMode val="edge"/>
          <c:yMode val="edge"/>
          <c:x val="4.9999901550190698E-2"/>
          <c:y val="0.8302500085463268"/>
          <c:w val="0.89999980310038141"/>
          <c:h val="0.104626981323427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[Resultados Artículo.xlsx]TACchart (2)!PivotTable62</c:name>
    <c:fmtId val="-1"/>
  </c:pivotSource>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ES_tradnl" sz="1000" b="0" i="0" baseline="0">
                <a:effectLst/>
              </a:rPr>
              <a:t>Nueva potencia instalada escenario 2</a:t>
            </a:r>
          </a:p>
        </c:rich>
      </c:tx>
      <c:layout>
        <c:manualLayout>
          <c:xMode val="edge"/>
          <c:yMode val="edge"/>
          <c:x val="0.15662494580579447"/>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BE"/>
        </a:p>
      </c:txPr>
    </c:title>
    <c:autoTitleDeleted val="0"/>
    <c:pivotFmts>
      <c:pivotFmt>
        <c:idx val="0"/>
        <c:dLbl>
          <c:idx val="0"/>
          <c:showLegendKey val="1"/>
          <c:showVal val="1"/>
          <c:showCatName val="1"/>
          <c:showSerName val="1"/>
          <c:showPercent val="1"/>
          <c:showBubbleSize val="1"/>
          <c:extLst>
            <c:ext xmlns:c15="http://schemas.microsoft.com/office/drawing/2012/chart" uri="{CE6537A1-D6FC-4f65-9D91-7224C49458BB}"/>
          </c:extLst>
        </c:dLbl>
      </c:pivotFmt>
      <c:pivotFmt>
        <c:idx val="1"/>
        <c:dLbl>
          <c:idx val="0"/>
          <c:showLegendKey val="1"/>
          <c:showVal val="1"/>
          <c:showCatName val="1"/>
          <c:showSerName val="1"/>
          <c:showPercent val="1"/>
          <c:showBubbleSize val="1"/>
          <c:extLst>
            <c:ext xmlns:c15="http://schemas.microsoft.com/office/drawing/2012/chart" uri="{CE6537A1-D6FC-4f65-9D91-7224C49458BB}"/>
          </c:extLst>
        </c:dLbl>
      </c:pivotFmt>
      <c:pivotFmt>
        <c:idx val="2"/>
        <c:dLbl>
          <c:idx val="0"/>
          <c:showLegendKey val="1"/>
          <c:showVal val="1"/>
          <c:showCatName val="1"/>
          <c:showSerName val="1"/>
          <c:showPercent val="1"/>
          <c:showBubbleSize val="1"/>
          <c:extLst>
            <c:ext xmlns:c15="http://schemas.microsoft.com/office/drawing/2012/chart" uri="{CE6537A1-D6FC-4f65-9D91-7224C49458BB}"/>
          </c:extLst>
        </c:dLbl>
      </c:pivotFmt>
      <c:pivotFmt>
        <c:idx val="3"/>
        <c:dLbl>
          <c:idx val="0"/>
          <c:showLegendKey val="1"/>
          <c:showVal val="1"/>
          <c:showCatName val="1"/>
          <c:showSerName val="1"/>
          <c:showPercent val="1"/>
          <c:showBubbleSize val="1"/>
          <c:extLst>
            <c:ext xmlns:c15="http://schemas.microsoft.com/office/drawing/2012/chart" uri="{CE6537A1-D6FC-4f65-9D91-7224C49458BB}"/>
          </c:extLst>
        </c:dLbl>
      </c:pivotFmt>
      <c:pivotFmt>
        <c:idx val="4"/>
        <c:dLbl>
          <c:idx val="0"/>
          <c:showLegendKey val="1"/>
          <c:showVal val="1"/>
          <c:showCatName val="1"/>
          <c:showSerName val="1"/>
          <c:showPercent val="1"/>
          <c:showBubbleSize val="1"/>
          <c:extLst>
            <c:ext xmlns:c15="http://schemas.microsoft.com/office/drawing/2012/chart" uri="{CE6537A1-D6FC-4f65-9D91-7224C49458BB}"/>
          </c:extLst>
        </c:dLbl>
      </c:pivotFmt>
      <c:pivotFmt>
        <c:idx val="5"/>
        <c:dLbl>
          <c:idx val="0"/>
          <c:showLegendKey val="1"/>
          <c:showVal val="1"/>
          <c:showCatName val="1"/>
          <c:showSerName val="1"/>
          <c:showPercent val="1"/>
          <c:showBubbleSize val="1"/>
          <c:extLst>
            <c:ext xmlns:c15="http://schemas.microsoft.com/office/drawing/2012/chart" uri="{CE6537A1-D6FC-4f65-9D91-7224C49458BB}"/>
          </c:extLst>
        </c:dLbl>
      </c:pivotFmt>
      <c:pivotFmt>
        <c:idx val="6"/>
        <c:dLbl>
          <c:idx val="0"/>
          <c:showLegendKey val="1"/>
          <c:showVal val="1"/>
          <c:showCatName val="1"/>
          <c:showSerName val="1"/>
          <c:showPercent val="1"/>
          <c:showBubbleSize val="1"/>
          <c:extLst>
            <c:ext xmlns:c15="http://schemas.microsoft.com/office/drawing/2012/chart" uri="{CE6537A1-D6FC-4f65-9D91-7224C49458BB}"/>
          </c:extLst>
        </c:dLbl>
      </c:pivotFmt>
      <c:pivotFmt>
        <c:idx val="7"/>
        <c:dLbl>
          <c:idx val="0"/>
          <c:showLegendKey val="1"/>
          <c:showVal val="1"/>
          <c:showCatName val="1"/>
          <c:showSerName val="1"/>
          <c:showPercent val="1"/>
          <c:showBubbleSize val="1"/>
          <c:extLst>
            <c:ext xmlns:c15="http://schemas.microsoft.com/office/drawing/2012/chart" uri="{CE6537A1-D6FC-4f65-9D91-7224C49458BB}"/>
          </c:extLst>
        </c:dLbl>
      </c:pivotFmt>
      <c:pivotFmt>
        <c:idx val="8"/>
        <c:dLbl>
          <c:idx val="0"/>
          <c:showLegendKey val="1"/>
          <c:showVal val="1"/>
          <c:showCatName val="1"/>
          <c:showSerName val="1"/>
          <c:showPercent val="1"/>
          <c:showBubbleSize val="1"/>
          <c:extLst>
            <c:ext xmlns:c15="http://schemas.microsoft.com/office/drawing/2012/chart" uri="{CE6537A1-D6FC-4f65-9D91-7224C49458BB}"/>
          </c:extLst>
        </c:dLbl>
      </c:pivotFmt>
      <c:pivotFmt>
        <c:idx val="9"/>
        <c:dLbl>
          <c:idx val="0"/>
          <c:showLegendKey val="1"/>
          <c:showVal val="1"/>
          <c:showCatName val="1"/>
          <c:showSerName val="1"/>
          <c:showPercent val="1"/>
          <c:showBubbleSize val="1"/>
          <c:extLst>
            <c:ext xmlns:c15="http://schemas.microsoft.com/office/drawing/2012/chart" uri="{CE6537A1-D6FC-4f65-9D91-7224C49458BB}"/>
          </c:extLst>
        </c:dLbl>
      </c:pivotFmt>
      <c:pivotFmt>
        <c:idx val="10"/>
        <c:dLbl>
          <c:idx val="0"/>
          <c:showLegendKey val="1"/>
          <c:showVal val="1"/>
          <c:showCatName val="1"/>
          <c:showSerName val="1"/>
          <c:showPercent val="1"/>
          <c:showBubbleSize val="1"/>
          <c:extLst>
            <c:ext xmlns:c15="http://schemas.microsoft.com/office/drawing/2012/chart" uri="{CE6537A1-D6FC-4f65-9D91-7224C49458BB}"/>
          </c:extLst>
        </c:dLbl>
      </c:pivotFmt>
      <c:pivotFmt>
        <c:idx val="11"/>
        <c:dLbl>
          <c:idx val="0"/>
          <c:showLegendKey val="1"/>
          <c:showVal val="1"/>
          <c:showCatName val="1"/>
          <c:showSerName val="1"/>
          <c:showPercent val="1"/>
          <c:showBubbleSize val="1"/>
          <c:extLst>
            <c:ext xmlns:c15="http://schemas.microsoft.com/office/drawing/2012/chart" uri="{CE6537A1-D6FC-4f65-9D91-7224C49458BB}"/>
          </c:extLst>
        </c:dLbl>
      </c:pivotFmt>
      <c:pivotFmt>
        <c:idx val="12"/>
        <c:dLbl>
          <c:idx val="0"/>
          <c:showLegendKey val="1"/>
          <c:showVal val="1"/>
          <c:showCatName val="1"/>
          <c:showSerName val="1"/>
          <c:showPercent val="1"/>
          <c:showBubbleSize val="1"/>
          <c:extLst>
            <c:ext xmlns:c15="http://schemas.microsoft.com/office/drawing/2012/chart" uri="{CE6537A1-D6FC-4f65-9D91-7224C49458BB}"/>
          </c:extLst>
        </c:dLbl>
      </c:pivotFmt>
      <c:pivotFmt>
        <c:idx val="13"/>
        <c:dLbl>
          <c:idx val="0"/>
          <c:showLegendKey val="1"/>
          <c:showVal val="1"/>
          <c:showCatName val="1"/>
          <c:showSerName val="1"/>
          <c:showPercent val="1"/>
          <c:showBubbleSize val="1"/>
          <c:extLst>
            <c:ext xmlns:c15="http://schemas.microsoft.com/office/drawing/2012/chart" uri="{CE6537A1-D6FC-4f65-9D91-7224C49458BB}"/>
          </c:extLst>
        </c:dLbl>
      </c:pivotFmt>
      <c:pivotFmt>
        <c:idx val="14"/>
        <c:dLbl>
          <c:idx val="0"/>
          <c:showLegendKey val="1"/>
          <c:showVal val="1"/>
          <c:showCatName val="1"/>
          <c:showSerName val="1"/>
          <c:showPercent val="1"/>
          <c:showBubbleSize val="1"/>
          <c:extLst>
            <c:ext xmlns:c15="http://schemas.microsoft.com/office/drawing/2012/chart" uri="{CE6537A1-D6FC-4f65-9D91-7224C49458BB}"/>
          </c:extLst>
        </c:dLbl>
      </c:pivotFmt>
      <c:pivotFmt>
        <c:idx val="15"/>
        <c:dLbl>
          <c:idx val="0"/>
          <c:showLegendKey val="1"/>
          <c:showVal val="1"/>
          <c:showCatName val="1"/>
          <c:showSerName val="1"/>
          <c:showPercent val="1"/>
          <c:showBubbleSize val="1"/>
          <c:extLst>
            <c:ext xmlns:c15="http://schemas.microsoft.com/office/drawing/2012/chart" uri="{CE6537A1-D6FC-4f65-9D91-7224C49458BB}"/>
          </c:extLst>
        </c:dLbl>
      </c:pivotFmt>
      <c:pivotFmt>
        <c:idx val="16"/>
        <c:dLbl>
          <c:idx val="0"/>
          <c:showLegendKey val="1"/>
          <c:showVal val="1"/>
          <c:showCatName val="1"/>
          <c:showSerName val="1"/>
          <c:showPercent val="1"/>
          <c:showBubbleSize val="1"/>
          <c:extLst>
            <c:ext xmlns:c15="http://schemas.microsoft.com/office/drawing/2012/chart" uri="{CE6537A1-D6FC-4f65-9D91-7224C49458BB}"/>
          </c:extLst>
        </c:dLbl>
      </c:pivotFmt>
      <c:pivotFmt>
        <c:idx val="17"/>
        <c:dLbl>
          <c:idx val="0"/>
          <c:showLegendKey val="1"/>
          <c:showVal val="1"/>
          <c:showCatName val="1"/>
          <c:showSerName val="1"/>
          <c:showPercent val="1"/>
          <c:showBubbleSize val="1"/>
          <c:extLst>
            <c:ext xmlns:c15="http://schemas.microsoft.com/office/drawing/2012/chart" uri="{CE6537A1-D6FC-4f65-9D91-7224C49458BB}"/>
          </c:extLst>
        </c:dLbl>
      </c:pivotFmt>
      <c:pivotFmt>
        <c:idx val="18"/>
        <c:dLbl>
          <c:idx val="0"/>
          <c:showLegendKey val="1"/>
          <c:showVal val="1"/>
          <c:showCatName val="1"/>
          <c:showSerName val="1"/>
          <c:showPercent val="1"/>
          <c:showBubbleSize val="1"/>
          <c:extLst>
            <c:ext xmlns:c15="http://schemas.microsoft.com/office/drawing/2012/chart" uri="{CE6537A1-D6FC-4f65-9D91-7224C49458BB}"/>
          </c:extLst>
        </c:dLbl>
      </c:pivotFmt>
      <c:pivotFmt>
        <c:idx val="19"/>
        <c:dLbl>
          <c:idx val="0"/>
          <c:showLegendKey val="1"/>
          <c:showVal val="1"/>
          <c:showCatName val="1"/>
          <c:showSerName val="1"/>
          <c:showPercent val="1"/>
          <c:showBubbleSize val="1"/>
          <c:extLst>
            <c:ext xmlns:c15="http://schemas.microsoft.com/office/drawing/2012/chart" uri="{CE6537A1-D6FC-4f65-9D91-7224C49458BB}"/>
          </c:extLst>
        </c:dLbl>
      </c:pivotFmt>
      <c:pivotFmt>
        <c:idx val="20"/>
        <c:dLbl>
          <c:idx val="0"/>
          <c:showLegendKey val="1"/>
          <c:showVal val="1"/>
          <c:showCatName val="1"/>
          <c:showSerName val="1"/>
          <c:showPercent val="1"/>
          <c:showBubbleSize val="1"/>
          <c:extLst>
            <c:ext xmlns:c15="http://schemas.microsoft.com/office/drawing/2012/chart" uri="{CE6537A1-D6FC-4f65-9D91-7224C49458BB}"/>
          </c:extLst>
        </c:dLbl>
      </c:pivotFmt>
      <c:pivotFmt>
        <c:idx val="21"/>
        <c:dLbl>
          <c:idx val="0"/>
          <c:showLegendKey val="1"/>
          <c:showVal val="1"/>
          <c:showCatName val="1"/>
          <c:showSerName val="1"/>
          <c:showPercent val="1"/>
          <c:showBubbleSize val="1"/>
          <c:extLst>
            <c:ext xmlns:c15="http://schemas.microsoft.com/office/drawing/2012/chart" uri="{CE6537A1-D6FC-4f65-9D91-7224C49458BB}"/>
          </c:extLst>
        </c:dLbl>
      </c:pivotFmt>
      <c:pivotFmt>
        <c:idx val="22"/>
        <c:dLbl>
          <c:idx val="0"/>
          <c:showLegendKey val="1"/>
          <c:showVal val="1"/>
          <c:showCatName val="1"/>
          <c:showSerName val="1"/>
          <c:showPercent val="1"/>
          <c:showBubbleSize val="1"/>
          <c:extLst>
            <c:ext xmlns:c15="http://schemas.microsoft.com/office/drawing/2012/chart" uri="{CE6537A1-D6FC-4f65-9D91-7224C49458BB}"/>
          </c:extLst>
        </c:dLbl>
      </c:pivotFmt>
      <c:pivotFmt>
        <c:idx val="23"/>
        <c:dLbl>
          <c:idx val="0"/>
          <c:showLegendKey val="1"/>
          <c:showVal val="1"/>
          <c:showCatName val="1"/>
          <c:showSerName val="1"/>
          <c:showPercent val="1"/>
          <c:showBubbleSize val="1"/>
          <c:extLst>
            <c:ext xmlns:c15="http://schemas.microsoft.com/office/drawing/2012/chart" uri="{CE6537A1-D6FC-4f65-9D91-7224C49458BB}"/>
          </c:extLst>
        </c:dLbl>
      </c:pivotFmt>
      <c:pivotFmt>
        <c:idx val="24"/>
        <c:dLbl>
          <c:idx val="0"/>
          <c:showLegendKey val="1"/>
          <c:showVal val="1"/>
          <c:showCatName val="1"/>
          <c:showSerName val="1"/>
          <c:showPercent val="1"/>
          <c:showBubbleSize val="1"/>
          <c:extLst>
            <c:ext xmlns:c15="http://schemas.microsoft.com/office/drawing/2012/chart" uri="{CE6537A1-D6FC-4f65-9D91-7224C49458BB}"/>
          </c:extLst>
        </c:dLbl>
      </c:pivotFmt>
      <c:pivotFmt>
        <c:idx val="25"/>
        <c:dLbl>
          <c:idx val="0"/>
          <c:showLegendKey val="1"/>
          <c:showVal val="1"/>
          <c:showCatName val="1"/>
          <c:showSerName val="1"/>
          <c:showPercent val="1"/>
          <c:showBubbleSize val="1"/>
          <c:extLst>
            <c:ext xmlns:c15="http://schemas.microsoft.com/office/drawing/2012/chart" uri="{CE6537A1-D6FC-4f65-9D91-7224C49458BB}"/>
          </c:extLst>
        </c:dLbl>
      </c:pivotFmt>
      <c:pivotFmt>
        <c:idx val="26"/>
        <c:dLbl>
          <c:idx val="0"/>
          <c:showLegendKey val="1"/>
          <c:showVal val="1"/>
          <c:showCatName val="1"/>
          <c:showSerName val="1"/>
          <c:showPercent val="1"/>
          <c:showBubbleSize val="1"/>
          <c:extLst>
            <c:ext xmlns:c15="http://schemas.microsoft.com/office/drawing/2012/chart" uri="{CE6537A1-D6FC-4f65-9D91-7224C49458BB}"/>
          </c:extLst>
        </c:dLbl>
      </c:pivotFmt>
      <c:pivotFmt>
        <c:idx val="27"/>
        <c:dLbl>
          <c:idx val="0"/>
          <c:showLegendKey val="1"/>
          <c:showVal val="1"/>
          <c:showCatName val="1"/>
          <c:showSerName val="1"/>
          <c:showPercent val="1"/>
          <c:showBubbleSize val="1"/>
          <c:extLst>
            <c:ext xmlns:c15="http://schemas.microsoft.com/office/drawing/2012/chart" uri="{CE6537A1-D6FC-4f65-9D91-7224C49458BB}"/>
          </c:extLst>
        </c:dLbl>
      </c:pivotFmt>
      <c:pivotFmt>
        <c:idx val="28"/>
        <c:dLbl>
          <c:idx val="0"/>
          <c:showLegendKey val="1"/>
          <c:showVal val="1"/>
          <c:showCatName val="1"/>
          <c:showSerName val="1"/>
          <c:showPercent val="1"/>
          <c:showBubbleSize val="1"/>
          <c:extLst>
            <c:ext xmlns:c15="http://schemas.microsoft.com/office/drawing/2012/chart" uri="{CE6537A1-D6FC-4f65-9D91-7224C49458BB}"/>
          </c:extLst>
        </c:dLbl>
      </c:pivotFmt>
      <c:pivotFmt>
        <c:idx val="29"/>
        <c:dLbl>
          <c:idx val="0"/>
          <c:showLegendKey val="1"/>
          <c:showVal val="1"/>
          <c:showCatName val="1"/>
          <c:showSerName val="1"/>
          <c:showPercent val="1"/>
          <c:showBubbleSize val="1"/>
          <c:extLst>
            <c:ext xmlns:c15="http://schemas.microsoft.com/office/drawing/2012/chart" uri="{CE6537A1-D6FC-4f65-9D91-7224C49458BB}"/>
          </c:extLst>
        </c:dLbl>
      </c:pivotFmt>
      <c:pivotFmt>
        <c:idx val="30"/>
        <c:dLbl>
          <c:idx val="0"/>
          <c:showLegendKey val="1"/>
          <c:showVal val="1"/>
          <c:showCatName val="1"/>
          <c:showSerName val="1"/>
          <c:showPercent val="1"/>
          <c:showBubbleSize val="1"/>
          <c:extLst>
            <c:ext xmlns:c15="http://schemas.microsoft.com/office/drawing/2012/chart" uri="{CE6537A1-D6FC-4f65-9D91-7224C49458BB}"/>
          </c:extLst>
        </c:dLbl>
      </c:pivotFmt>
      <c:pivotFmt>
        <c:idx val="31"/>
        <c:dLbl>
          <c:idx val="0"/>
          <c:showLegendKey val="1"/>
          <c:showVal val="1"/>
          <c:showCatName val="1"/>
          <c:showSerName val="1"/>
          <c:showPercent val="1"/>
          <c:showBubbleSize val="1"/>
          <c:extLst>
            <c:ext xmlns:c15="http://schemas.microsoft.com/office/drawing/2012/chart" uri="{CE6537A1-D6FC-4f65-9D91-7224C49458BB}"/>
          </c:extLst>
        </c:dLbl>
      </c:pivotFmt>
      <c:pivotFmt>
        <c:idx val="32"/>
        <c:dLbl>
          <c:idx val="0"/>
          <c:showLegendKey val="1"/>
          <c:showVal val="1"/>
          <c:showCatName val="1"/>
          <c:showSerName val="1"/>
          <c:showPercent val="1"/>
          <c:showBubbleSize val="1"/>
          <c:extLst>
            <c:ext xmlns:c15="http://schemas.microsoft.com/office/drawing/2012/chart" uri="{CE6537A1-D6FC-4f65-9D91-7224C49458BB}"/>
          </c:extLst>
        </c:dLbl>
      </c:pivotFmt>
      <c:pivotFmt>
        <c:idx val="33"/>
        <c:dLbl>
          <c:idx val="0"/>
          <c:showLegendKey val="1"/>
          <c:showVal val="1"/>
          <c:showCatName val="1"/>
          <c:showSerName val="1"/>
          <c:showPercent val="1"/>
          <c:showBubbleSize val="1"/>
          <c:extLst>
            <c:ext xmlns:c15="http://schemas.microsoft.com/office/drawing/2012/chart" uri="{CE6537A1-D6FC-4f65-9D91-7224C49458BB}"/>
          </c:extLst>
        </c:dLbl>
      </c:pivotFmt>
      <c:pivotFmt>
        <c:idx val="34"/>
        <c:dLbl>
          <c:idx val="0"/>
          <c:showLegendKey val="1"/>
          <c:showVal val="1"/>
          <c:showCatName val="1"/>
          <c:showSerName val="1"/>
          <c:showPercent val="1"/>
          <c:showBubbleSize val="1"/>
          <c:extLst>
            <c:ext xmlns:c15="http://schemas.microsoft.com/office/drawing/2012/chart" uri="{CE6537A1-D6FC-4f65-9D91-7224C49458BB}"/>
          </c:extLst>
        </c:dLbl>
      </c:pivotFmt>
      <c:pivotFmt>
        <c:idx val="35"/>
        <c:dLbl>
          <c:idx val="0"/>
          <c:showLegendKey val="1"/>
          <c:showVal val="1"/>
          <c:showCatName val="1"/>
          <c:showSerName val="1"/>
          <c:showPercent val="1"/>
          <c:showBubbleSize val="1"/>
          <c:extLst>
            <c:ext xmlns:c15="http://schemas.microsoft.com/office/drawing/2012/chart" uri="{CE6537A1-D6FC-4f65-9D91-7224C49458BB}"/>
          </c:extLst>
        </c:dLbl>
      </c:pivotFmt>
      <c:pivotFmt>
        <c:idx val="36"/>
        <c:dLbl>
          <c:idx val="0"/>
          <c:showLegendKey val="1"/>
          <c:showVal val="1"/>
          <c:showCatName val="1"/>
          <c:showSerName val="1"/>
          <c:showPercent val="1"/>
          <c:showBubbleSize val="1"/>
          <c:extLst>
            <c:ext xmlns:c15="http://schemas.microsoft.com/office/drawing/2012/chart" uri="{CE6537A1-D6FC-4f65-9D91-7224C49458BB}"/>
          </c:extLst>
        </c:dLbl>
      </c:pivotFmt>
      <c:pivotFmt>
        <c:idx val="37"/>
        <c:dLbl>
          <c:idx val="0"/>
          <c:showLegendKey val="1"/>
          <c:showVal val="1"/>
          <c:showCatName val="1"/>
          <c:showSerName val="1"/>
          <c:showPercent val="1"/>
          <c:showBubbleSize val="1"/>
          <c:extLst>
            <c:ext xmlns:c15="http://schemas.microsoft.com/office/drawing/2012/chart" uri="{CE6537A1-D6FC-4f65-9D91-7224C49458BB}"/>
          </c:extLst>
        </c:dLbl>
      </c:pivotFmt>
      <c:pivotFmt>
        <c:idx val="38"/>
        <c:dLbl>
          <c:idx val="0"/>
          <c:showLegendKey val="1"/>
          <c:showVal val="1"/>
          <c:showCatName val="1"/>
          <c:showSerName val="1"/>
          <c:showPercent val="1"/>
          <c:showBubbleSize val="1"/>
          <c:extLst>
            <c:ext xmlns:c15="http://schemas.microsoft.com/office/drawing/2012/chart" uri="{CE6537A1-D6FC-4f65-9D91-7224C49458BB}"/>
          </c:extLst>
        </c:dLbl>
      </c:pivotFmt>
      <c:pivotFmt>
        <c:idx val="39"/>
        <c:dLbl>
          <c:idx val="0"/>
          <c:showLegendKey val="1"/>
          <c:showVal val="1"/>
          <c:showCatName val="1"/>
          <c:showSerName val="1"/>
          <c:showPercent val="1"/>
          <c:showBubbleSize val="1"/>
          <c:extLst>
            <c:ext xmlns:c15="http://schemas.microsoft.com/office/drawing/2012/chart" uri="{CE6537A1-D6FC-4f65-9D91-7224C49458BB}"/>
          </c:extLst>
        </c:dLbl>
      </c:pivotFmt>
      <c:pivotFmt>
        <c:idx val="40"/>
        <c:dLbl>
          <c:idx val="0"/>
          <c:showLegendKey val="1"/>
          <c:showVal val="1"/>
          <c:showCatName val="1"/>
          <c:showSerName val="1"/>
          <c:showPercent val="1"/>
          <c:showBubbleSize val="1"/>
          <c:extLst>
            <c:ext xmlns:c15="http://schemas.microsoft.com/office/drawing/2012/chart" uri="{CE6537A1-D6FC-4f65-9D91-7224C49458BB}"/>
          </c:extLst>
        </c:dLbl>
      </c:pivotFmt>
      <c:pivotFmt>
        <c:idx val="41"/>
        <c:dLbl>
          <c:idx val="0"/>
          <c:showLegendKey val="1"/>
          <c:showVal val="1"/>
          <c:showCatName val="1"/>
          <c:showSerName val="1"/>
          <c:showPercent val="1"/>
          <c:showBubbleSize val="1"/>
          <c:extLst>
            <c:ext xmlns:c15="http://schemas.microsoft.com/office/drawing/2012/chart" uri="{CE6537A1-D6FC-4f65-9D91-7224C49458BB}"/>
          </c:extLst>
        </c:dLbl>
      </c:pivotFmt>
      <c:pivotFmt>
        <c:idx val="42"/>
        <c:dLbl>
          <c:idx val="0"/>
          <c:showLegendKey val="1"/>
          <c:showVal val="1"/>
          <c:showCatName val="1"/>
          <c:showSerName val="1"/>
          <c:showPercent val="1"/>
          <c:showBubbleSize val="1"/>
          <c:extLst>
            <c:ext xmlns:c15="http://schemas.microsoft.com/office/drawing/2012/chart" uri="{CE6537A1-D6FC-4f65-9D91-7224C49458BB}"/>
          </c:extLst>
        </c:dLbl>
      </c:pivotFmt>
      <c:pivotFmt>
        <c:idx val="43"/>
        <c:dLbl>
          <c:idx val="0"/>
          <c:showLegendKey val="1"/>
          <c:showVal val="1"/>
          <c:showCatName val="1"/>
          <c:showSerName val="1"/>
          <c:showPercent val="1"/>
          <c:showBubbleSize val="1"/>
          <c:extLst>
            <c:ext xmlns:c15="http://schemas.microsoft.com/office/drawing/2012/chart" uri="{CE6537A1-D6FC-4f65-9D91-7224C49458BB}"/>
          </c:extLst>
        </c:dLbl>
      </c:pivotFmt>
      <c:pivotFmt>
        <c:idx val="44"/>
        <c:dLbl>
          <c:idx val="0"/>
          <c:showLegendKey val="1"/>
          <c:showVal val="1"/>
          <c:showCatName val="1"/>
          <c:showSerName val="1"/>
          <c:showPercent val="1"/>
          <c:showBubbleSize val="1"/>
          <c:extLst>
            <c:ext xmlns:c15="http://schemas.microsoft.com/office/drawing/2012/chart" uri="{CE6537A1-D6FC-4f65-9D91-7224C49458BB}"/>
          </c:extLst>
        </c:dLbl>
      </c:pivotFmt>
      <c:pivotFmt>
        <c:idx val="45"/>
        <c:dLbl>
          <c:idx val="0"/>
          <c:showLegendKey val="1"/>
          <c:showVal val="1"/>
          <c:showCatName val="1"/>
          <c:showSerName val="1"/>
          <c:showPercent val="1"/>
          <c:showBubbleSize val="1"/>
          <c:extLst>
            <c:ext xmlns:c15="http://schemas.microsoft.com/office/drawing/2012/chart" uri="{CE6537A1-D6FC-4f65-9D91-7224C49458BB}"/>
          </c:extLst>
        </c:dLbl>
      </c:pivotFmt>
      <c:pivotFmt>
        <c:idx val="46"/>
        <c:dLbl>
          <c:idx val="0"/>
          <c:showLegendKey val="1"/>
          <c:showVal val="1"/>
          <c:showCatName val="1"/>
          <c:showSerName val="1"/>
          <c:showPercent val="1"/>
          <c:showBubbleSize val="1"/>
          <c:extLst>
            <c:ext xmlns:c15="http://schemas.microsoft.com/office/drawing/2012/chart" uri="{CE6537A1-D6FC-4f65-9D91-7224C49458BB}"/>
          </c:extLst>
        </c:dLbl>
      </c:pivotFmt>
      <c:pivotFmt>
        <c:idx val="47"/>
        <c:dLbl>
          <c:idx val="0"/>
          <c:showLegendKey val="1"/>
          <c:showVal val="1"/>
          <c:showCatName val="1"/>
          <c:showSerName val="1"/>
          <c:showPercent val="1"/>
          <c:showBubbleSize val="1"/>
          <c:extLst>
            <c:ext xmlns:c15="http://schemas.microsoft.com/office/drawing/2012/chart" uri="{CE6537A1-D6FC-4f65-9D91-7224C49458BB}"/>
          </c:extLst>
        </c:dLbl>
      </c:pivotFmt>
      <c:pivotFmt>
        <c:idx val="48"/>
        <c:dLbl>
          <c:idx val="0"/>
          <c:showLegendKey val="1"/>
          <c:showVal val="1"/>
          <c:showCatName val="1"/>
          <c:showSerName val="1"/>
          <c:showPercent val="1"/>
          <c:showBubbleSize val="1"/>
          <c:extLst>
            <c:ext xmlns:c15="http://schemas.microsoft.com/office/drawing/2012/chart" uri="{CE6537A1-D6FC-4f65-9D91-7224C49458BB}"/>
          </c:extLst>
        </c:dLbl>
      </c:pivotFmt>
      <c:pivotFmt>
        <c:idx val="49"/>
        <c:dLbl>
          <c:idx val="0"/>
          <c:showLegendKey val="1"/>
          <c:showVal val="1"/>
          <c:showCatName val="1"/>
          <c:showSerName val="1"/>
          <c:showPercent val="1"/>
          <c:showBubbleSize val="1"/>
          <c:extLst>
            <c:ext xmlns:c15="http://schemas.microsoft.com/office/drawing/2012/chart" uri="{CE6537A1-D6FC-4f65-9D91-7224C49458BB}"/>
          </c:extLst>
        </c:dLbl>
      </c:pivotFmt>
      <c:pivotFmt>
        <c:idx val="50"/>
        <c:dLbl>
          <c:idx val="0"/>
          <c:showLegendKey val="1"/>
          <c:showVal val="1"/>
          <c:showCatName val="1"/>
          <c:showSerName val="1"/>
          <c:showPercent val="1"/>
          <c:showBubbleSize val="1"/>
          <c:extLst>
            <c:ext xmlns:c15="http://schemas.microsoft.com/office/drawing/2012/chart" uri="{CE6537A1-D6FC-4f65-9D91-7224C49458BB}"/>
          </c:extLst>
        </c:dLbl>
      </c:pivotFmt>
      <c:pivotFmt>
        <c:idx val="51"/>
        <c:dLbl>
          <c:idx val="0"/>
          <c:showLegendKey val="1"/>
          <c:showVal val="1"/>
          <c:showCatName val="1"/>
          <c:showSerName val="1"/>
          <c:showPercent val="1"/>
          <c:showBubbleSize val="1"/>
          <c:extLst>
            <c:ext xmlns:c15="http://schemas.microsoft.com/office/drawing/2012/chart" uri="{CE6537A1-D6FC-4f65-9D91-7224C49458BB}"/>
          </c:extLst>
        </c:dLbl>
      </c:pivotFmt>
      <c:pivotFmt>
        <c:idx val="52"/>
        <c:dLbl>
          <c:idx val="0"/>
          <c:showLegendKey val="1"/>
          <c:showVal val="1"/>
          <c:showCatName val="1"/>
          <c:showSerName val="1"/>
          <c:showPercent val="1"/>
          <c:showBubbleSize val="1"/>
          <c:extLst>
            <c:ext xmlns:c15="http://schemas.microsoft.com/office/drawing/2012/chart" uri="{CE6537A1-D6FC-4f65-9D91-7224C49458BB}"/>
          </c:extLst>
        </c:dLbl>
      </c:pivotFmt>
      <c:pivotFmt>
        <c:idx val="53"/>
        <c:dLbl>
          <c:idx val="0"/>
          <c:showLegendKey val="1"/>
          <c:showVal val="1"/>
          <c:showCatName val="1"/>
          <c:showSerName val="1"/>
          <c:showPercent val="1"/>
          <c:showBubbleSize val="1"/>
          <c:extLst>
            <c:ext xmlns:c15="http://schemas.microsoft.com/office/drawing/2012/chart" uri="{CE6537A1-D6FC-4f65-9D91-7224C49458BB}"/>
          </c:extLst>
        </c:dLbl>
      </c:pivotFmt>
      <c:pivotFmt>
        <c:idx val="54"/>
        <c:dLbl>
          <c:idx val="0"/>
          <c:showLegendKey val="1"/>
          <c:showVal val="1"/>
          <c:showCatName val="1"/>
          <c:showSerName val="1"/>
          <c:showPercent val="1"/>
          <c:showBubbleSize val="1"/>
          <c:extLst>
            <c:ext xmlns:c15="http://schemas.microsoft.com/office/drawing/2012/chart" uri="{CE6537A1-D6FC-4f65-9D91-7224C49458BB}"/>
          </c:extLst>
        </c:dLbl>
      </c:pivotFmt>
      <c:pivotFmt>
        <c:idx val="55"/>
        <c:dLbl>
          <c:idx val="0"/>
          <c:showLegendKey val="1"/>
          <c:showVal val="1"/>
          <c:showCatName val="1"/>
          <c:showSerName val="1"/>
          <c:showPercent val="1"/>
          <c:showBubbleSize val="1"/>
          <c:extLst>
            <c:ext xmlns:c15="http://schemas.microsoft.com/office/drawing/2012/chart" uri="{CE6537A1-D6FC-4f65-9D91-7224C49458BB}"/>
          </c:extLst>
        </c:dLbl>
      </c:pivotFmt>
      <c:pivotFmt>
        <c:idx val="56"/>
        <c:dLbl>
          <c:idx val="0"/>
          <c:showLegendKey val="1"/>
          <c:showVal val="1"/>
          <c:showCatName val="1"/>
          <c:showSerName val="1"/>
          <c:showPercent val="1"/>
          <c:showBubbleSize val="1"/>
          <c:extLst>
            <c:ext xmlns:c15="http://schemas.microsoft.com/office/drawing/2012/chart" uri="{CE6537A1-D6FC-4f65-9D91-7224C49458BB}"/>
          </c:extLst>
        </c:dLbl>
      </c:pivotFmt>
      <c:pivotFmt>
        <c:idx val="57"/>
        <c:dLbl>
          <c:idx val="0"/>
          <c:showLegendKey val="1"/>
          <c:showVal val="1"/>
          <c:showCatName val="1"/>
          <c:showSerName val="1"/>
          <c:showPercent val="1"/>
          <c:showBubbleSize val="1"/>
          <c:extLst>
            <c:ext xmlns:c15="http://schemas.microsoft.com/office/drawing/2012/chart" uri="{CE6537A1-D6FC-4f65-9D91-7224C49458BB}"/>
          </c:extLst>
        </c:dLbl>
      </c:pivotFmt>
      <c:pivotFmt>
        <c:idx val="58"/>
        <c:dLbl>
          <c:idx val="0"/>
          <c:showLegendKey val="1"/>
          <c:showVal val="1"/>
          <c:showCatName val="1"/>
          <c:showSerName val="1"/>
          <c:showPercent val="1"/>
          <c:showBubbleSize val="1"/>
          <c:extLst>
            <c:ext xmlns:c15="http://schemas.microsoft.com/office/drawing/2012/chart" uri="{CE6537A1-D6FC-4f65-9D91-7224C49458BB}"/>
          </c:extLst>
        </c:dLbl>
      </c:pivotFmt>
      <c:pivotFmt>
        <c:idx val="59"/>
        <c:dLbl>
          <c:idx val="0"/>
          <c:showLegendKey val="1"/>
          <c:showVal val="1"/>
          <c:showCatName val="1"/>
          <c:showSerName val="1"/>
          <c:showPercent val="1"/>
          <c:showBubbleSize val="1"/>
          <c:extLst>
            <c:ext xmlns:c15="http://schemas.microsoft.com/office/drawing/2012/chart" uri="{CE6537A1-D6FC-4f65-9D91-7224C49458BB}"/>
          </c:extLst>
        </c:dLbl>
      </c:pivotFmt>
      <c:pivotFmt>
        <c:idx val="60"/>
        <c:dLbl>
          <c:idx val="0"/>
          <c:showLegendKey val="1"/>
          <c:showVal val="1"/>
          <c:showCatName val="1"/>
          <c:showSerName val="1"/>
          <c:showPercent val="1"/>
          <c:showBubbleSize val="1"/>
          <c:extLst>
            <c:ext xmlns:c15="http://schemas.microsoft.com/office/drawing/2012/chart" uri="{CE6537A1-D6FC-4f65-9D91-7224C49458BB}"/>
          </c:extLst>
        </c:dLbl>
      </c:pivotFmt>
      <c:pivotFmt>
        <c:idx val="61"/>
        <c:dLbl>
          <c:idx val="0"/>
          <c:showLegendKey val="1"/>
          <c:showVal val="1"/>
          <c:showCatName val="1"/>
          <c:showSerName val="1"/>
          <c:showPercent val="1"/>
          <c:showBubbleSize val="1"/>
          <c:extLst>
            <c:ext xmlns:c15="http://schemas.microsoft.com/office/drawing/2012/chart" uri="{CE6537A1-D6FC-4f65-9D91-7224C49458BB}"/>
          </c:extLst>
        </c:dLbl>
      </c:pivotFmt>
      <c:pivotFmt>
        <c:idx val="62"/>
        <c:dLbl>
          <c:idx val="0"/>
          <c:showLegendKey val="1"/>
          <c:showVal val="1"/>
          <c:showCatName val="1"/>
          <c:showSerName val="1"/>
          <c:showPercent val="1"/>
          <c:showBubbleSize val="1"/>
          <c:extLst>
            <c:ext xmlns:c15="http://schemas.microsoft.com/office/drawing/2012/chart" uri="{CE6537A1-D6FC-4f65-9D91-7224C49458BB}"/>
          </c:extLst>
        </c:dLbl>
      </c:pivotFmt>
      <c:pivotFmt>
        <c:idx val="63"/>
        <c:dLbl>
          <c:idx val="0"/>
          <c:showLegendKey val="1"/>
          <c:showVal val="1"/>
          <c:showCatName val="1"/>
          <c:showSerName val="1"/>
          <c:showPercent val="1"/>
          <c:showBubbleSize val="1"/>
          <c:extLst>
            <c:ext xmlns:c15="http://schemas.microsoft.com/office/drawing/2012/chart" uri="{CE6537A1-D6FC-4f65-9D91-7224C49458BB}"/>
          </c:extLst>
        </c:dLbl>
      </c:pivotFmt>
      <c:pivotFmt>
        <c:idx val="64"/>
        <c:dLbl>
          <c:idx val="0"/>
          <c:showLegendKey val="1"/>
          <c:showVal val="1"/>
          <c:showCatName val="1"/>
          <c:showSerName val="1"/>
          <c:showPercent val="1"/>
          <c:showBubbleSize val="1"/>
          <c:extLst>
            <c:ext xmlns:c15="http://schemas.microsoft.com/office/drawing/2012/chart" uri="{CE6537A1-D6FC-4f65-9D91-7224C49458BB}"/>
          </c:extLst>
        </c:dLbl>
      </c:pivotFmt>
      <c:pivotFmt>
        <c:idx val="65"/>
        <c:dLbl>
          <c:idx val="0"/>
          <c:showLegendKey val="1"/>
          <c:showVal val="1"/>
          <c:showCatName val="1"/>
          <c:showSerName val="1"/>
          <c:showPercent val="1"/>
          <c:showBubbleSize val="1"/>
          <c:extLst>
            <c:ext xmlns:c15="http://schemas.microsoft.com/office/drawing/2012/chart" uri="{CE6537A1-D6FC-4f65-9D91-7224C49458BB}"/>
          </c:extLst>
        </c:dLbl>
      </c:pivotFmt>
      <c:pivotFmt>
        <c:idx val="66"/>
        <c:dLbl>
          <c:idx val="0"/>
          <c:showLegendKey val="1"/>
          <c:showVal val="1"/>
          <c:showCatName val="1"/>
          <c:showSerName val="1"/>
          <c:showPercent val="1"/>
          <c:showBubbleSize val="1"/>
          <c:extLst>
            <c:ext xmlns:c15="http://schemas.microsoft.com/office/drawing/2012/chart" uri="{CE6537A1-D6FC-4f65-9D91-7224C49458BB}"/>
          </c:extLst>
        </c:dLbl>
      </c:pivotFmt>
      <c:pivotFmt>
        <c:idx val="67"/>
        <c:dLbl>
          <c:idx val="0"/>
          <c:showLegendKey val="1"/>
          <c:showVal val="1"/>
          <c:showCatName val="1"/>
          <c:showSerName val="1"/>
          <c:showPercent val="1"/>
          <c:showBubbleSize val="1"/>
          <c:extLst>
            <c:ext xmlns:c15="http://schemas.microsoft.com/office/drawing/2012/chart" uri="{CE6537A1-D6FC-4f65-9D91-7224C49458BB}"/>
          </c:extLst>
        </c:dLbl>
      </c:pivotFmt>
      <c:pivotFmt>
        <c:idx val="68"/>
        <c:dLbl>
          <c:idx val="0"/>
          <c:showLegendKey val="1"/>
          <c:showVal val="1"/>
          <c:showCatName val="1"/>
          <c:showSerName val="1"/>
          <c:showPercent val="1"/>
          <c:showBubbleSize val="1"/>
          <c:extLst>
            <c:ext xmlns:c15="http://schemas.microsoft.com/office/drawing/2012/chart" uri="{CE6537A1-D6FC-4f65-9D91-7224C49458BB}"/>
          </c:extLst>
        </c:dLbl>
      </c:pivotFmt>
      <c:pivotFmt>
        <c:idx val="69"/>
        <c:dLbl>
          <c:idx val="0"/>
          <c:showLegendKey val="1"/>
          <c:showVal val="1"/>
          <c:showCatName val="1"/>
          <c:showSerName val="1"/>
          <c:showPercent val="1"/>
          <c:showBubbleSize val="1"/>
          <c:extLst>
            <c:ext xmlns:c15="http://schemas.microsoft.com/office/drawing/2012/chart" uri="{CE6537A1-D6FC-4f65-9D91-7224C49458BB}"/>
          </c:extLst>
        </c:dLbl>
      </c:pivotFmt>
      <c:pivotFmt>
        <c:idx val="70"/>
        <c:dLbl>
          <c:idx val="0"/>
          <c:showLegendKey val="1"/>
          <c:showVal val="1"/>
          <c:showCatName val="1"/>
          <c:showSerName val="1"/>
          <c:showPercent val="1"/>
          <c:showBubbleSize val="1"/>
          <c:extLst>
            <c:ext xmlns:c15="http://schemas.microsoft.com/office/drawing/2012/chart" uri="{CE6537A1-D6FC-4f65-9D91-7224C49458BB}"/>
          </c:extLst>
        </c:dLbl>
      </c:pivotFmt>
      <c:pivotFmt>
        <c:idx val="71"/>
        <c:dLbl>
          <c:idx val="0"/>
          <c:showLegendKey val="1"/>
          <c:showVal val="1"/>
          <c:showCatName val="1"/>
          <c:showSerName val="1"/>
          <c:showPercent val="1"/>
          <c:showBubbleSize val="1"/>
          <c:extLst>
            <c:ext xmlns:c15="http://schemas.microsoft.com/office/drawing/2012/chart" uri="{CE6537A1-D6FC-4f65-9D91-7224C49458BB}"/>
          </c:extLst>
        </c:dLbl>
      </c:pivotFmt>
      <c:pivotFmt>
        <c:idx val="72"/>
        <c:dLbl>
          <c:idx val="0"/>
          <c:showLegendKey val="1"/>
          <c:showVal val="1"/>
          <c:showCatName val="1"/>
          <c:showSerName val="1"/>
          <c:showPercent val="1"/>
          <c:showBubbleSize val="1"/>
          <c:extLst>
            <c:ext xmlns:c15="http://schemas.microsoft.com/office/drawing/2012/chart" uri="{CE6537A1-D6FC-4f65-9D91-7224C49458BB}"/>
          </c:extLst>
        </c:dLbl>
      </c:pivotFmt>
      <c:pivotFmt>
        <c:idx val="73"/>
        <c:dLbl>
          <c:idx val="0"/>
          <c:showLegendKey val="1"/>
          <c:showVal val="1"/>
          <c:showCatName val="1"/>
          <c:showSerName val="1"/>
          <c:showPercent val="1"/>
          <c:showBubbleSize val="1"/>
          <c:extLst>
            <c:ext xmlns:c15="http://schemas.microsoft.com/office/drawing/2012/chart" uri="{CE6537A1-D6FC-4f65-9D91-7224C49458BB}"/>
          </c:extLst>
        </c:dLbl>
      </c:pivotFmt>
      <c:pivotFmt>
        <c:idx val="74"/>
        <c:dLbl>
          <c:idx val="0"/>
          <c:showLegendKey val="1"/>
          <c:showVal val="1"/>
          <c:showCatName val="1"/>
          <c:showSerName val="1"/>
          <c:showPercent val="1"/>
          <c:showBubbleSize val="1"/>
          <c:extLst>
            <c:ext xmlns:c15="http://schemas.microsoft.com/office/drawing/2012/chart" uri="{CE6537A1-D6FC-4f65-9D91-7224C49458BB}"/>
          </c:extLst>
        </c:dLbl>
      </c:pivotFmt>
      <c:pivotFmt>
        <c:idx val="75"/>
        <c:dLbl>
          <c:idx val="0"/>
          <c:showLegendKey val="1"/>
          <c:showVal val="1"/>
          <c:showCatName val="1"/>
          <c:showSerName val="1"/>
          <c:showPercent val="1"/>
          <c:showBubbleSize val="1"/>
          <c:extLst>
            <c:ext xmlns:c15="http://schemas.microsoft.com/office/drawing/2012/chart" uri="{CE6537A1-D6FC-4f65-9D91-7224C49458BB}"/>
          </c:extLst>
        </c:dLbl>
      </c:pivotFmt>
      <c:pivotFmt>
        <c:idx val="76"/>
        <c:dLbl>
          <c:idx val="0"/>
          <c:showLegendKey val="1"/>
          <c:showVal val="1"/>
          <c:showCatName val="1"/>
          <c:showSerName val="1"/>
          <c:showPercent val="1"/>
          <c:showBubbleSize val="1"/>
          <c:extLst>
            <c:ext xmlns:c15="http://schemas.microsoft.com/office/drawing/2012/chart" uri="{CE6537A1-D6FC-4f65-9D91-7224C49458BB}"/>
          </c:extLst>
        </c:dLbl>
      </c:pivotFmt>
      <c:pivotFmt>
        <c:idx val="77"/>
        <c:dLbl>
          <c:idx val="0"/>
          <c:showLegendKey val="1"/>
          <c:showVal val="1"/>
          <c:showCatName val="1"/>
          <c:showSerName val="1"/>
          <c:showPercent val="1"/>
          <c:showBubbleSize val="1"/>
          <c:extLst>
            <c:ext xmlns:c15="http://schemas.microsoft.com/office/drawing/2012/chart" uri="{CE6537A1-D6FC-4f65-9D91-7224C49458BB}"/>
          </c:extLst>
        </c:dLbl>
      </c:pivotFmt>
      <c:pivotFmt>
        <c:idx val="78"/>
        <c:dLbl>
          <c:idx val="0"/>
          <c:showLegendKey val="1"/>
          <c:showVal val="1"/>
          <c:showCatName val="1"/>
          <c:showSerName val="1"/>
          <c:showPercent val="1"/>
          <c:showBubbleSize val="1"/>
          <c:extLst>
            <c:ext xmlns:c15="http://schemas.microsoft.com/office/drawing/2012/chart" uri="{CE6537A1-D6FC-4f65-9D91-7224C49458BB}"/>
          </c:extLst>
        </c:dLbl>
      </c:pivotFmt>
      <c:pivotFmt>
        <c:idx val="79"/>
        <c:dLbl>
          <c:idx val="0"/>
          <c:showLegendKey val="1"/>
          <c:showVal val="1"/>
          <c:showCatName val="1"/>
          <c:showSerName val="1"/>
          <c:showPercent val="1"/>
          <c:showBubbleSize val="1"/>
          <c:extLst>
            <c:ext xmlns:c15="http://schemas.microsoft.com/office/drawing/2012/chart" uri="{CE6537A1-D6FC-4f65-9D91-7224C49458BB}"/>
          </c:extLst>
        </c:dLbl>
      </c:pivotFmt>
      <c:pivotFmt>
        <c:idx val="80"/>
        <c:dLbl>
          <c:idx val="0"/>
          <c:showLegendKey val="1"/>
          <c:showVal val="1"/>
          <c:showCatName val="1"/>
          <c:showSerName val="1"/>
          <c:showPercent val="1"/>
          <c:showBubbleSize val="1"/>
          <c:extLst>
            <c:ext xmlns:c15="http://schemas.microsoft.com/office/drawing/2012/chart" uri="{CE6537A1-D6FC-4f65-9D91-7224C49458BB}"/>
          </c:extLst>
        </c:dLbl>
      </c:pivotFmt>
      <c:pivotFmt>
        <c:idx val="81"/>
        <c:dLbl>
          <c:idx val="0"/>
          <c:showLegendKey val="1"/>
          <c:showVal val="1"/>
          <c:showCatName val="1"/>
          <c:showSerName val="1"/>
          <c:showPercent val="1"/>
          <c:showBubbleSize val="1"/>
          <c:extLst>
            <c:ext xmlns:c15="http://schemas.microsoft.com/office/drawing/2012/chart" uri="{CE6537A1-D6FC-4f65-9D91-7224C49458BB}"/>
          </c:extLst>
        </c:dLbl>
      </c:pivotFmt>
      <c:pivotFmt>
        <c:idx val="82"/>
        <c:dLbl>
          <c:idx val="0"/>
          <c:showLegendKey val="1"/>
          <c:showVal val="1"/>
          <c:showCatName val="1"/>
          <c:showSerName val="1"/>
          <c:showPercent val="1"/>
          <c:showBubbleSize val="1"/>
          <c:extLst>
            <c:ext xmlns:c15="http://schemas.microsoft.com/office/drawing/2012/chart" uri="{CE6537A1-D6FC-4f65-9D91-7224C49458BB}"/>
          </c:extLst>
        </c:dLbl>
      </c:pivotFmt>
      <c:pivotFmt>
        <c:idx val="83"/>
        <c:dLbl>
          <c:idx val="0"/>
          <c:showLegendKey val="1"/>
          <c:showVal val="1"/>
          <c:showCatName val="1"/>
          <c:showSerName val="1"/>
          <c:showPercent val="1"/>
          <c:showBubbleSize val="1"/>
          <c:extLst>
            <c:ext xmlns:c15="http://schemas.microsoft.com/office/drawing/2012/chart" uri="{CE6537A1-D6FC-4f65-9D91-7224C49458BB}"/>
          </c:extLst>
        </c:dLbl>
      </c:pivotFmt>
      <c:pivotFmt>
        <c:idx val="84"/>
        <c:dLbl>
          <c:idx val="0"/>
          <c:showLegendKey val="1"/>
          <c:showVal val="1"/>
          <c:showCatName val="1"/>
          <c:showSerName val="1"/>
          <c:showPercent val="1"/>
          <c:showBubbleSize val="1"/>
          <c:extLst>
            <c:ext xmlns:c15="http://schemas.microsoft.com/office/drawing/2012/chart" uri="{CE6537A1-D6FC-4f65-9D91-7224C49458BB}"/>
          </c:extLst>
        </c:dLbl>
      </c:pivotFmt>
      <c:pivotFmt>
        <c:idx val="85"/>
        <c:dLbl>
          <c:idx val="0"/>
          <c:showLegendKey val="1"/>
          <c:showVal val="1"/>
          <c:showCatName val="1"/>
          <c:showSerName val="1"/>
          <c:showPercent val="1"/>
          <c:showBubbleSize val="1"/>
          <c:extLst>
            <c:ext xmlns:c15="http://schemas.microsoft.com/office/drawing/2012/chart" uri="{CE6537A1-D6FC-4f65-9D91-7224C49458BB}"/>
          </c:extLst>
        </c:dLbl>
      </c:pivotFmt>
      <c:pivotFmt>
        <c:idx val="86"/>
        <c:dLbl>
          <c:idx val="0"/>
          <c:showLegendKey val="1"/>
          <c:showVal val="1"/>
          <c:showCatName val="1"/>
          <c:showSerName val="1"/>
          <c:showPercent val="1"/>
          <c:showBubbleSize val="1"/>
          <c:extLst>
            <c:ext xmlns:c15="http://schemas.microsoft.com/office/drawing/2012/chart" uri="{CE6537A1-D6FC-4f65-9D91-7224C49458BB}"/>
          </c:extLst>
        </c:dLbl>
      </c:pivotFmt>
      <c:pivotFmt>
        <c:idx val="87"/>
        <c:dLbl>
          <c:idx val="0"/>
          <c:showLegendKey val="1"/>
          <c:showVal val="1"/>
          <c:showCatName val="1"/>
          <c:showSerName val="1"/>
          <c:showPercent val="1"/>
          <c:showBubbleSize val="1"/>
          <c:extLst>
            <c:ext xmlns:c15="http://schemas.microsoft.com/office/drawing/2012/chart" uri="{CE6537A1-D6FC-4f65-9D91-7224C49458BB}"/>
          </c:extLst>
        </c:dLbl>
      </c:pivotFmt>
      <c:pivotFmt>
        <c:idx val="88"/>
        <c:dLbl>
          <c:idx val="0"/>
          <c:showLegendKey val="1"/>
          <c:showVal val="1"/>
          <c:showCatName val="1"/>
          <c:showSerName val="1"/>
          <c:showPercent val="1"/>
          <c:showBubbleSize val="1"/>
          <c:extLst>
            <c:ext xmlns:c15="http://schemas.microsoft.com/office/drawing/2012/chart" uri="{CE6537A1-D6FC-4f65-9D91-7224C49458BB}"/>
          </c:extLst>
        </c:dLbl>
      </c:pivotFmt>
      <c:pivotFmt>
        <c:idx val="89"/>
        <c:dLbl>
          <c:idx val="0"/>
          <c:showLegendKey val="1"/>
          <c:showVal val="1"/>
          <c:showCatName val="1"/>
          <c:showSerName val="1"/>
          <c:showPercent val="1"/>
          <c:showBubbleSize val="1"/>
          <c:extLst>
            <c:ext xmlns:c15="http://schemas.microsoft.com/office/drawing/2012/chart" uri="{CE6537A1-D6FC-4f65-9D91-7224C49458BB}"/>
          </c:extLst>
        </c:dLbl>
      </c:pivotFmt>
      <c:pivotFmt>
        <c:idx val="90"/>
        <c:dLbl>
          <c:idx val="0"/>
          <c:showLegendKey val="1"/>
          <c:showVal val="1"/>
          <c:showCatName val="1"/>
          <c:showSerName val="1"/>
          <c:showPercent val="1"/>
          <c:showBubbleSize val="1"/>
          <c:extLst>
            <c:ext xmlns:c15="http://schemas.microsoft.com/office/drawing/2012/chart" uri="{CE6537A1-D6FC-4f65-9D91-7224C49458BB}"/>
          </c:extLst>
        </c:dLbl>
      </c:pivotFmt>
      <c:pivotFmt>
        <c:idx val="91"/>
        <c:dLbl>
          <c:idx val="0"/>
          <c:showLegendKey val="1"/>
          <c:showVal val="1"/>
          <c:showCatName val="1"/>
          <c:showSerName val="1"/>
          <c:showPercent val="1"/>
          <c:showBubbleSize val="1"/>
          <c:extLst>
            <c:ext xmlns:c15="http://schemas.microsoft.com/office/drawing/2012/chart" uri="{CE6537A1-D6FC-4f65-9D91-7224C49458BB}"/>
          </c:extLst>
        </c:dLbl>
      </c:pivotFmt>
      <c:pivotFmt>
        <c:idx val="92"/>
        <c:dLbl>
          <c:idx val="0"/>
          <c:showLegendKey val="1"/>
          <c:showVal val="1"/>
          <c:showCatName val="1"/>
          <c:showSerName val="1"/>
          <c:showPercent val="1"/>
          <c:showBubbleSize val="1"/>
          <c:extLst>
            <c:ext xmlns:c15="http://schemas.microsoft.com/office/drawing/2012/chart" uri="{CE6537A1-D6FC-4f65-9D91-7224C49458BB}"/>
          </c:extLst>
        </c:dLbl>
      </c:pivotFmt>
      <c:pivotFmt>
        <c:idx val="93"/>
        <c:dLbl>
          <c:idx val="0"/>
          <c:showLegendKey val="1"/>
          <c:showVal val="1"/>
          <c:showCatName val="1"/>
          <c:showSerName val="1"/>
          <c:showPercent val="1"/>
          <c:showBubbleSize val="1"/>
          <c:extLst>
            <c:ext xmlns:c15="http://schemas.microsoft.com/office/drawing/2012/chart" uri="{CE6537A1-D6FC-4f65-9D91-7224C49458BB}"/>
          </c:extLst>
        </c:dLbl>
      </c:pivotFmt>
      <c:pivotFmt>
        <c:idx val="94"/>
        <c:dLbl>
          <c:idx val="0"/>
          <c:showLegendKey val="1"/>
          <c:showVal val="1"/>
          <c:showCatName val="1"/>
          <c:showSerName val="1"/>
          <c:showPercent val="1"/>
          <c:showBubbleSize val="1"/>
          <c:extLst>
            <c:ext xmlns:c15="http://schemas.microsoft.com/office/drawing/2012/chart" uri="{CE6537A1-D6FC-4f65-9D91-7224C49458BB}"/>
          </c:extLst>
        </c:dLbl>
      </c:pivotFmt>
      <c:pivotFmt>
        <c:idx val="95"/>
        <c:dLbl>
          <c:idx val="0"/>
          <c:showLegendKey val="1"/>
          <c:showVal val="1"/>
          <c:showCatName val="1"/>
          <c:showSerName val="1"/>
          <c:showPercent val="1"/>
          <c:showBubbleSize val="1"/>
          <c:extLst>
            <c:ext xmlns:c15="http://schemas.microsoft.com/office/drawing/2012/chart" uri="{CE6537A1-D6FC-4f65-9D91-7224C49458BB}"/>
          </c:extLst>
        </c:dLbl>
      </c:pivotFmt>
      <c:pivotFmt>
        <c:idx val="96"/>
        <c:dLbl>
          <c:idx val="0"/>
          <c:showLegendKey val="1"/>
          <c:showVal val="1"/>
          <c:showCatName val="1"/>
          <c:showSerName val="1"/>
          <c:showPercent val="1"/>
          <c:showBubbleSize val="1"/>
          <c:extLst>
            <c:ext xmlns:c15="http://schemas.microsoft.com/office/drawing/2012/chart" uri="{CE6537A1-D6FC-4f65-9D91-7224C49458BB}"/>
          </c:extLst>
        </c:dLbl>
      </c:pivotFmt>
      <c:pivotFmt>
        <c:idx val="97"/>
        <c:dLbl>
          <c:idx val="0"/>
          <c:showLegendKey val="1"/>
          <c:showVal val="1"/>
          <c:showCatName val="1"/>
          <c:showSerName val="1"/>
          <c:showPercent val="1"/>
          <c:showBubbleSize val="1"/>
          <c:extLst>
            <c:ext xmlns:c15="http://schemas.microsoft.com/office/drawing/2012/chart" uri="{CE6537A1-D6FC-4f65-9D91-7224C49458BB}"/>
          </c:extLst>
        </c:dLbl>
      </c:pivotFmt>
      <c:pivotFmt>
        <c:idx val="98"/>
        <c:dLbl>
          <c:idx val="0"/>
          <c:showLegendKey val="1"/>
          <c:showVal val="1"/>
          <c:showCatName val="1"/>
          <c:showSerName val="1"/>
          <c:showPercent val="1"/>
          <c:showBubbleSize val="1"/>
          <c:extLst>
            <c:ext xmlns:c15="http://schemas.microsoft.com/office/drawing/2012/chart" uri="{CE6537A1-D6FC-4f65-9D91-7224C49458BB}"/>
          </c:extLst>
        </c:dLbl>
      </c:pivotFmt>
      <c:pivotFmt>
        <c:idx val="99"/>
        <c:dLbl>
          <c:idx val="0"/>
          <c:showLegendKey val="1"/>
          <c:showVal val="1"/>
          <c:showCatName val="1"/>
          <c:showSerName val="1"/>
          <c:showPercent val="1"/>
          <c:showBubbleSize val="1"/>
          <c:extLst>
            <c:ext xmlns:c15="http://schemas.microsoft.com/office/drawing/2012/chart" uri="{CE6537A1-D6FC-4f65-9D91-7224C49458BB}"/>
          </c:extLst>
        </c:dLbl>
      </c:pivotFmt>
      <c:pivotFmt>
        <c:idx val="100"/>
        <c:dLbl>
          <c:idx val="0"/>
          <c:showLegendKey val="1"/>
          <c:showVal val="1"/>
          <c:showCatName val="1"/>
          <c:showSerName val="1"/>
          <c:showPercent val="1"/>
          <c:showBubbleSize val="1"/>
          <c:extLst>
            <c:ext xmlns:c15="http://schemas.microsoft.com/office/drawing/2012/chart" uri="{CE6537A1-D6FC-4f65-9D91-7224C49458BB}"/>
          </c:extLst>
        </c:dLbl>
      </c:pivotFmt>
      <c:pivotFmt>
        <c:idx val="101"/>
        <c:dLbl>
          <c:idx val="0"/>
          <c:showLegendKey val="1"/>
          <c:showVal val="1"/>
          <c:showCatName val="1"/>
          <c:showSerName val="1"/>
          <c:showPercent val="1"/>
          <c:showBubbleSize val="1"/>
          <c:extLst>
            <c:ext xmlns:c15="http://schemas.microsoft.com/office/drawing/2012/chart" uri="{CE6537A1-D6FC-4f65-9D91-7224C49458BB}"/>
          </c:extLst>
        </c:dLbl>
      </c:pivotFmt>
      <c:pivotFmt>
        <c:idx val="102"/>
        <c:dLbl>
          <c:idx val="0"/>
          <c:showLegendKey val="1"/>
          <c:showVal val="1"/>
          <c:showCatName val="1"/>
          <c:showSerName val="1"/>
          <c:showPercent val="1"/>
          <c:showBubbleSize val="1"/>
          <c:extLst>
            <c:ext xmlns:c15="http://schemas.microsoft.com/office/drawing/2012/chart" uri="{CE6537A1-D6FC-4f65-9D91-7224C49458BB}"/>
          </c:extLst>
        </c:dLbl>
      </c:pivotFmt>
      <c:pivotFmt>
        <c:idx val="103"/>
        <c:dLbl>
          <c:idx val="0"/>
          <c:showLegendKey val="1"/>
          <c:showVal val="1"/>
          <c:showCatName val="1"/>
          <c:showSerName val="1"/>
          <c:showPercent val="1"/>
          <c:showBubbleSize val="1"/>
          <c:extLst>
            <c:ext xmlns:c15="http://schemas.microsoft.com/office/drawing/2012/chart" uri="{CE6537A1-D6FC-4f65-9D91-7224C49458BB}"/>
          </c:extLst>
        </c:dLbl>
      </c:pivotFmt>
      <c:pivotFmt>
        <c:idx val="104"/>
        <c:dLbl>
          <c:idx val="0"/>
          <c:showLegendKey val="1"/>
          <c:showVal val="1"/>
          <c:showCatName val="1"/>
          <c:showSerName val="1"/>
          <c:showPercent val="1"/>
          <c:showBubbleSize val="1"/>
          <c:extLst>
            <c:ext xmlns:c15="http://schemas.microsoft.com/office/drawing/2012/chart" uri="{CE6537A1-D6FC-4f65-9D91-7224C49458BB}"/>
          </c:extLst>
        </c:dLbl>
      </c:pivotFmt>
      <c:pivotFmt>
        <c:idx val="105"/>
        <c:dLbl>
          <c:idx val="0"/>
          <c:showLegendKey val="1"/>
          <c:showVal val="1"/>
          <c:showCatName val="1"/>
          <c:showSerName val="1"/>
          <c:showPercent val="1"/>
          <c:showBubbleSize val="1"/>
          <c:extLst>
            <c:ext xmlns:c15="http://schemas.microsoft.com/office/drawing/2012/chart" uri="{CE6537A1-D6FC-4f65-9D91-7224C49458BB}"/>
          </c:extLst>
        </c:dLbl>
      </c:pivotFmt>
      <c:pivotFmt>
        <c:idx val="106"/>
        <c:dLbl>
          <c:idx val="0"/>
          <c:showLegendKey val="1"/>
          <c:showVal val="1"/>
          <c:showCatName val="1"/>
          <c:showSerName val="1"/>
          <c:showPercent val="1"/>
          <c:showBubbleSize val="1"/>
          <c:extLst>
            <c:ext xmlns:c15="http://schemas.microsoft.com/office/drawing/2012/chart" uri="{CE6537A1-D6FC-4f65-9D91-7224C49458BB}"/>
          </c:extLst>
        </c:dLbl>
      </c:pivotFmt>
      <c:pivotFmt>
        <c:idx val="107"/>
        <c:dLbl>
          <c:idx val="0"/>
          <c:showLegendKey val="1"/>
          <c:showVal val="1"/>
          <c:showCatName val="1"/>
          <c:showSerName val="1"/>
          <c:showPercent val="1"/>
          <c:showBubbleSize val="1"/>
          <c:extLst>
            <c:ext xmlns:c15="http://schemas.microsoft.com/office/drawing/2012/chart" uri="{CE6537A1-D6FC-4f65-9D91-7224C49458BB}"/>
          </c:extLst>
        </c:dLbl>
      </c:pivotFmt>
      <c:pivotFmt>
        <c:idx val="108"/>
        <c:dLbl>
          <c:idx val="0"/>
          <c:showLegendKey val="1"/>
          <c:showVal val="1"/>
          <c:showCatName val="1"/>
          <c:showSerName val="1"/>
          <c:showPercent val="1"/>
          <c:showBubbleSize val="1"/>
          <c:extLst>
            <c:ext xmlns:c15="http://schemas.microsoft.com/office/drawing/2012/chart" uri="{CE6537A1-D6FC-4f65-9D91-7224C49458BB}"/>
          </c:extLst>
        </c:dLbl>
      </c:pivotFmt>
      <c:pivotFmt>
        <c:idx val="109"/>
        <c:dLbl>
          <c:idx val="0"/>
          <c:showLegendKey val="1"/>
          <c:showVal val="1"/>
          <c:showCatName val="1"/>
          <c:showSerName val="1"/>
          <c:showPercent val="1"/>
          <c:showBubbleSize val="1"/>
          <c:extLst>
            <c:ext xmlns:c15="http://schemas.microsoft.com/office/drawing/2012/chart" uri="{CE6537A1-D6FC-4f65-9D91-7224C49458BB}"/>
          </c:extLst>
        </c:dLbl>
      </c:pivotFmt>
      <c:pivotFmt>
        <c:idx val="110"/>
        <c:dLbl>
          <c:idx val="0"/>
          <c:showLegendKey val="1"/>
          <c:showVal val="1"/>
          <c:showCatName val="1"/>
          <c:showSerName val="1"/>
          <c:showPercent val="1"/>
          <c:showBubbleSize val="1"/>
          <c:extLst>
            <c:ext xmlns:c15="http://schemas.microsoft.com/office/drawing/2012/chart" uri="{CE6537A1-D6FC-4f65-9D91-7224C49458BB}"/>
          </c:extLst>
        </c:dLbl>
      </c:pivotFmt>
      <c:pivotFmt>
        <c:idx val="111"/>
        <c:dLbl>
          <c:idx val="0"/>
          <c:showLegendKey val="1"/>
          <c:showVal val="1"/>
          <c:showCatName val="1"/>
          <c:showSerName val="1"/>
          <c:showPercent val="1"/>
          <c:showBubbleSize val="1"/>
          <c:extLst>
            <c:ext xmlns:c15="http://schemas.microsoft.com/office/drawing/2012/chart" uri="{CE6537A1-D6FC-4f65-9D91-7224C49458BB}"/>
          </c:extLst>
        </c:dLbl>
      </c:pivotFmt>
      <c:pivotFmt>
        <c:idx val="112"/>
        <c:dLbl>
          <c:idx val="0"/>
          <c:showLegendKey val="1"/>
          <c:showVal val="1"/>
          <c:showCatName val="1"/>
          <c:showSerName val="1"/>
          <c:showPercent val="1"/>
          <c:showBubbleSize val="1"/>
          <c:extLst>
            <c:ext xmlns:c15="http://schemas.microsoft.com/office/drawing/2012/chart" uri="{CE6537A1-D6FC-4f65-9D91-7224C49458BB}"/>
          </c:extLst>
        </c:dLbl>
      </c:pivotFmt>
      <c:pivotFmt>
        <c:idx val="113"/>
        <c:dLbl>
          <c:idx val="0"/>
          <c:showLegendKey val="1"/>
          <c:showVal val="1"/>
          <c:showCatName val="1"/>
          <c:showSerName val="1"/>
          <c:showPercent val="1"/>
          <c:showBubbleSize val="1"/>
          <c:extLst>
            <c:ext xmlns:c15="http://schemas.microsoft.com/office/drawing/2012/chart" uri="{CE6537A1-D6FC-4f65-9D91-7224C49458BB}"/>
          </c:extLst>
        </c:dLbl>
      </c:pivotFmt>
      <c:pivotFmt>
        <c:idx val="114"/>
        <c:dLbl>
          <c:idx val="0"/>
          <c:showLegendKey val="1"/>
          <c:showVal val="1"/>
          <c:showCatName val="1"/>
          <c:showSerName val="1"/>
          <c:showPercent val="1"/>
          <c:showBubbleSize val="1"/>
          <c:extLst>
            <c:ext xmlns:c15="http://schemas.microsoft.com/office/drawing/2012/chart" uri="{CE6537A1-D6FC-4f65-9D91-7224C49458BB}"/>
          </c:extLst>
        </c:dLbl>
      </c:pivotFmt>
      <c:pivotFmt>
        <c:idx val="115"/>
        <c:dLbl>
          <c:idx val="0"/>
          <c:showLegendKey val="1"/>
          <c:showVal val="1"/>
          <c:showCatName val="1"/>
          <c:showSerName val="1"/>
          <c:showPercent val="1"/>
          <c:showBubbleSize val="1"/>
          <c:extLst>
            <c:ext xmlns:c15="http://schemas.microsoft.com/office/drawing/2012/chart" uri="{CE6537A1-D6FC-4f65-9D91-7224C49458BB}"/>
          </c:extLst>
        </c:dLbl>
      </c:pivotFmt>
      <c:pivotFmt>
        <c:idx val="116"/>
        <c:dLbl>
          <c:idx val="0"/>
          <c:showLegendKey val="1"/>
          <c:showVal val="1"/>
          <c:showCatName val="1"/>
          <c:showSerName val="1"/>
          <c:showPercent val="1"/>
          <c:showBubbleSize val="1"/>
          <c:extLst>
            <c:ext xmlns:c15="http://schemas.microsoft.com/office/drawing/2012/chart" uri="{CE6537A1-D6FC-4f65-9D91-7224C49458BB}"/>
          </c:extLst>
        </c:dLbl>
      </c:pivotFmt>
      <c:pivotFmt>
        <c:idx val="117"/>
        <c:dLbl>
          <c:idx val="0"/>
          <c:showLegendKey val="1"/>
          <c:showVal val="1"/>
          <c:showCatName val="1"/>
          <c:showSerName val="1"/>
          <c:showPercent val="1"/>
          <c:showBubbleSize val="1"/>
          <c:extLst>
            <c:ext xmlns:c15="http://schemas.microsoft.com/office/drawing/2012/chart" uri="{CE6537A1-D6FC-4f65-9D91-7224C49458BB}"/>
          </c:extLst>
        </c:dLbl>
      </c:pivotFmt>
      <c:pivotFmt>
        <c:idx val="118"/>
        <c:dLbl>
          <c:idx val="0"/>
          <c:showLegendKey val="1"/>
          <c:showVal val="1"/>
          <c:showCatName val="1"/>
          <c:showSerName val="1"/>
          <c:showPercent val="1"/>
          <c:showBubbleSize val="1"/>
          <c:extLst>
            <c:ext xmlns:c15="http://schemas.microsoft.com/office/drawing/2012/chart" uri="{CE6537A1-D6FC-4f65-9D91-7224C49458BB}"/>
          </c:extLst>
        </c:dLbl>
      </c:pivotFmt>
      <c:pivotFmt>
        <c:idx val="119"/>
        <c:dLbl>
          <c:idx val="0"/>
          <c:showLegendKey val="1"/>
          <c:showVal val="1"/>
          <c:showCatName val="1"/>
          <c:showSerName val="1"/>
          <c:showPercent val="1"/>
          <c:showBubbleSize val="1"/>
          <c:extLst>
            <c:ext xmlns:c15="http://schemas.microsoft.com/office/drawing/2012/chart" uri="{CE6537A1-D6FC-4f65-9D91-7224C49458BB}"/>
          </c:extLst>
        </c:dLbl>
      </c:pivotFmt>
      <c:pivotFmt>
        <c:idx val="120"/>
        <c:dLbl>
          <c:idx val="0"/>
          <c:showLegendKey val="1"/>
          <c:showVal val="1"/>
          <c:showCatName val="1"/>
          <c:showSerName val="1"/>
          <c:showPercent val="1"/>
          <c:showBubbleSize val="1"/>
          <c:extLst>
            <c:ext xmlns:c15="http://schemas.microsoft.com/office/drawing/2012/chart" uri="{CE6537A1-D6FC-4f65-9D91-7224C49458BB}"/>
          </c:extLst>
        </c:dLbl>
      </c:pivotFmt>
      <c:pivotFmt>
        <c:idx val="121"/>
        <c:dLbl>
          <c:idx val="0"/>
          <c:showLegendKey val="1"/>
          <c:showVal val="1"/>
          <c:showCatName val="1"/>
          <c:showSerName val="1"/>
          <c:showPercent val="1"/>
          <c:showBubbleSize val="1"/>
          <c:extLst>
            <c:ext xmlns:c15="http://schemas.microsoft.com/office/drawing/2012/chart" uri="{CE6537A1-D6FC-4f65-9D91-7224C49458BB}"/>
          </c:extLst>
        </c:dLbl>
      </c:pivotFmt>
      <c:pivotFmt>
        <c:idx val="122"/>
        <c:dLbl>
          <c:idx val="0"/>
          <c:showLegendKey val="1"/>
          <c:showVal val="1"/>
          <c:showCatName val="1"/>
          <c:showSerName val="1"/>
          <c:showPercent val="1"/>
          <c:showBubbleSize val="1"/>
          <c:extLst>
            <c:ext xmlns:c15="http://schemas.microsoft.com/office/drawing/2012/chart" uri="{CE6537A1-D6FC-4f65-9D91-7224C49458BB}"/>
          </c:extLst>
        </c:dLbl>
      </c:pivotFmt>
      <c:pivotFmt>
        <c:idx val="123"/>
        <c:dLbl>
          <c:idx val="0"/>
          <c:showLegendKey val="1"/>
          <c:showVal val="1"/>
          <c:showCatName val="1"/>
          <c:showSerName val="1"/>
          <c:showPercent val="1"/>
          <c:showBubbleSize val="1"/>
          <c:extLst>
            <c:ext xmlns:c15="http://schemas.microsoft.com/office/drawing/2012/chart" uri="{CE6537A1-D6FC-4f65-9D91-7224C49458BB}"/>
          </c:extLst>
        </c:dLbl>
      </c:pivotFmt>
      <c:pivotFmt>
        <c:idx val="124"/>
        <c:dLbl>
          <c:idx val="0"/>
          <c:showLegendKey val="1"/>
          <c:showVal val="1"/>
          <c:showCatName val="1"/>
          <c:showSerName val="1"/>
          <c:showPercent val="1"/>
          <c:showBubbleSize val="1"/>
          <c:extLst>
            <c:ext xmlns:c15="http://schemas.microsoft.com/office/drawing/2012/chart" uri="{CE6537A1-D6FC-4f65-9D91-7224C49458BB}"/>
          </c:extLst>
        </c:dLbl>
      </c:pivotFmt>
      <c:pivotFmt>
        <c:idx val="125"/>
        <c:dLbl>
          <c:idx val="0"/>
          <c:showLegendKey val="1"/>
          <c:showVal val="1"/>
          <c:showCatName val="1"/>
          <c:showSerName val="1"/>
          <c:showPercent val="1"/>
          <c:showBubbleSize val="1"/>
          <c:extLst>
            <c:ext xmlns:c15="http://schemas.microsoft.com/office/drawing/2012/chart" uri="{CE6537A1-D6FC-4f65-9D91-7224C49458BB}"/>
          </c:extLst>
        </c:dLbl>
      </c:pivotFmt>
      <c:pivotFmt>
        <c:idx val="126"/>
        <c:dLbl>
          <c:idx val="0"/>
          <c:showLegendKey val="1"/>
          <c:showVal val="1"/>
          <c:showCatName val="1"/>
          <c:showSerName val="1"/>
          <c:showPercent val="1"/>
          <c:showBubbleSize val="1"/>
          <c:extLst>
            <c:ext xmlns:c15="http://schemas.microsoft.com/office/drawing/2012/chart" uri="{CE6537A1-D6FC-4f65-9D91-7224C49458BB}"/>
          </c:extLst>
        </c:dLbl>
      </c:pivotFmt>
      <c:pivotFmt>
        <c:idx val="127"/>
        <c:dLbl>
          <c:idx val="0"/>
          <c:showLegendKey val="1"/>
          <c:showVal val="1"/>
          <c:showCatName val="1"/>
          <c:showSerName val="1"/>
          <c:showPercent val="1"/>
          <c:showBubbleSize val="1"/>
          <c:extLst>
            <c:ext xmlns:c15="http://schemas.microsoft.com/office/drawing/2012/chart" uri="{CE6537A1-D6FC-4f65-9D91-7224C49458BB}"/>
          </c:extLst>
        </c:dLbl>
      </c:pivotFmt>
      <c:pivotFmt>
        <c:idx val="128"/>
        <c:dLbl>
          <c:idx val="0"/>
          <c:showLegendKey val="1"/>
          <c:showVal val="1"/>
          <c:showCatName val="1"/>
          <c:showSerName val="1"/>
          <c:showPercent val="1"/>
          <c:showBubbleSize val="1"/>
          <c:extLst>
            <c:ext xmlns:c15="http://schemas.microsoft.com/office/drawing/2012/chart" uri="{CE6537A1-D6FC-4f65-9D91-7224C49458BB}"/>
          </c:extLst>
        </c:dLbl>
      </c:pivotFmt>
      <c:pivotFmt>
        <c:idx val="129"/>
        <c:dLbl>
          <c:idx val="0"/>
          <c:showLegendKey val="1"/>
          <c:showVal val="1"/>
          <c:showCatName val="1"/>
          <c:showSerName val="1"/>
          <c:showPercent val="1"/>
          <c:showBubbleSize val="1"/>
          <c:extLst>
            <c:ext xmlns:c15="http://schemas.microsoft.com/office/drawing/2012/chart" uri="{CE6537A1-D6FC-4f65-9D91-7224C49458BB}"/>
          </c:extLst>
        </c:dLbl>
      </c:pivotFmt>
      <c:pivotFmt>
        <c:idx val="130"/>
        <c:dLbl>
          <c:idx val="0"/>
          <c:showLegendKey val="1"/>
          <c:showVal val="1"/>
          <c:showCatName val="1"/>
          <c:showSerName val="1"/>
          <c:showPercent val="1"/>
          <c:showBubbleSize val="1"/>
          <c:extLst>
            <c:ext xmlns:c15="http://schemas.microsoft.com/office/drawing/2012/chart" uri="{CE6537A1-D6FC-4f65-9D91-7224C49458BB}"/>
          </c:extLst>
        </c:dLbl>
      </c:pivotFmt>
      <c:pivotFmt>
        <c:idx val="131"/>
        <c:dLbl>
          <c:idx val="0"/>
          <c:showLegendKey val="1"/>
          <c:showVal val="1"/>
          <c:showCatName val="1"/>
          <c:showSerName val="1"/>
          <c:showPercent val="1"/>
          <c:showBubbleSize val="1"/>
          <c:extLst>
            <c:ext xmlns:c15="http://schemas.microsoft.com/office/drawing/2012/chart" uri="{CE6537A1-D6FC-4f65-9D91-7224C49458BB}"/>
          </c:extLst>
        </c:dLbl>
      </c:pivotFmt>
      <c:pivotFmt>
        <c:idx val="132"/>
        <c:dLbl>
          <c:idx val="0"/>
          <c:showLegendKey val="1"/>
          <c:showVal val="1"/>
          <c:showCatName val="1"/>
          <c:showSerName val="1"/>
          <c:showPercent val="1"/>
          <c:showBubbleSize val="1"/>
          <c:extLst>
            <c:ext xmlns:c15="http://schemas.microsoft.com/office/drawing/2012/chart" uri="{CE6537A1-D6FC-4f65-9D91-7224C49458BB}"/>
          </c:extLst>
        </c:dLbl>
      </c:pivotFmt>
      <c:pivotFmt>
        <c:idx val="133"/>
        <c:dLbl>
          <c:idx val="0"/>
          <c:showLegendKey val="1"/>
          <c:showVal val="1"/>
          <c:showCatName val="1"/>
          <c:showSerName val="1"/>
          <c:showPercent val="1"/>
          <c:showBubbleSize val="1"/>
          <c:extLst>
            <c:ext xmlns:c15="http://schemas.microsoft.com/office/drawing/2012/chart" uri="{CE6537A1-D6FC-4f65-9D91-7224C49458BB}"/>
          </c:extLst>
        </c:dLbl>
      </c:pivotFmt>
      <c:pivotFmt>
        <c:idx val="134"/>
        <c:dLbl>
          <c:idx val="0"/>
          <c:showLegendKey val="1"/>
          <c:showVal val="1"/>
          <c:showCatName val="1"/>
          <c:showSerName val="1"/>
          <c:showPercent val="1"/>
          <c:showBubbleSize val="1"/>
          <c:extLst>
            <c:ext xmlns:c15="http://schemas.microsoft.com/office/drawing/2012/chart" uri="{CE6537A1-D6FC-4f65-9D91-7224C49458BB}"/>
          </c:extLst>
        </c:dLbl>
      </c:pivotFmt>
      <c:pivotFmt>
        <c:idx val="135"/>
        <c:dLbl>
          <c:idx val="0"/>
          <c:showLegendKey val="1"/>
          <c:showVal val="1"/>
          <c:showCatName val="1"/>
          <c:showSerName val="1"/>
          <c:showPercent val="1"/>
          <c:showBubbleSize val="1"/>
          <c:extLst>
            <c:ext xmlns:c15="http://schemas.microsoft.com/office/drawing/2012/chart" uri="{CE6537A1-D6FC-4f65-9D91-7224C49458BB}"/>
          </c:extLst>
        </c:dLbl>
      </c:pivotFmt>
      <c:pivotFmt>
        <c:idx val="136"/>
        <c:dLbl>
          <c:idx val="0"/>
          <c:showLegendKey val="0"/>
          <c:showVal val="0"/>
          <c:showCatName val="0"/>
          <c:showSerName val="0"/>
          <c:showPercent val="0"/>
          <c:showBubbleSize val="0"/>
          <c:extLst>
            <c:ext xmlns:c15="http://schemas.microsoft.com/office/drawing/2012/chart" uri="{CE6537A1-D6FC-4f65-9D91-7224C49458BB}"/>
          </c:extLst>
        </c:dLbl>
      </c:pivotFmt>
      <c:pivotFmt>
        <c:idx val="137"/>
        <c:dLbl>
          <c:idx val="0"/>
          <c:showLegendKey val="0"/>
          <c:showVal val="0"/>
          <c:showCatName val="0"/>
          <c:showSerName val="0"/>
          <c:showPercent val="0"/>
          <c:showBubbleSize val="0"/>
          <c:extLst>
            <c:ext xmlns:c15="http://schemas.microsoft.com/office/drawing/2012/chart" uri="{CE6537A1-D6FC-4f65-9D91-7224C49458BB}"/>
          </c:extLst>
        </c:dLbl>
      </c:pivotFmt>
      <c:pivotFmt>
        <c:idx val="138"/>
        <c:dLbl>
          <c:idx val="0"/>
          <c:showLegendKey val="0"/>
          <c:showVal val="0"/>
          <c:showCatName val="0"/>
          <c:showSerName val="0"/>
          <c:showPercent val="0"/>
          <c:showBubbleSize val="0"/>
          <c:extLst>
            <c:ext xmlns:c15="http://schemas.microsoft.com/office/drawing/2012/chart" uri="{CE6537A1-D6FC-4f65-9D91-7224C49458BB}"/>
          </c:extLst>
        </c:dLbl>
      </c:pivotFmt>
      <c:pivotFmt>
        <c:idx val="139"/>
        <c:dLbl>
          <c:idx val="0"/>
          <c:showLegendKey val="0"/>
          <c:showVal val="0"/>
          <c:showCatName val="0"/>
          <c:showSerName val="0"/>
          <c:showPercent val="0"/>
          <c:showBubbleSize val="0"/>
          <c:extLst>
            <c:ext xmlns:c15="http://schemas.microsoft.com/office/drawing/2012/chart" uri="{CE6537A1-D6FC-4f65-9D91-7224C49458BB}"/>
          </c:extLst>
        </c:dLbl>
      </c:pivotFmt>
      <c:pivotFmt>
        <c:idx val="140"/>
        <c:dLbl>
          <c:idx val="0"/>
          <c:showLegendKey val="0"/>
          <c:showVal val="0"/>
          <c:showCatName val="0"/>
          <c:showSerName val="0"/>
          <c:showPercent val="0"/>
          <c:showBubbleSize val="0"/>
          <c:extLst>
            <c:ext xmlns:c15="http://schemas.microsoft.com/office/drawing/2012/chart" uri="{CE6537A1-D6FC-4f65-9D91-7224C49458BB}"/>
          </c:extLst>
        </c:dLbl>
      </c:pivotFmt>
      <c:pivotFmt>
        <c:idx val="141"/>
        <c:dLbl>
          <c:idx val="0"/>
          <c:showLegendKey val="0"/>
          <c:showVal val="0"/>
          <c:showCatName val="0"/>
          <c:showSerName val="0"/>
          <c:showPercent val="0"/>
          <c:showBubbleSize val="0"/>
          <c:extLst>
            <c:ext xmlns:c15="http://schemas.microsoft.com/office/drawing/2012/chart" uri="{CE6537A1-D6FC-4f65-9D91-7224C49458BB}"/>
          </c:extLst>
        </c:dLbl>
      </c:pivotFmt>
      <c:pivotFmt>
        <c:idx val="142"/>
        <c:dLbl>
          <c:idx val="0"/>
          <c:showLegendKey val="0"/>
          <c:showVal val="0"/>
          <c:showCatName val="0"/>
          <c:showSerName val="0"/>
          <c:showPercent val="0"/>
          <c:showBubbleSize val="0"/>
          <c:extLst>
            <c:ext xmlns:c15="http://schemas.microsoft.com/office/drawing/2012/chart" uri="{CE6537A1-D6FC-4f65-9D91-7224C49458BB}"/>
          </c:extLst>
        </c:dLbl>
      </c:pivotFmt>
      <c:pivotFmt>
        <c:idx val="143"/>
        <c:dLbl>
          <c:idx val="0"/>
          <c:showLegendKey val="0"/>
          <c:showVal val="0"/>
          <c:showCatName val="0"/>
          <c:showSerName val="0"/>
          <c:showPercent val="0"/>
          <c:showBubbleSize val="0"/>
          <c:extLst>
            <c:ext xmlns:c15="http://schemas.microsoft.com/office/drawing/2012/chart" uri="{CE6537A1-D6FC-4f65-9D91-7224C49458BB}"/>
          </c:extLst>
        </c:dLbl>
      </c:pivotFmt>
      <c:pivotFmt>
        <c:idx val="144"/>
        <c:dLbl>
          <c:idx val="0"/>
          <c:showLegendKey val="0"/>
          <c:showVal val="0"/>
          <c:showCatName val="0"/>
          <c:showSerName val="0"/>
          <c:showPercent val="0"/>
          <c:showBubbleSize val="0"/>
          <c:extLst>
            <c:ext xmlns:c15="http://schemas.microsoft.com/office/drawing/2012/chart" uri="{CE6537A1-D6FC-4f65-9D91-7224C49458BB}"/>
          </c:extLst>
        </c:dLbl>
      </c:pivotFmt>
      <c:pivotFmt>
        <c:idx val="145"/>
        <c:dLbl>
          <c:idx val="0"/>
          <c:showLegendKey val="0"/>
          <c:showVal val="0"/>
          <c:showCatName val="0"/>
          <c:showSerName val="0"/>
          <c:showPercent val="0"/>
          <c:showBubbleSize val="0"/>
          <c:extLst>
            <c:ext xmlns:c15="http://schemas.microsoft.com/office/drawing/2012/chart" uri="{CE6537A1-D6FC-4f65-9D91-7224C49458BB}"/>
          </c:extLst>
        </c:dLbl>
      </c:pivotFmt>
      <c:pivotFmt>
        <c:idx val="146"/>
        <c:dLbl>
          <c:idx val="0"/>
          <c:showLegendKey val="0"/>
          <c:showVal val="0"/>
          <c:showCatName val="0"/>
          <c:showSerName val="0"/>
          <c:showPercent val="0"/>
          <c:showBubbleSize val="0"/>
          <c:extLst>
            <c:ext xmlns:c15="http://schemas.microsoft.com/office/drawing/2012/chart" uri="{CE6537A1-D6FC-4f65-9D91-7224C49458BB}"/>
          </c:extLst>
        </c:dLbl>
      </c:pivotFmt>
      <c:pivotFmt>
        <c:idx val="147"/>
        <c:dLbl>
          <c:idx val="0"/>
          <c:showLegendKey val="0"/>
          <c:showVal val="0"/>
          <c:showCatName val="0"/>
          <c:showSerName val="0"/>
          <c:showPercent val="0"/>
          <c:showBubbleSize val="0"/>
          <c:extLst>
            <c:ext xmlns:c15="http://schemas.microsoft.com/office/drawing/2012/chart" uri="{CE6537A1-D6FC-4f65-9D91-7224C49458BB}"/>
          </c:extLst>
        </c:dLbl>
      </c:pivotFmt>
      <c:pivotFmt>
        <c:idx val="148"/>
        <c:dLbl>
          <c:idx val="0"/>
          <c:showLegendKey val="0"/>
          <c:showVal val="0"/>
          <c:showCatName val="0"/>
          <c:showSerName val="0"/>
          <c:showPercent val="0"/>
          <c:showBubbleSize val="0"/>
          <c:extLst>
            <c:ext xmlns:c15="http://schemas.microsoft.com/office/drawing/2012/chart" uri="{CE6537A1-D6FC-4f65-9D91-7224C49458BB}"/>
          </c:extLst>
        </c:dLbl>
      </c:pivotFmt>
      <c:pivotFmt>
        <c:idx val="149"/>
        <c:dLbl>
          <c:idx val="0"/>
          <c:showLegendKey val="0"/>
          <c:showVal val="0"/>
          <c:showCatName val="0"/>
          <c:showSerName val="0"/>
          <c:showPercent val="0"/>
          <c:showBubbleSize val="0"/>
          <c:extLst>
            <c:ext xmlns:c15="http://schemas.microsoft.com/office/drawing/2012/chart" uri="{CE6537A1-D6FC-4f65-9D91-7224C49458BB}"/>
          </c:extLst>
        </c:dLbl>
      </c:pivotFmt>
      <c:pivotFmt>
        <c:idx val="150"/>
        <c:dLbl>
          <c:idx val="0"/>
          <c:showLegendKey val="0"/>
          <c:showVal val="0"/>
          <c:showCatName val="0"/>
          <c:showSerName val="0"/>
          <c:showPercent val="0"/>
          <c:showBubbleSize val="0"/>
          <c:extLst>
            <c:ext xmlns:c15="http://schemas.microsoft.com/office/drawing/2012/chart" uri="{CE6537A1-D6FC-4f65-9D91-7224C49458BB}"/>
          </c:extLst>
        </c:dLbl>
      </c:pivotFmt>
      <c:pivotFmt>
        <c:idx val="151"/>
        <c:dLbl>
          <c:idx val="0"/>
          <c:showLegendKey val="0"/>
          <c:showVal val="0"/>
          <c:showCatName val="0"/>
          <c:showSerName val="0"/>
          <c:showPercent val="0"/>
          <c:showBubbleSize val="0"/>
          <c:extLst>
            <c:ext xmlns:c15="http://schemas.microsoft.com/office/drawing/2012/chart" uri="{CE6537A1-D6FC-4f65-9D91-7224C49458BB}"/>
          </c:extLst>
        </c:dLbl>
      </c:pivotFmt>
      <c:pivotFmt>
        <c:idx val="152"/>
        <c:dLbl>
          <c:idx val="0"/>
          <c:showLegendKey val="0"/>
          <c:showVal val="0"/>
          <c:showCatName val="0"/>
          <c:showSerName val="0"/>
          <c:showPercent val="0"/>
          <c:showBubbleSize val="0"/>
          <c:extLst>
            <c:ext xmlns:c15="http://schemas.microsoft.com/office/drawing/2012/chart" uri="{CE6537A1-D6FC-4f65-9D91-7224C49458BB}"/>
          </c:extLst>
        </c:dLbl>
      </c:pivotFmt>
      <c:pivotFmt>
        <c:idx val="153"/>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4"/>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5"/>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6"/>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7"/>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8"/>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9"/>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0"/>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1"/>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2"/>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3"/>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4"/>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5"/>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6"/>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7"/>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8"/>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9"/>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0"/>
        <c:spPr>
          <a:solidFill>
            <a:schemeClr val="accent1"/>
          </a:solidFill>
          <a:ln w="28575" cap="rnd">
            <a:solidFill>
              <a:schemeClr val="accent1"/>
            </a:solidFill>
            <a:round/>
          </a:ln>
          <a:effectLst/>
        </c:spPr>
        <c:marker>
          <c:spPr>
            <a:solidFill>
              <a:srgbClr val="95F3AE"/>
            </a:solidFill>
            <a:ln w="9525">
              <a:solidFill>
                <a:srgbClr val="95F3AE"/>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71"/>
        <c:spPr>
          <a:solidFill>
            <a:schemeClr val="accent1"/>
          </a:solidFill>
          <a:ln w="28575" cap="rnd">
            <a:solidFill>
              <a:schemeClr val="accent1"/>
            </a:solidFill>
            <a:round/>
          </a:ln>
          <a:effectLst/>
        </c:spPr>
        <c:marker>
          <c:spPr>
            <a:solidFill>
              <a:srgbClr val="4B4747"/>
            </a:solidFill>
            <a:ln w="9525">
              <a:solidFill>
                <a:srgbClr val="4B4747"/>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72"/>
        <c:spPr>
          <a:solidFill>
            <a:schemeClr val="accent1"/>
          </a:solidFill>
          <a:ln w="28575" cap="rnd">
            <a:solidFill>
              <a:srgbClr val="4BCFDD"/>
            </a:solidFill>
            <a:round/>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73"/>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74"/>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75"/>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76"/>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77"/>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78"/>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79"/>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80"/>
        <c:spPr>
          <a:solidFill>
            <a:schemeClr val="accent1"/>
          </a:solidFill>
          <a:ln w="28575" cap="rnd">
            <a:solidFill>
              <a:srgbClr val="4BCFDD"/>
            </a:solidFill>
            <a:round/>
          </a:ln>
          <a:effectLst/>
        </c:spPr>
        <c:marker>
          <c:symbol val="circle"/>
          <c:size val="5"/>
          <c:spPr>
            <a:solidFill>
              <a:srgbClr val="4BCFDD"/>
            </a:solidFill>
            <a:ln w="9525">
              <a:solidFill>
                <a:srgbClr val="4BCFDD"/>
              </a:solidFill>
            </a:ln>
            <a:effectLst/>
          </c:spPr>
        </c:marker>
      </c:pivotFmt>
      <c:pivotFmt>
        <c:idx val="181"/>
        <c:spPr>
          <a:solidFill>
            <a:schemeClr val="accent1"/>
          </a:solidFill>
          <a:ln w="28575" cap="rnd">
            <a:solidFill>
              <a:srgbClr val="95F3AE"/>
            </a:solidFill>
            <a:round/>
          </a:ln>
          <a:effectLst/>
        </c:spPr>
        <c:marker>
          <c:symbol val="circle"/>
          <c:size val="5"/>
          <c:spPr>
            <a:solidFill>
              <a:srgbClr val="95F3AE"/>
            </a:solidFill>
            <a:ln w="9525">
              <a:solidFill>
                <a:srgbClr val="95F3AE"/>
              </a:solidFill>
            </a:ln>
            <a:effectLst/>
          </c:spPr>
        </c:marker>
      </c:pivotFmt>
      <c:pivotFmt>
        <c:idx val="182"/>
        <c:spPr>
          <a:solidFill>
            <a:schemeClr val="accent1"/>
          </a:solidFill>
          <a:ln w="28575" cap="rnd">
            <a:solidFill>
              <a:srgbClr val="4B4747"/>
            </a:solidFill>
            <a:round/>
          </a:ln>
          <a:effectLst/>
        </c:spPr>
        <c:marker>
          <c:symbol val="circle"/>
          <c:size val="5"/>
          <c:spPr>
            <a:solidFill>
              <a:srgbClr val="4B4747"/>
            </a:solidFill>
            <a:ln w="9525">
              <a:solidFill>
                <a:srgbClr val="4B4747"/>
              </a:solidFill>
            </a:ln>
            <a:effectLst/>
          </c:spPr>
        </c:marker>
      </c:pivotFmt>
      <c:pivotFmt>
        <c:idx val="183"/>
        <c:spPr>
          <a:solidFill>
            <a:schemeClr val="accent1"/>
          </a:solidFill>
          <a:ln w="28575" cap="rnd">
            <a:solidFill>
              <a:srgbClr val="95F3AE"/>
            </a:solidFill>
            <a:round/>
          </a:ln>
          <a:effectLst/>
        </c:spPr>
        <c:marker>
          <c:symbol val="circle"/>
          <c:size val="5"/>
          <c:spPr>
            <a:solidFill>
              <a:srgbClr val="95F3AE"/>
            </a:solidFill>
            <a:ln w="9525">
              <a:solidFill>
                <a:srgbClr val="95F3AE"/>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84"/>
        <c:spPr>
          <a:solidFill>
            <a:schemeClr val="accent1"/>
          </a:solidFill>
          <a:ln w="28575" cap="rnd">
            <a:solidFill>
              <a:srgbClr val="4B4747"/>
            </a:solidFill>
            <a:round/>
          </a:ln>
          <a:effectLst/>
        </c:spPr>
        <c:marker>
          <c:symbol val="circle"/>
          <c:size val="5"/>
          <c:spPr>
            <a:solidFill>
              <a:srgbClr val="4B4747"/>
            </a:solidFill>
            <a:ln w="9525">
              <a:solidFill>
                <a:srgbClr val="4B4747"/>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85"/>
        <c:spPr>
          <a:solidFill>
            <a:schemeClr val="accent1"/>
          </a:solidFill>
          <a:ln w="28575" cap="rnd">
            <a:solidFill>
              <a:srgbClr val="4BCFDD"/>
            </a:solidFill>
            <a:round/>
          </a:ln>
          <a:effectLst/>
        </c:spPr>
        <c:marker>
          <c:symbol val="circle"/>
          <c:size val="5"/>
          <c:spPr>
            <a:solidFill>
              <a:srgbClr val="4BCFDD"/>
            </a:solidFill>
            <a:ln w="9525">
              <a:solidFill>
                <a:srgbClr val="4BCFDD"/>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86"/>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87"/>
        <c:spPr>
          <a:solidFill>
            <a:schemeClr val="accent1"/>
          </a:solidFill>
          <a:ln w="28575" cap="rnd">
            <a:solidFill>
              <a:srgbClr val="95F3AE"/>
            </a:solidFill>
            <a:round/>
          </a:ln>
          <a:effectLst/>
        </c:spPr>
        <c:marker>
          <c:symbol val="circle"/>
          <c:size val="5"/>
          <c:spPr>
            <a:solidFill>
              <a:srgbClr val="95F3AE"/>
            </a:solidFill>
            <a:ln w="9525">
              <a:solidFill>
                <a:srgbClr val="95F3AE"/>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88"/>
        <c:spPr>
          <a:solidFill>
            <a:schemeClr val="accent1"/>
          </a:solidFill>
          <a:ln w="28575" cap="rnd">
            <a:solidFill>
              <a:srgbClr val="4B4747"/>
            </a:solidFill>
            <a:round/>
          </a:ln>
          <a:effectLst/>
        </c:spPr>
        <c:marker>
          <c:symbol val="circle"/>
          <c:size val="5"/>
          <c:spPr>
            <a:solidFill>
              <a:srgbClr val="4B4747"/>
            </a:solidFill>
            <a:ln w="9525">
              <a:solidFill>
                <a:srgbClr val="4B4747"/>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89"/>
        <c:spPr>
          <a:solidFill>
            <a:schemeClr val="accent1"/>
          </a:solidFill>
          <a:ln w="28575" cap="rnd">
            <a:solidFill>
              <a:srgbClr val="4BCFDD"/>
            </a:solidFill>
            <a:round/>
          </a:ln>
          <a:effectLst/>
        </c:spPr>
        <c:marker>
          <c:symbol val="circle"/>
          <c:size val="5"/>
          <c:spPr>
            <a:solidFill>
              <a:srgbClr val="4BCFDD"/>
            </a:solidFill>
            <a:ln w="9525">
              <a:solidFill>
                <a:srgbClr val="4BCFDD"/>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90"/>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3687248706571103"/>
          <c:y val="9.4795688227413771E-2"/>
          <c:w val="0.8111671917250306"/>
          <c:h val="0.60512404542397025"/>
        </c:manualLayout>
      </c:layout>
      <c:lineChart>
        <c:grouping val="standard"/>
        <c:varyColors val="0"/>
        <c:ser>
          <c:idx val="0"/>
          <c:order val="0"/>
          <c:tx>
            <c:strRef>
              <c:f>'TACchart (2)'!$B$3:$B$4</c:f>
              <c:strCache>
                <c:ptCount val="1"/>
                <c:pt idx="0">
                  <c:v>BIOELEC</c:v>
                </c:pt>
              </c:strCache>
            </c:strRef>
          </c:tx>
          <c:spPr>
            <a:ln w="28575" cap="rnd">
              <a:solidFill>
                <a:srgbClr val="95F3AE"/>
              </a:solidFill>
              <a:round/>
            </a:ln>
            <a:effectLst/>
          </c:spPr>
          <c:marker>
            <c:symbol val="circle"/>
            <c:size val="5"/>
            <c:spPr>
              <a:solidFill>
                <a:srgbClr val="95F3AE"/>
              </a:solidFill>
              <a:ln w="9525">
                <a:solidFill>
                  <a:srgbClr val="95F3AE"/>
                </a:solidFill>
              </a:ln>
              <a:effectLst/>
            </c:spPr>
          </c:marker>
          <c:cat>
            <c:strRef>
              <c:f>'TACchart (2)'!$A$5:$A$8</c:f>
              <c:strCache>
                <c:ptCount val="3"/>
                <c:pt idx="0">
                  <c:v>2019</c:v>
                </c:pt>
                <c:pt idx="1">
                  <c:v>2030</c:v>
                </c:pt>
                <c:pt idx="2">
                  <c:v>2050</c:v>
                </c:pt>
              </c:strCache>
            </c:strRef>
          </c:cat>
          <c:val>
            <c:numRef>
              <c:f>'TACchart (2)'!$B$5:$B$8</c:f>
              <c:numCache>
                <c:formatCode>General</c:formatCode>
                <c:ptCount val="3"/>
                <c:pt idx="0">
                  <c:v>0.06</c:v>
                </c:pt>
                <c:pt idx="1">
                  <c:v>0.83494436083817702</c:v>
                </c:pt>
                <c:pt idx="2">
                  <c:v>1.266652919048642</c:v>
                </c:pt>
              </c:numCache>
            </c:numRef>
          </c:val>
          <c:smooth val="0"/>
          <c:extLst>
            <c:ext xmlns:c16="http://schemas.microsoft.com/office/drawing/2014/chart" uri="{C3380CC4-5D6E-409C-BE32-E72D297353CC}">
              <c16:uniqueId val="{00000000-D9EB-4BA6-9F0D-8D4AC367B2C4}"/>
            </c:ext>
          </c:extLst>
        </c:ser>
        <c:ser>
          <c:idx val="1"/>
          <c:order val="1"/>
          <c:tx>
            <c:strRef>
              <c:f>'TACchart (2)'!$C$3:$C$4</c:f>
              <c:strCache>
                <c:ptCount val="1"/>
                <c:pt idx="0">
                  <c:v>CTNUE</c:v>
                </c:pt>
              </c:strCache>
            </c:strRef>
          </c:tx>
          <c:spPr>
            <a:ln w="28575" cap="rnd">
              <a:solidFill>
                <a:srgbClr val="4B4747"/>
              </a:solidFill>
              <a:round/>
            </a:ln>
            <a:effectLst/>
          </c:spPr>
          <c:marker>
            <c:symbol val="circle"/>
            <c:size val="5"/>
            <c:spPr>
              <a:solidFill>
                <a:srgbClr val="4B4747"/>
              </a:solidFill>
              <a:ln w="9525">
                <a:solidFill>
                  <a:srgbClr val="4B4747"/>
                </a:solidFill>
              </a:ln>
              <a:effectLst/>
            </c:spPr>
          </c:marker>
          <c:cat>
            <c:strRef>
              <c:f>'TACchart (2)'!$A$5:$A$8</c:f>
              <c:strCache>
                <c:ptCount val="3"/>
                <c:pt idx="0">
                  <c:v>2019</c:v>
                </c:pt>
                <c:pt idx="1">
                  <c:v>2030</c:v>
                </c:pt>
                <c:pt idx="2">
                  <c:v>2050</c:v>
                </c:pt>
              </c:strCache>
            </c:strRef>
          </c:cat>
          <c:val>
            <c:numRef>
              <c:f>'TACchart (2)'!$C$5:$C$8</c:f>
              <c:numCache>
                <c:formatCode>General</c:formatCode>
                <c:ptCount val="3"/>
                <c:pt idx="0">
                  <c:v>0</c:v>
                </c:pt>
                <c:pt idx="1">
                  <c:v>0.79552532288450573</c:v>
                </c:pt>
                <c:pt idx="2">
                  <c:v>0.79552532288450573</c:v>
                </c:pt>
              </c:numCache>
            </c:numRef>
          </c:val>
          <c:smooth val="0"/>
          <c:extLst>
            <c:ext xmlns:c16="http://schemas.microsoft.com/office/drawing/2014/chart" uri="{C3380CC4-5D6E-409C-BE32-E72D297353CC}">
              <c16:uniqueId val="{00000001-D9EB-4BA6-9F0D-8D4AC367B2C4}"/>
            </c:ext>
          </c:extLst>
        </c:ser>
        <c:ser>
          <c:idx val="2"/>
          <c:order val="2"/>
          <c:tx>
            <c:strRef>
              <c:f>'TACchart (2)'!$D$3:$D$4</c:f>
              <c:strCache>
                <c:ptCount val="1"/>
                <c:pt idx="0">
                  <c:v>EOLICA</c:v>
                </c:pt>
              </c:strCache>
            </c:strRef>
          </c:tx>
          <c:spPr>
            <a:ln w="28575" cap="rnd">
              <a:solidFill>
                <a:srgbClr val="4BCFDD"/>
              </a:solidFill>
              <a:round/>
            </a:ln>
            <a:effectLst/>
          </c:spPr>
          <c:marker>
            <c:symbol val="circle"/>
            <c:size val="5"/>
            <c:spPr>
              <a:solidFill>
                <a:srgbClr val="4BCFDD"/>
              </a:solidFill>
              <a:ln w="9525">
                <a:solidFill>
                  <a:srgbClr val="4BCFDD"/>
                </a:solidFill>
              </a:ln>
              <a:effectLst/>
            </c:spPr>
          </c:marker>
          <c:cat>
            <c:strRef>
              <c:f>'TACchart (2)'!$A$5:$A$8</c:f>
              <c:strCache>
                <c:ptCount val="3"/>
                <c:pt idx="0">
                  <c:v>2019</c:v>
                </c:pt>
                <c:pt idx="1">
                  <c:v>2030</c:v>
                </c:pt>
                <c:pt idx="2">
                  <c:v>2050</c:v>
                </c:pt>
              </c:strCache>
            </c:strRef>
          </c:cat>
          <c:val>
            <c:numRef>
              <c:f>'TACchart (2)'!$D$5:$D$8</c:f>
              <c:numCache>
                <c:formatCode>General</c:formatCode>
                <c:ptCount val="3"/>
                <c:pt idx="0">
                  <c:v>1.0999999999999999E-2</c:v>
                </c:pt>
                <c:pt idx="1">
                  <c:v>0.98060058037054609</c:v>
                </c:pt>
                <c:pt idx="2">
                  <c:v>1.4872722320413749</c:v>
                </c:pt>
              </c:numCache>
            </c:numRef>
          </c:val>
          <c:smooth val="0"/>
          <c:extLst>
            <c:ext xmlns:c16="http://schemas.microsoft.com/office/drawing/2014/chart" uri="{C3380CC4-5D6E-409C-BE32-E72D297353CC}">
              <c16:uniqueId val="{00000002-D9EB-4BA6-9F0D-8D4AC367B2C4}"/>
            </c:ext>
          </c:extLst>
        </c:ser>
        <c:ser>
          <c:idx val="3"/>
          <c:order val="3"/>
          <c:tx>
            <c:strRef>
              <c:f>'TACchart (2)'!$E$3:$E$4</c:f>
              <c:strCache>
                <c:ptCount val="1"/>
                <c:pt idx="0">
                  <c:v>PV</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'TACchart (2)'!$A$5:$A$8</c:f>
              <c:strCache>
                <c:ptCount val="3"/>
                <c:pt idx="0">
                  <c:v>2019</c:v>
                </c:pt>
                <c:pt idx="1">
                  <c:v>2030</c:v>
                </c:pt>
                <c:pt idx="2">
                  <c:v>2050</c:v>
                </c:pt>
              </c:strCache>
            </c:strRef>
          </c:cat>
          <c:val>
            <c:numRef>
              <c:f>'TACchart (2)'!$E$5:$E$8</c:f>
              <c:numCache>
                <c:formatCode>General</c:formatCode>
                <c:ptCount val="3"/>
                <c:pt idx="0">
                  <c:v>0.16</c:v>
                </c:pt>
                <c:pt idx="1">
                  <c:v>4.8686849652455972</c:v>
                </c:pt>
                <c:pt idx="2">
                  <c:v>7.3856278484011142</c:v>
                </c:pt>
              </c:numCache>
            </c:numRef>
          </c:val>
          <c:smooth val="0"/>
          <c:extLst>
            <c:ext xmlns:c16="http://schemas.microsoft.com/office/drawing/2014/chart" uri="{C3380CC4-5D6E-409C-BE32-E72D297353CC}">
              <c16:uniqueId val="{00000003-D9EB-4BA6-9F0D-8D4AC367B2C4}"/>
            </c:ext>
          </c:extLst>
        </c:ser>
        <c:dLbls>
          <c:showLegendKey val="0"/>
          <c:showVal val="0"/>
          <c:showCatName val="0"/>
          <c:showSerName val="0"/>
          <c:showPercent val="0"/>
          <c:showBubbleSize val="0"/>
        </c:dLbls>
        <c:marker val="1"/>
        <c:smooth val="0"/>
        <c:axId val="676255327"/>
        <c:axId val="676249087"/>
      </c:lineChart>
      <c:catAx>
        <c:axId val="676255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BE"/>
          </a:p>
        </c:txPr>
        <c:crossAx val="676249087"/>
        <c:crosses val="autoZero"/>
        <c:auto val="1"/>
        <c:lblAlgn val="ctr"/>
        <c:lblOffset val="100"/>
        <c:noMultiLvlLbl val="0"/>
      </c:catAx>
      <c:valAx>
        <c:axId val="6762490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_tradnl"/>
                  <a:t>GW</a:t>
                </a:r>
              </a:p>
            </c:rich>
          </c:tx>
          <c:layout>
            <c:manualLayout>
              <c:xMode val="edge"/>
              <c:yMode val="edge"/>
              <c:x val="3.7551281526748215E-3"/>
              <c:y val="0.338599634844639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BE"/>
          </a:p>
        </c:txPr>
        <c:crossAx val="676255327"/>
        <c:crosses val="autoZero"/>
        <c:crossBetween val="between"/>
      </c:valAx>
      <c:spPr>
        <a:noFill/>
        <a:ln>
          <a:noFill/>
        </a:ln>
        <a:effectLst/>
      </c:spPr>
    </c:plotArea>
    <c:legend>
      <c:legendPos val="b"/>
      <c:layout>
        <c:manualLayout>
          <c:xMode val="edge"/>
          <c:yMode val="edge"/>
          <c:x val="4.9999814028914784E-2"/>
          <c:y val="0.84594796253483395"/>
          <c:w val="0.89999981067526458"/>
          <c:h val="0.104626981323427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BE"/>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B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_tradnl" sz="1200"/>
              <a:t>Inversión en Millones</a:t>
            </a:r>
            <a:r>
              <a:rPr lang="es-ES_tradnl" sz="1200" baseline="0"/>
              <a:t> de USD</a:t>
            </a:r>
            <a:endParaRPr lang="es-ES_tradnl"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BE"/>
        </a:p>
      </c:txPr>
    </c:title>
    <c:autoTitleDeleted val="0"/>
    <c:plotArea>
      <c:layout/>
      <c:barChart>
        <c:barDir val="col"/>
        <c:grouping val="clustered"/>
        <c:varyColors val="0"/>
        <c:ser>
          <c:idx val="2"/>
          <c:order val="0"/>
          <c:tx>
            <c:strRef>
              <c:f>Sheet13!$I$45</c:f>
              <c:strCache>
                <c:ptCount val="1"/>
                <c:pt idx="0">
                  <c:v>Escenario 1</c:v>
                </c:pt>
              </c:strCache>
            </c:strRef>
          </c:tx>
          <c:spPr>
            <a:solidFill>
              <a:schemeClr val="accent3"/>
            </a:solidFill>
            <a:ln>
              <a:noFill/>
            </a:ln>
            <a:effectLst/>
          </c:spPr>
          <c:invertIfNegative val="0"/>
          <c:val>
            <c:numRef>
              <c:f>Sheet13!$I$46:$I$47</c:f>
              <c:numCache>
                <c:formatCode>General</c:formatCode>
                <c:ptCount val="2"/>
                <c:pt idx="0">
                  <c:v>9543.8512120106934</c:v>
                </c:pt>
                <c:pt idx="1">
                  <c:v>17818.492153032974</c:v>
                </c:pt>
              </c:numCache>
            </c:numRef>
          </c:val>
          <c:extLst>
            <c:ext xmlns:c16="http://schemas.microsoft.com/office/drawing/2014/chart" uri="{C3380CC4-5D6E-409C-BE32-E72D297353CC}">
              <c16:uniqueId val="{00000000-9BD4-4347-805B-2BF52BB419DD}"/>
            </c:ext>
          </c:extLst>
        </c:ser>
        <c:ser>
          <c:idx val="0"/>
          <c:order val="1"/>
          <c:tx>
            <c:strRef>
              <c:f>Sheet13!$J$45</c:f>
              <c:strCache>
                <c:ptCount val="1"/>
                <c:pt idx="0">
                  <c:v>Escenario 2</c:v>
                </c:pt>
              </c:strCache>
            </c:strRef>
          </c:tx>
          <c:spPr>
            <a:solidFill>
              <a:schemeClr val="bg2">
                <a:lumMod val="25000"/>
              </a:schemeClr>
            </a:solidFill>
            <a:ln>
              <a:noFill/>
            </a:ln>
            <a:effectLst/>
          </c:spPr>
          <c:invertIfNegative val="0"/>
          <c:cat>
            <c:numRef>
              <c:f>Sheet13!$H$46:$H$47</c:f>
              <c:numCache>
                <c:formatCode>General</c:formatCode>
                <c:ptCount val="2"/>
                <c:pt idx="0">
                  <c:v>2030</c:v>
                </c:pt>
                <c:pt idx="1">
                  <c:v>2050</c:v>
                </c:pt>
              </c:numCache>
            </c:numRef>
          </c:cat>
          <c:val>
            <c:numRef>
              <c:f>Sheet13!$J$46:$J$47</c:f>
              <c:numCache>
                <c:formatCode>General</c:formatCode>
                <c:ptCount val="2"/>
                <c:pt idx="0">
                  <c:v>12784.115992284476</c:v>
                </c:pt>
                <c:pt idx="1">
                  <c:v>92559.379895547478</c:v>
                </c:pt>
              </c:numCache>
            </c:numRef>
          </c:val>
          <c:extLst>
            <c:ext xmlns:c16="http://schemas.microsoft.com/office/drawing/2014/chart" uri="{C3380CC4-5D6E-409C-BE32-E72D297353CC}">
              <c16:uniqueId val="{00000001-9BD4-4347-805B-2BF52BB419DD}"/>
            </c:ext>
          </c:extLst>
        </c:ser>
        <c:ser>
          <c:idx val="1"/>
          <c:order val="2"/>
          <c:tx>
            <c:strRef>
              <c:f>Sheet13!$K$45</c:f>
              <c:strCache>
                <c:ptCount val="1"/>
                <c:pt idx="0">
                  <c:v>Escenario 3</c:v>
                </c:pt>
              </c:strCache>
            </c:strRef>
          </c:tx>
          <c:spPr>
            <a:solidFill>
              <a:schemeClr val="accent6">
                <a:lumMod val="60000"/>
                <a:lumOff val="40000"/>
              </a:schemeClr>
            </a:solidFill>
            <a:ln>
              <a:noFill/>
            </a:ln>
            <a:effectLst/>
          </c:spPr>
          <c:invertIfNegative val="0"/>
          <c:cat>
            <c:numRef>
              <c:f>Sheet13!$H$46:$H$47</c:f>
              <c:numCache>
                <c:formatCode>General</c:formatCode>
                <c:ptCount val="2"/>
                <c:pt idx="0">
                  <c:v>2030</c:v>
                </c:pt>
                <c:pt idx="1">
                  <c:v>2050</c:v>
                </c:pt>
              </c:numCache>
            </c:numRef>
          </c:cat>
          <c:val>
            <c:numRef>
              <c:f>Sheet13!$K$46:$K$47</c:f>
              <c:numCache>
                <c:formatCode>General</c:formatCode>
                <c:ptCount val="2"/>
                <c:pt idx="0">
                  <c:v>11414.527127819192</c:v>
                </c:pt>
                <c:pt idx="1">
                  <c:v>22141.641479578175</c:v>
                </c:pt>
              </c:numCache>
            </c:numRef>
          </c:val>
          <c:extLst>
            <c:ext xmlns:c16="http://schemas.microsoft.com/office/drawing/2014/chart" uri="{C3380CC4-5D6E-409C-BE32-E72D297353CC}">
              <c16:uniqueId val="{00000002-9BD4-4347-805B-2BF52BB419DD}"/>
            </c:ext>
          </c:extLst>
        </c:ser>
        <c:dLbls>
          <c:showLegendKey val="0"/>
          <c:showVal val="0"/>
          <c:showCatName val="0"/>
          <c:showSerName val="0"/>
          <c:showPercent val="0"/>
          <c:showBubbleSize val="0"/>
        </c:dLbls>
        <c:gapWidth val="219"/>
        <c:overlap val="-27"/>
        <c:axId val="1664710096"/>
        <c:axId val="1664703024"/>
      </c:barChart>
      <c:catAx>
        <c:axId val="166471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BE"/>
          </a:p>
        </c:txPr>
        <c:crossAx val="1664703024"/>
        <c:crosses val="autoZero"/>
        <c:auto val="1"/>
        <c:lblAlgn val="ctr"/>
        <c:lblOffset val="100"/>
        <c:noMultiLvlLbl val="0"/>
      </c:catAx>
      <c:valAx>
        <c:axId val="1664703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ES_tradnl" sz="1100"/>
                  <a:t>Millones USD</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B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BE"/>
          </a:p>
        </c:txPr>
        <c:crossAx val="1664710096"/>
        <c:crosses val="autoZero"/>
        <c:crossBetween val="between"/>
      </c:valAx>
      <c:spPr>
        <a:noFill/>
        <a:ln>
          <a:noFill/>
        </a:ln>
        <a:effectLst/>
      </c:spPr>
    </c:plotArea>
    <c:legend>
      <c:legendPos val="b"/>
      <c:layout>
        <c:manualLayout>
          <c:xMode val="edge"/>
          <c:yMode val="edge"/>
          <c:x val="0.26945078184606042"/>
          <c:y val="0.89092770702319946"/>
          <c:w val="0.58339364152858131"/>
          <c:h val="6.880383660096178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[Resultados Artículo.xlsx]TDCChart!PivotTable63</c:name>
    <c:fmtId val="-1"/>
  </c:pivotSource>
  <c:chart>
    <c:title>
      <c:tx>
        <c:rich>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r>
              <a:rPr lang="es-ES_tradnl" sz="1100"/>
              <a:t>Costos totales descontados en cada escenario (Millones</a:t>
            </a:r>
            <a:r>
              <a:rPr lang="es-ES_tradnl" sz="1100" baseline="0"/>
              <a:t> de USD)</a:t>
            </a:r>
            <a:endParaRPr lang="es-ES_tradnl" sz="1100"/>
          </a:p>
        </c:rich>
      </c:tx>
      <c:layout>
        <c:manualLayout>
          <c:xMode val="edge"/>
          <c:yMode val="edge"/>
          <c:x val="0.15484101981605558"/>
          <c:y val="0"/>
        </c:manualLayout>
      </c:layout>
      <c:overlay val="0"/>
      <c:spPr>
        <a:noFill/>
        <a:ln>
          <a:noFill/>
        </a:ln>
        <a:effectLst/>
      </c:spPr>
      <c:txPr>
        <a:bodyPr rot="0" spcFirstLastPara="1" vertOverflow="ellipsis" vert="horz" wrap="square" anchor="ctr" anchorCtr="1"/>
        <a:lstStyle/>
        <a:p>
          <a:pPr algn="l">
            <a:defRPr sz="1100" b="0" i="0" u="none" strike="noStrike" kern="1200" spc="0" baseline="0">
              <a:solidFill>
                <a:schemeClr val="tx1">
                  <a:lumMod val="65000"/>
                  <a:lumOff val="35000"/>
                </a:schemeClr>
              </a:solidFill>
              <a:latin typeface="+mn-lt"/>
              <a:ea typeface="+mn-ea"/>
              <a:cs typeface="+mn-cs"/>
            </a:defRPr>
          </a:pPr>
          <a:endParaRPr lang="en-BE"/>
        </a:p>
      </c:tx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539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539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539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539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539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539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539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539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539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539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E"/>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9.4969950283353505E-2"/>
          <c:y val="0.12634648577131499"/>
          <c:w val="0.78881614499199559"/>
          <c:h val="0.68724185129720838"/>
        </c:manualLayout>
      </c:layout>
      <c:lineChart>
        <c:grouping val="standard"/>
        <c:varyColors val="0"/>
        <c:ser>
          <c:idx val="0"/>
          <c:order val="0"/>
          <c:tx>
            <c:strRef>
              <c:f>TDCChart!$B$1</c:f>
              <c:strCache>
                <c:ptCount val="1"/>
                <c:pt idx="0">
                  <c:v>Escenario 1</c:v>
                </c:pt>
              </c:strCache>
            </c:strRef>
          </c:tx>
          <c:spPr>
            <a:ln w="34925" cap="rnd">
              <a:solidFill>
                <a:schemeClr val="accent1"/>
              </a:solidFill>
              <a:round/>
            </a:ln>
            <a:effectLst/>
          </c:spPr>
          <c:marker>
            <c:symbol val="none"/>
          </c:marker>
          <c:cat>
            <c:strRef>
              <c:f>TDCChart!$A$2:$A$34</c:f>
              <c:strCach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strCache>
            </c:strRef>
          </c:cat>
          <c:val>
            <c:numRef>
              <c:f>TDCChart!$B$2:$B$34</c:f>
              <c:numCache>
                <c:formatCode>General</c:formatCode>
                <c:ptCount val="32"/>
                <c:pt idx="0">
                  <c:v>3127.0115116917491</c:v>
                </c:pt>
                <c:pt idx="1">
                  <c:v>2379.1206046578668</c:v>
                </c:pt>
                <c:pt idx="2">
                  <c:v>2658.2517025067041</c:v>
                </c:pt>
                <c:pt idx="3">
                  <c:v>2376.056402191708</c:v>
                </c:pt>
                <c:pt idx="4">
                  <c:v>6080.292667237909</c:v>
                </c:pt>
                <c:pt idx="5">
                  <c:v>1337.2076672637579</c:v>
                </c:pt>
                <c:pt idx="6">
                  <c:v>1215.495384431576</c:v>
                </c:pt>
                <c:pt idx="7">
                  <c:v>2810.8943394539378</c:v>
                </c:pt>
                <c:pt idx="8">
                  <c:v>1067.6637949978831</c:v>
                </c:pt>
                <c:pt idx="9">
                  <c:v>1027.384873135486</c:v>
                </c:pt>
                <c:pt idx="10">
                  <c:v>988.47254927309416</c:v>
                </c:pt>
                <c:pt idx="11">
                  <c:v>962.48230199558623</c:v>
                </c:pt>
                <c:pt idx="12">
                  <c:v>914.2239287014612</c:v>
                </c:pt>
                <c:pt idx="13">
                  <c:v>886.68799024537225</c:v>
                </c:pt>
                <c:pt idx="14">
                  <c:v>845.52737069273758</c:v>
                </c:pt>
                <c:pt idx="15">
                  <c:v>859.83028299343152</c:v>
                </c:pt>
                <c:pt idx="16">
                  <c:v>786.99309148299767</c:v>
                </c:pt>
                <c:pt idx="17">
                  <c:v>727.25912860479718</c:v>
                </c:pt>
                <c:pt idx="18">
                  <c:v>717.46264827293612</c:v>
                </c:pt>
                <c:pt idx="19">
                  <c:v>670.46508485393724</c:v>
                </c:pt>
                <c:pt idx="20">
                  <c:v>691.84587155021131</c:v>
                </c:pt>
                <c:pt idx="21">
                  <c:v>645.36129833249697</c:v>
                </c:pt>
                <c:pt idx="22">
                  <c:v>576.249503807103</c:v>
                </c:pt>
                <c:pt idx="23">
                  <c:v>550.82862150275253</c:v>
                </c:pt>
                <c:pt idx="24">
                  <c:v>511.08365950903863</c:v>
                </c:pt>
                <c:pt idx="25">
                  <c:v>492.26978341437569</c:v>
                </c:pt>
                <c:pt idx="26">
                  <c:v>471.99865397030089</c:v>
                </c:pt>
                <c:pt idx="27">
                  <c:v>454.37098053145883</c:v>
                </c:pt>
                <c:pt idx="28">
                  <c:v>436.24069338521969</c:v>
                </c:pt>
                <c:pt idx="29">
                  <c:v>643.21655177022217</c:v>
                </c:pt>
                <c:pt idx="30">
                  <c:v>407.6596241518759</c:v>
                </c:pt>
                <c:pt idx="31">
                  <c:v>387.60921085930971</c:v>
                </c:pt>
              </c:numCache>
            </c:numRef>
          </c:val>
          <c:smooth val="0"/>
          <c:extLst>
            <c:ext xmlns:c16="http://schemas.microsoft.com/office/drawing/2014/chart" uri="{C3380CC4-5D6E-409C-BE32-E72D297353CC}">
              <c16:uniqueId val="{00000000-086C-48DC-9563-145EFAA4D39F}"/>
            </c:ext>
          </c:extLst>
        </c:ser>
        <c:ser>
          <c:idx val="1"/>
          <c:order val="1"/>
          <c:tx>
            <c:strRef>
              <c:f>TDCChart!$C$1</c:f>
              <c:strCache>
                <c:ptCount val="1"/>
                <c:pt idx="0">
                  <c:v>Escenario 2</c:v>
                </c:pt>
              </c:strCache>
            </c:strRef>
          </c:tx>
          <c:spPr>
            <a:ln w="34925" cap="rnd">
              <a:solidFill>
                <a:schemeClr val="accent2"/>
              </a:solidFill>
              <a:round/>
            </a:ln>
            <a:effectLst/>
          </c:spPr>
          <c:marker>
            <c:symbol val="none"/>
          </c:marker>
          <c:cat>
            <c:strRef>
              <c:f>TDCChart!$A$2:$A$34</c:f>
              <c:strCach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strCache>
            </c:strRef>
          </c:cat>
          <c:val>
            <c:numRef>
              <c:f>TDCChart!$C$2:$C$34</c:f>
              <c:numCache>
                <c:formatCode>General</c:formatCode>
                <c:ptCount val="32"/>
                <c:pt idx="0">
                  <c:v>3127.0115116917518</c:v>
                </c:pt>
                <c:pt idx="1">
                  <c:v>2379.1206046578668</c:v>
                </c:pt>
                <c:pt idx="2">
                  <c:v>2658.2517025067109</c:v>
                </c:pt>
                <c:pt idx="3">
                  <c:v>2376.0564021916998</c:v>
                </c:pt>
                <c:pt idx="4">
                  <c:v>4499.8524726337946</c:v>
                </c:pt>
                <c:pt idx="5">
                  <c:v>3326.694134445248</c:v>
                </c:pt>
                <c:pt idx="6">
                  <c:v>1190.2932585914859</c:v>
                </c:pt>
                <c:pt idx="7">
                  <c:v>3084.0180496726812</c:v>
                </c:pt>
                <c:pt idx="8">
                  <c:v>1184.090782635601</c:v>
                </c:pt>
                <c:pt idx="9">
                  <c:v>1083.233479786709</c:v>
                </c:pt>
                <c:pt idx="10">
                  <c:v>988.33836811977312</c:v>
                </c:pt>
                <c:pt idx="11">
                  <c:v>2344.0722332947398</c:v>
                </c:pt>
                <c:pt idx="12">
                  <c:v>2025.8266405670381</c:v>
                </c:pt>
                <c:pt idx="13">
                  <c:v>699.0325903022333</c:v>
                </c:pt>
                <c:pt idx="14">
                  <c:v>704.10774222141515</c:v>
                </c:pt>
                <c:pt idx="15">
                  <c:v>884.03589636052243</c:v>
                </c:pt>
                <c:pt idx="16">
                  <c:v>828.89862612861782</c:v>
                </c:pt>
                <c:pt idx="17">
                  <c:v>775.91212556260689</c:v>
                </c:pt>
                <c:pt idx="18">
                  <c:v>749.80991589859377</c:v>
                </c:pt>
                <c:pt idx="19">
                  <c:v>748.04931676455874</c:v>
                </c:pt>
                <c:pt idx="20">
                  <c:v>808.63730260998864</c:v>
                </c:pt>
                <c:pt idx="21">
                  <c:v>825.49021962658321</c:v>
                </c:pt>
                <c:pt idx="22">
                  <c:v>804.92350091675451</c:v>
                </c:pt>
                <c:pt idx="23">
                  <c:v>856.49357547607246</c:v>
                </c:pt>
                <c:pt idx="24">
                  <c:v>968.67299337167617</c:v>
                </c:pt>
                <c:pt idx="25">
                  <c:v>1137.103204600794</c:v>
                </c:pt>
                <c:pt idx="26">
                  <c:v>461.24538659699778</c:v>
                </c:pt>
                <c:pt idx="27">
                  <c:v>435.59322059589317</c:v>
                </c:pt>
                <c:pt idx="28">
                  <c:v>411.06156109212952</c:v>
                </c:pt>
                <c:pt idx="29">
                  <c:v>542.43203212406354</c:v>
                </c:pt>
                <c:pt idx="30">
                  <c:v>333.52430304133219</c:v>
                </c:pt>
                <c:pt idx="31">
                  <c:v>327.75808388884059</c:v>
                </c:pt>
              </c:numCache>
            </c:numRef>
          </c:val>
          <c:smooth val="0"/>
          <c:extLst>
            <c:ext xmlns:c16="http://schemas.microsoft.com/office/drawing/2014/chart" uri="{C3380CC4-5D6E-409C-BE32-E72D297353CC}">
              <c16:uniqueId val="{00000001-086C-48DC-9563-145EFAA4D39F}"/>
            </c:ext>
          </c:extLst>
        </c:ser>
        <c:ser>
          <c:idx val="2"/>
          <c:order val="2"/>
          <c:tx>
            <c:strRef>
              <c:f>TDCChart!$D$1</c:f>
              <c:strCache>
                <c:ptCount val="1"/>
                <c:pt idx="0">
                  <c:v>Escenario 3</c:v>
                </c:pt>
              </c:strCache>
            </c:strRef>
          </c:tx>
          <c:spPr>
            <a:ln w="34925" cap="rnd">
              <a:solidFill>
                <a:schemeClr val="accent3"/>
              </a:solidFill>
              <a:round/>
            </a:ln>
            <a:effectLst/>
          </c:spPr>
          <c:marker>
            <c:symbol val="none"/>
          </c:marker>
          <c:cat>
            <c:strRef>
              <c:f>TDCChart!$A$2:$A$34</c:f>
              <c:strCache>
                <c:ptCount val="32"/>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pt idx="18">
                  <c:v>2037</c:v>
                </c:pt>
                <c:pt idx="19">
                  <c:v>2038</c:v>
                </c:pt>
                <c:pt idx="20">
                  <c:v>2039</c:v>
                </c:pt>
                <c:pt idx="21">
                  <c:v>2040</c:v>
                </c:pt>
                <c:pt idx="22">
                  <c:v>2041</c:v>
                </c:pt>
                <c:pt idx="23">
                  <c:v>2042</c:v>
                </c:pt>
                <c:pt idx="24">
                  <c:v>2043</c:v>
                </c:pt>
                <c:pt idx="25">
                  <c:v>2044</c:v>
                </c:pt>
                <c:pt idx="26">
                  <c:v>2045</c:v>
                </c:pt>
                <c:pt idx="27">
                  <c:v>2046</c:v>
                </c:pt>
                <c:pt idx="28">
                  <c:v>2047</c:v>
                </c:pt>
                <c:pt idx="29">
                  <c:v>2048</c:v>
                </c:pt>
                <c:pt idx="30">
                  <c:v>2049</c:v>
                </c:pt>
                <c:pt idx="31">
                  <c:v>2050</c:v>
                </c:pt>
              </c:strCache>
            </c:strRef>
          </c:cat>
          <c:val>
            <c:numRef>
              <c:f>TDCChart!$D$2:$D$34</c:f>
              <c:numCache>
                <c:formatCode>General</c:formatCode>
                <c:ptCount val="32"/>
                <c:pt idx="0">
                  <c:v>3545.8875500112658</c:v>
                </c:pt>
                <c:pt idx="1">
                  <c:v>2822.7195051971648</c:v>
                </c:pt>
                <c:pt idx="2">
                  <c:v>3089.2893625987431</c:v>
                </c:pt>
                <c:pt idx="3">
                  <c:v>2825.2798437051738</c:v>
                </c:pt>
                <c:pt idx="4">
                  <c:v>7092.2263266112996</c:v>
                </c:pt>
                <c:pt idx="5">
                  <c:v>1660.70169767991</c:v>
                </c:pt>
                <c:pt idx="6">
                  <c:v>2114.368929047208</c:v>
                </c:pt>
                <c:pt idx="7">
                  <c:v>2736.7206763815202</c:v>
                </c:pt>
                <c:pt idx="8">
                  <c:v>1437.316908170628</c:v>
                </c:pt>
                <c:pt idx="9">
                  <c:v>1223.842788901982</c:v>
                </c:pt>
                <c:pt idx="10">
                  <c:v>1202.167659415582</c:v>
                </c:pt>
                <c:pt idx="11">
                  <c:v>1213.2525017919861</c:v>
                </c:pt>
                <c:pt idx="12">
                  <c:v>1143.2714905969119</c:v>
                </c:pt>
                <c:pt idx="13">
                  <c:v>1017.292630556317</c:v>
                </c:pt>
                <c:pt idx="14">
                  <c:v>1004.143863311027</c:v>
                </c:pt>
                <c:pt idx="15">
                  <c:v>995.06047646199465</c:v>
                </c:pt>
                <c:pt idx="16">
                  <c:v>934.57111365434525</c:v>
                </c:pt>
                <c:pt idx="17">
                  <c:v>884.50872974738422</c:v>
                </c:pt>
                <c:pt idx="18">
                  <c:v>886.32678047380148</c:v>
                </c:pt>
                <c:pt idx="19">
                  <c:v>848.50011543972141</c:v>
                </c:pt>
                <c:pt idx="20">
                  <c:v>855.34954552330669</c:v>
                </c:pt>
                <c:pt idx="21">
                  <c:v>762.17557421263666</c:v>
                </c:pt>
                <c:pt idx="22">
                  <c:v>720.66778967217488</c:v>
                </c:pt>
                <c:pt idx="23">
                  <c:v>638.57705676653097</c:v>
                </c:pt>
                <c:pt idx="24">
                  <c:v>623.82499069107087</c:v>
                </c:pt>
                <c:pt idx="25">
                  <c:v>605.38398561684551</c:v>
                </c:pt>
                <c:pt idx="26">
                  <c:v>611.08606792226158</c:v>
                </c:pt>
                <c:pt idx="27">
                  <c:v>562.29509791439682</c:v>
                </c:pt>
                <c:pt idx="28">
                  <c:v>548.72911543712132</c:v>
                </c:pt>
                <c:pt idx="29">
                  <c:v>768.17669700757631</c:v>
                </c:pt>
                <c:pt idx="30">
                  <c:v>500.48605216864752</c:v>
                </c:pt>
                <c:pt idx="31">
                  <c:v>478.41485130836401</c:v>
                </c:pt>
              </c:numCache>
            </c:numRef>
          </c:val>
          <c:smooth val="0"/>
          <c:extLst>
            <c:ext xmlns:c16="http://schemas.microsoft.com/office/drawing/2014/chart" uri="{C3380CC4-5D6E-409C-BE32-E72D297353CC}">
              <c16:uniqueId val="{00000002-086C-48DC-9563-145EFAA4D39F}"/>
            </c:ext>
          </c:extLst>
        </c:ser>
        <c:dLbls>
          <c:showLegendKey val="0"/>
          <c:showVal val="0"/>
          <c:showCatName val="0"/>
          <c:showSerName val="0"/>
          <c:showPercent val="0"/>
          <c:showBubbleSize val="0"/>
        </c:dLbls>
        <c:smooth val="0"/>
        <c:axId val="1286954096"/>
        <c:axId val="1286947440"/>
      </c:lineChart>
      <c:catAx>
        <c:axId val="1286954096"/>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BE"/>
          </a:p>
        </c:txPr>
        <c:crossAx val="1286947440"/>
        <c:crosses val="autoZero"/>
        <c:auto val="1"/>
        <c:lblAlgn val="ctr"/>
        <c:lblOffset val="100"/>
        <c:tickLblSkip val="5"/>
        <c:tickMarkSkip val="1"/>
        <c:noMultiLvlLbl val="0"/>
      </c:catAx>
      <c:valAx>
        <c:axId val="128694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BE"/>
          </a:p>
        </c:txPr>
        <c:crossAx val="1286954096"/>
        <c:crosses val="autoZero"/>
        <c:crossBetween val="between"/>
        <c:majorUnit val="1000"/>
      </c:valAx>
      <c:spPr>
        <a:noFill/>
        <a:ln>
          <a:noFill/>
        </a:ln>
        <a:effectLst/>
      </c:spPr>
    </c:plotArea>
    <c:legend>
      <c:legendPos val="b"/>
      <c:layout>
        <c:manualLayout>
          <c:xMode val="edge"/>
          <c:yMode val="edge"/>
          <c:x val="0.10149894053940933"/>
          <c:y val="0.93508311461067362"/>
          <c:w val="0.60468962827367756"/>
          <c:h val="6.49179226040728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11</Pages>
  <Words>5659</Words>
  <Characters>32260</Characters>
  <Application>Microsoft Office Word</Application>
  <DocSecurity>0</DocSecurity>
  <Lines>268</Lines>
  <Paragraphs>75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UCLV</Company>
  <LinksUpToDate>false</LinksUpToDate>
  <CharactersWithSpaces>37844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David Rojas</cp:lastModifiedBy>
  <cp:revision>67</cp:revision>
  <dcterms:created xsi:type="dcterms:W3CDTF">2023-09-16T22:49:00Z</dcterms:created>
  <dcterms:modified xsi:type="dcterms:W3CDTF">2023-10-24T16:40:00Z</dcterms:modified>
</cp:coreProperties>
</file>