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454" w:rsidRPr="00436454" w:rsidRDefault="00436454" w:rsidP="00436454">
      <w:pPr>
        <w:spacing w:after="0"/>
        <w:jc w:val="center"/>
        <w:rPr>
          <w:rFonts w:ascii="Times New Roman" w:hAnsi="Times New Roman" w:cs="Times New Roman"/>
          <w:b/>
          <w:sz w:val="28"/>
          <w:szCs w:val="28"/>
        </w:rPr>
      </w:pPr>
    </w:p>
    <w:p w:rsidR="00436454" w:rsidRPr="00436454" w:rsidRDefault="00436454" w:rsidP="00436454">
      <w:pPr>
        <w:spacing w:after="0"/>
        <w:jc w:val="center"/>
        <w:rPr>
          <w:rFonts w:ascii="Times New Roman" w:hAnsi="Times New Roman" w:cs="Times New Roman"/>
          <w:b/>
          <w:sz w:val="28"/>
          <w:szCs w:val="28"/>
        </w:rPr>
      </w:pPr>
      <w:r w:rsidRPr="00436454">
        <w:rPr>
          <w:rFonts w:ascii="Times New Roman" w:hAnsi="Times New Roman" w:cs="Times New Roman"/>
          <w:b/>
          <w:sz w:val="28"/>
          <w:szCs w:val="28"/>
        </w:rPr>
        <w:t>XVI Taller Internacional “Comunidades: Historia y Desarrollo 2025”</w:t>
      </w:r>
    </w:p>
    <w:p w:rsidR="00E912D0" w:rsidRDefault="00436454" w:rsidP="00436454">
      <w:pPr>
        <w:spacing w:after="0"/>
        <w:jc w:val="center"/>
        <w:rPr>
          <w:rFonts w:ascii="Times New Roman" w:hAnsi="Times New Roman" w:cs="Times New Roman"/>
          <w:b/>
          <w:sz w:val="28"/>
          <w:szCs w:val="28"/>
        </w:rPr>
      </w:pPr>
      <w:r w:rsidRPr="00436454">
        <w:rPr>
          <w:rFonts w:ascii="Times New Roman" w:hAnsi="Times New Roman" w:cs="Times New Roman"/>
          <w:b/>
          <w:sz w:val="28"/>
          <w:szCs w:val="28"/>
        </w:rPr>
        <w:t>Comunidades 2025</w:t>
      </w:r>
    </w:p>
    <w:p w:rsidR="00436454" w:rsidRDefault="00436454" w:rsidP="00436454">
      <w:pPr>
        <w:spacing w:after="0"/>
        <w:jc w:val="center"/>
        <w:rPr>
          <w:rFonts w:ascii="Times New Roman" w:hAnsi="Times New Roman" w:cs="Times New Roman"/>
          <w:b/>
          <w:sz w:val="24"/>
          <w:szCs w:val="24"/>
        </w:rPr>
      </w:pPr>
    </w:p>
    <w:p w:rsidR="008A1C16" w:rsidRDefault="00B06BF9" w:rsidP="00667F10">
      <w:pPr>
        <w:spacing w:after="0"/>
        <w:jc w:val="center"/>
        <w:rPr>
          <w:rFonts w:ascii="Times New Roman" w:hAnsi="Times New Roman" w:cs="Times New Roman"/>
          <w:sz w:val="24"/>
          <w:szCs w:val="24"/>
        </w:rPr>
      </w:pPr>
      <w:r w:rsidRPr="00B06BF9">
        <w:rPr>
          <w:rFonts w:ascii="Times New Roman" w:hAnsi="Times New Roman" w:cs="Times New Roman"/>
          <w:b/>
          <w:sz w:val="28"/>
          <w:szCs w:val="28"/>
        </w:rPr>
        <w:t xml:space="preserve">INTEGRACIÓN DE CIENCIA E INNOVACIÓN PARA LA RUPTURA DE UN PARADIGMA DE LA AGRICULTURA TROPICAL </w:t>
      </w:r>
    </w:p>
    <w:p w:rsidR="00E912D0" w:rsidRPr="00B06BF9" w:rsidRDefault="00E912D0" w:rsidP="00667F10">
      <w:pPr>
        <w:spacing w:after="0"/>
        <w:jc w:val="center"/>
        <w:rPr>
          <w:rFonts w:ascii="Times New Roman" w:hAnsi="Times New Roman" w:cs="Times New Roman"/>
          <w:b/>
          <w:i/>
          <w:sz w:val="18"/>
          <w:szCs w:val="24"/>
        </w:rPr>
      </w:pPr>
    </w:p>
    <w:p w:rsidR="008A1C16" w:rsidRPr="000A7E19" w:rsidRDefault="00B06BF9" w:rsidP="00667F10">
      <w:pPr>
        <w:spacing w:after="0"/>
        <w:jc w:val="center"/>
        <w:rPr>
          <w:rFonts w:ascii="Times New Roman" w:hAnsi="Times New Roman" w:cs="Times New Roman"/>
          <w:sz w:val="24"/>
          <w:szCs w:val="24"/>
          <w:lang w:val="en-US"/>
        </w:rPr>
      </w:pPr>
      <w:r w:rsidRPr="00B06BF9">
        <w:rPr>
          <w:rFonts w:ascii="Times New Roman" w:hAnsi="Times New Roman" w:cs="Times New Roman"/>
          <w:b/>
          <w:i/>
          <w:sz w:val="28"/>
          <w:szCs w:val="28"/>
          <w:lang w:val="en-US"/>
        </w:rPr>
        <w:t xml:space="preserve">INTEGRATION OF SCIENCE AND INNOVATION TO BREAK THE PARADIGM OF TROPICAL AGRICULTURE </w:t>
      </w:r>
    </w:p>
    <w:p w:rsidR="009D5E02" w:rsidRPr="00B06BF9" w:rsidRDefault="009D5E02" w:rsidP="00FF3346">
      <w:pPr>
        <w:spacing w:after="0" w:line="360" w:lineRule="auto"/>
        <w:rPr>
          <w:rFonts w:ascii="Times New Roman" w:hAnsi="Times New Roman" w:cs="Times New Roman"/>
          <w:b/>
          <w:szCs w:val="24"/>
          <w:lang w:val="en-US"/>
        </w:rPr>
      </w:pPr>
    </w:p>
    <w:p w:rsidR="008A1C16" w:rsidRPr="009D5E02" w:rsidRDefault="000A7E19" w:rsidP="00FF3346">
      <w:pPr>
        <w:spacing w:after="0" w:line="360" w:lineRule="auto"/>
        <w:jc w:val="center"/>
        <w:rPr>
          <w:rFonts w:ascii="Times New Roman" w:hAnsi="Times New Roman" w:cs="Times New Roman"/>
          <w:b/>
          <w:sz w:val="24"/>
          <w:szCs w:val="24"/>
        </w:rPr>
      </w:pPr>
      <w:r w:rsidRPr="000A7E19">
        <w:rPr>
          <w:rFonts w:ascii="Times New Roman" w:hAnsi="Times New Roman" w:cs="Times New Roman"/>
          <w:b/>
          <w:sz w:val="24"/>
          <w:szCs w:val="24"/>
        </w:rPr>
        <w:t xml:space="preserve">Carlos Alberto Hernández Medina </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sidRPr="000A7E19">
        <w:rPr>
          <w:rFonts w:ascii="Times New Roman" w:hAnsi="Times New Roman" w:cs="Times New Roman"/>
          <w:b/>
          <w:sz w:val="24"/>
          <w:szCs w:val="24"/>
        </w:rPr>
        <w:t xml:space="preserve">Magdalys Alibet Carrasco Fuentes </w:t>
      </w:r>
      <w:r w:rsidR="009D5E02">
        <w:rPr>
          <w:rFonts w:ascii="Times New Roman" w:hAnsi="Times New Roman" w:cs="Times New Roman"/>
          <w:b/>
          <w:sz w:val="24"/>
          <w:szCs w:val="24"/>
          <w:vertAlign w:val="superscript"/>
        </w:rPr>
        <w:t>2</w:t>
      </w:r>
    </w:p>
    <w:p w:rsidR="009D5E02" w:rsidRDefault="009D5E02" w:rsidP="00FF3346">
      <w:pPr>
        <w:spacing w:after="0" w:line="360" w:lineRule="auto"/>
        <w:rPr>
          <w:rFonts w:ascii="Times New Roman" w:hAnsi="Times New Roman" w:cs="Times New Roman"/>
          <w:sz w:val="24"/>
          <w:szCs w:val="24"/>
        </w:rPr>
      </w:pPr>
    </w:p>
    <w:p w:rsidR="00E912D0" w:rsidRDefault="00E912D0" w:rsidP="000A7E19">
      <w:pPr>
        <w:spacing w:after="0" w:line="360" w:lineRule="auto"/>
        <w:jc w:val="both"/>
        <w:rPr>
          <w:rFonts w:ascii="Times New Roman" w:hAnsi="Times New Roman" w:cs="Times New Roman"/>
          <w:sz w:val="24"/>
          <w:szCs w:val="24"/>
        </w:rPr>
      </w:pPr>
      <w:r w:rsidRPr="00E912D0">
        <w:rPr>
          <w:rFonts w:ascii="Times New Roman" w:hAnsi="Times New Roman" w:cs="Times New Roman"/>
          <w:sz w:val="24"/>
          <w:szCs w:val="24"/>
        </w:rPr>
        <w:t>1-</w:t>
      </w:r>
      <w:r w:rsidR="000A7E19" w:rsidRPr="000A7E19">
        <w:rPr>
          <w:rFonts w:ascii="Times New Roman" w:hAnsi="Times New Roman" w:cs="Times New Roman"/>
          <w:sz w:val="24"/>
          <w:szCs w:val="24"/>
        </w:rPr>
        <w:t>. Dr. C. Coordinador de CTI. Centro Universitario Municipal Camajuaní. Universidad Central Marta Abreu de Las Villas.</w:t>
      </w:r>
      <w:r w:rsidR="000A7E19">
        <w:rPr>
          <w:rFonts w:ascii="Times New Roman" w:hAnsi="Times New Roman" w:cs="Times New Roman"/>
          <w:sz w:val="24"/>
          <w:szCs w:val="24"/>
        </w:rPr>
        <w:t xml:space="preserve"> Cuba</w:t>
      </w:r>
      <w:r w:rsidRPr="00E912D0">
        <w:rPr>
          <w:rFonts w:ascii="Times New Roman" w:hAnsi="Times New Roman" w:cs="Times New Roman"/>
          <w:sz w:val="24"/>
          <w:szCs w:val="24"/>
        </w:rPr>
        <w:t>. E-mail:</w:t>
      </w:r>
      <w:r w:rsidR="000A7E19" w:rsidRPr="000A7E19">
        <w:rPr>
          <w:rFonts w:ascii="Times New Roman" w:hAnsi="Times New Roman" w:cs="Times New Roman"/>
          <w:sz w:val="24"/>
          <w:szCs w:val="24"/>
        </w:rPr>
        <w:t xml:space="preserve"> </w:t>
      </w:r>
      <w:hyperlink r:id="rId7" w:history="1">
        <w:r w:rsidR="000A7E19" w:rsidRPr="00954CEA">
          <w:rPr>
            <w:rStyle w:val="Hipervnculo"/>
            <w:rFonts w:ascii="Times New Roman" w:hAnsi="Times New Roman" w:cs="Times New Roman"/>
            <w:sz w:val="24"/>
            <w:szCs w:val="24"/>
          </w:rPr>
          <w:t>cahm862@uclv.edu.cu</w:t>
        </w:r>
      </w:hyperlink>
      <w:r w:rsidR="000A7E19">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0A7E19" w:rsidRPr="000A7E19">
        <w:rPr>
          <w:rFonts w:ascii="Times New Roman" w:hAnsi="Times New Roman" w:cs="Times New Roman"/>
          <w:sz w:val="24"/>
          <w:szCs w:val="24"/>
        </w:rPr>
        <w:t>M. Sc.</w:t>
      </w:r>
      <w:r w:rsidR="00623C9C">
        <w:rPr>
          <w:rFonts w:ascii="Times New Roman" w:hAnsi="Times New Roman" w:cs="Times New Roman"/>
          <w:sz w:val="24"/>
          <w:szCs w:val="24"/>
        </w:rPr>
        <w:t xml:space="preserve"> </w:t>
      </w:r>
      <w:r w:rsidR="000A7E19" w:rsidRPr="000A7E19">
        <w:rPr>
          <w:rFonts w:ascii="Times New Roman" w:hAnsi="Times New Roman" w:cs="Times New Roman"/>
          <w:sz w:val="24"/>
          <w:szCs w:val="24"/>
        </w:rPr>
        <w:t>Coordinadora de Carrera GSCD. CUM Camajuaní. UCLV</w:t>
      </w:r>
      <w:r w:rsidR="000A7E19">
        <w:rPr>
          <w:rFonts w:ascii="Times New Roman" w:hAnsi="Times New Roman" w:cs="Times New Roman"/>
          <w:sz w:val="24"/>
          <w:szCs w:val="24"/>
        </w:rPr>
        <w:t xml:space="preserve">. Cuba. </w:t>
      </w:r>
      <w:r w:rsidRPr="00E912D0">
        <w:rPr>
          <w:rFonts w:ascii="Times New Roman" w:hAnsi="Times New Roman" w:cs="Times New Roman"/>
          <w:sz w:val="24"/>
          <w:szCs w:val="24"/>
        </w:rPr>
        <w:t>E-mail:</w:t>
      </w:r>
      <w:r w:rsidR="000A7E19" w:rsidRPr="000A7E19">
        <w:t xml:space="preserve"> </w:t>
      </w:r>
      <w:hyperlink r:id="rId8" w:history="1">
        <w:r w:rsidR="000A7E19" w:rsidRPr="00954CEA">
          <w:rPr>
            <w:rStyle w:val="Hipervnculo"/>
            <w:rFonts w:ascii="Times New Roman" w:hAnsi="Times New Roman" w:cs="Times New Roman"/>
            <w:sz w:val="24"/>
            <w:szCs w:val="24"/>
          </w:rPr>
          <w:t>alibet7305@uclv.edu.cu</w:t>
        </w:r>
      </w:hyperlink>
      <w:r w:rsidR="000A7E19">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9061A5" w:rsidRPr="00B525BC" w:rsidRDefault="00B06BF9" w:rsidP="00FF3346">
      <w:pPr>
        <w:spacing w:after="0" w:line="360" w:lineRule="auto"/>
        <w:jc w:val="both"/>
        <w:rPr>
          <w:rFonts w:ascii="Times New Roman" w:hAnsi="Times New Roman" w:cs="Times New Roman"/>
          <w:sz w:val="24"/>
          <w:szCs w:val="24"/>
        </w:rPr>
      </w:pPr>
      <w:r w:rsidRPr="00B06BF9">
        <w:rPr>
          <w:rFonts w:ascii="Times New Roman" w:hAnsi="Times New Roman" w:cs="Times New Roman"/>
          <w:sz w:val="24"/>
          <w:szCs w:val="24"/>
        </w:rPr>
        <w:t>El estudio es resultado de 20 años de investigación sobre los esfuerzos de la Educación Superior para lograr la gestión del conocimiento y la innovación para el desarrollo local y promover procesos de innovación agropecuaria local en Cuba. Interviene en el debate académico sobre innovación en la Sociedad del Conocimiento conceptualizada como uso del conocimiento para resolver problemas y cambiar paradigmas establecidos. Su objetivo general es contribuir a la definición, conceptualización y conformación del constructo teórico y epistemológico innovación agropecuaria local en la literatura científica y definir los aportes de la gestión del conocimiento y la innovación a la teoría de la innovación agropecuaria local a partir de la experiencia de la Educación Superior en Camajuaní. Se realiza una sistematización de los referentes teóricos sobre innovación, desarrollo agropecuario local y gestión del conocimiento y la innovación. Justifica la teoría con un ejemplo que rompe un paradigma establecido por siglos en la agricultura tropical aplicando una nueva forma de ver la innovación. Conceptualiza la innovación como factor condicionante para el desarrollo agropecuario local y lograr soberanía alimentaria local.</w:t>
      </w:r>
    </w:p>
    <w:p w:rsidR="00B525BC" w:rsidRPr="00623C9C" w:rsidRDefault="009061A5" w:rsidP="00FF3346">
      <w:pPr>
        <w:spacing w:after="0" w:line="360" w:lineRule="auto"/>
        <w:jc w:val="both"/>
        <w:rPr>
          <w:rFonts w:ascii="Times New Roman" w:hAnsi="Times New Roman" w:cs="Times New Roman"/>
          <w:sz w:val="24"/>
          <w:szCs w:val="24"/>
          <w:lang w:val="en-US"/>
        </w:rPr>
      </w:pPr>
      <w:r w:rsidRPr="00623C9C">
        <w:rPr>
          <w:rFonts w:ascii="Times New Roman" w:hAnsi="Times New Roman" w:cs="Times New Roman"/>
          <w:b/>
          <w:i/>
          <w:sz w:val="24"/>
          <w:szCs w:val="24"/>
          <w:lang w:val="en-US"/>
        </w:rPr>
        <w:lastRenderedPageBreak/>
        <w:t>Abstract:</w:t>
      </w:r>
      <w:r w:rsidRPr="00623C9C">
        <w:rPr>
          <w:rFonts w:ascii="Times New Roman" w:hAnsi="Times New Roman" w:cs="Times New Roman"/>
          <w:sz w:val="24"/>
          <w:szCs w:val="24"/>
          <w:lang w:val="en-US"/>
        </w:rPr>
        <w:t xml:space="preserve"> </w:t>
      </w:r>
    </w:p>
    <w:p w:rsidR="009061A5" w:rsidRPr="00B525BC" w:rsidRDefault="00B06BF9" w:rsidP="00FF3346">
      <w:pPr>
        <w:spacing w:after="0" w:line="360" w:lineRule="auto"/>
        <w:jc w:val="both"/>
        <w:rPr>
          <w:rFonts w:ascii="Times New Roman" w:hAnsi="Times New Roman" w:cs="Times New Roman"/>
          <w:sz w:val="24"/>
          <w:szCs w:val="24"/>
          <w:lang w:val="en-US"/>
        </w:rPr>
      </w:pPr>
      <w:r w:rsidRPr="00B06BF9">
        <w:rPr>
          <w:rFonts w:ascii="Times New Roman" w:hAnsi="Times New Roman" w:cs="Times New Roman"/>
          <w:sz w:val="24"/>
          <w:szCs w:val="24"/>
          <w:lang w:val="en-US"/>
        </w:rPr>
        <w:t>This study is the result of 20 years of research on Higher Education's efforts to achieve knowledge management and innovation for local development and promote local agricultural innovation processes in Cuba. It contributes to the academic debate on innovation in the Knowledge Society, conceptualized as the use of knowledge to solve problems and change established paradigms. Its overall objective is to contribute to the definition, conceptualization, and formation of the theoretical and epistemological construct of local agricultural innovation in the scientific literature and to define the contributions of knowledge management and innovation to the theory of local agricultural innovation based on the experience of Higher Education in Camajuaní. The study systematizes the theoretical frameworks on innovation, local agricultural development, and knowledge management and innovation. It justifies this theory with an example that breaks a centuries-old paradigm in tropical agriculture by applying a new perspective on innovation. It conceptualizes innovation as a determining factor for local agricultural development and a</w:t>
      </w:r>
      <w:r>
        <w:rPr>
          <w:rFonts w:ascii="Times New Roman" w:hAnsi="Times New Roman" w:cs="Times New Roman"/>
          <w:sz w:val="24"/>
          <w:szCs w:val="24"/>
          <w:lang w:val="en-US"/>
        </w:rPr>
        <w:t>chieving local food sovereignty</w:t>
      </w:r>
      <w:r w:rsidR="00B525BC" w:rsidRPr="00B525BC">
        <w:rPr>
          <w:rFonts w:ascii="Times New Roman" w:hAnsi="Times New Roman" w:cs="Times New Roman"/>
          <w:sz w:val="24"/>
          <w:szCs w:val="24"/>
          <w:lang w:val="en-US"/>
        </w:rPr>
        <w:t>.</w:t>
      </w:r>
    </w:p>
    <w:p w:rsidR="009061A5" w:rsidRPr="00B525BC" w:rsidRDefault="009061A5" w:rsidP="00FF3346">
      <w:pPr>
        <w:spacing w:after="0" w:line="360" w:lineRule="auto"/>
        <w:jc w:val="both"/>
        <w:rPr>
          <w:rFonts w:ascii="Times New Roman" w:hAnsi="Times New Roman" w:cs="Times New Roman"/>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B06BF9" w:rsidRPr="00B06BF9">
        <w:rPr>
          <w:rFonts w:ascii="Times New Roman" w:hAnsi="Times New Roman" w:cs="Times New Roman"/>
          <w:sz w:val="24"/>
          <w:szCs w:val="24"/>
        </w:rPr>
        <w:t>Integración, ciencia, innovación, desarrollo agropecuario local, educación superior.</w:t>
      </w:r>
    </w:p>
    <w:p w:rsidR="009061A5" w:rsidRDefault="009061A5" w:rsidP="00FF3346">
      <w:pPr>
        <w:spacing w:after="0" w:line="360" w:lineRule="auto"/>
        <w:jc w:val="both"/>
        <w:rPr>
          <w:rFonts w:ascii="Times New Roman" w:hAnsi="Times New Roman" w:cs="Times New Roman"/>
          <w:sz w:val="24"/>
          <w:szCs w:val="24"/>
        </w:rPr>
      </w:pPr>
    </w:p>
    <w:p w:rsidR="009061A5" w:rsidRPr="00B525BC" w:rsidRDefault="009061A5" w:rsidP="00FF3346">
      <w:pPr>
        <w:spacing w:after="0" w:line="360" w:lineRule="auto"/>
        <w:jc w:val="both"/>
        <w:rPr>
          <w:rFonts w:ascii="Times New Roman" w:hAnsi="Times New Roman" w:cs="Times New Roman"/>
          <w:sz w:val="24"/>
          <w:szCs w:val="24"/>
          <w:lang w:val="en-US"/>
        </w:rPr>
      </w:pPr>
      <w:r w:rsidRPr="00B525BC">
        <w:rPr>
          <w:rFonts w:ascii="Times New Roman" w:hAnsi="Times New Roman" w:cs="Times New Roman"/>
          <w:b/>
          <w:i/>
          <w:sz w:val="24"/>
          <w:szCs w:val="24"/>
          <w:lang w:val="en-US"/>
        </w:rPr>
        <w:t>Keywords:</w:t>
      </w:r>
      <w:r w:rsidRPr="00B525BC">
        <w:rPr>
          <w:rFonts w:ascii="Times New Roman" w:hAnsi="Times New Roman" w:cs="Times New Roman"/>
          <w:sz w:val="24"/>
          <w:szCs w:val="24"/>
          <w:lang w:val="en-US"/>
        </w:rPr>
        <w:t xml:space="preserve"> </w:t>
      </w:r>
      <w:r w:rsidR="00B06BF9" w:rsidRPr="00B06BF9">
        <w:rPr>
          <w:rFonts w:ascii="Times New Roman" w:hAnsi="Times New Roman" w:cs="Times New Roman"/>
          <w:sz w:val="24"/>
          <w:szCs w:val="24"/>
          <w:lang w:val="en-US"/>
        </w:rPr>
        <w:t>Integration, science, innovation, local agricultura</w:t>
      </w:r>
      <w:r w:rsidR="00B06BF9">
        <w:rPr>
          <w:rFonts w:ascii="Times New Roman" w:hAnsi="Times New Roman" w:cs="Times New Roman"/>
          <w:sz w:val="24"/>
          <w:szCs w:val="24"/>
          <w:lang w:val="en-US"/>
        </w:rPr>
        <w:t>l development, higher education</w:t>
      </w:r>
      <w:r w:rsidR="00E912D0" w:rsidRPr="00B525BC">
        <w:rPr>
          <w:rFonts w:ascii="Times New Roman" w:hAnsi="Times New Roman" w:cs="Times New Roman"/>
          <w:sz w:val="24"/>
          <w:szCs w:val="24"/>
          <w:lang w:val="en-US"/>
        </w:rPr>
        <w:t>.</w:t>
      </w:r>
    </w:p>
    <w:p w:rsidR="00A21A1F" w:rsidRPr="00B525BC"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B06BF9" w:rsidRPr="00B06BF9" w:rsidRDefault="00B06BF9" w:rsidP="00B06BF9">
      <w:pPr>
        <w:spacing w:after="0" w:line="360" w:lineRule="auto"/>
        <w:jc w:val="both"/>
        <w:rPr>
          <w:rFonts w:ascii="Times New Roman" w:hAnsi="Times New Roman" w:cs="Times New Roman"/>
          <w:sz w:val="24"/>
          <w:szCs w:val="24"/>
        </w:rPr>
      </w:pPr>
      <w:r w:rsidRPr="00B06BF9">
        <w:rPr>
          <w:rFonts w:ascii="Times New Roman" w:hAnsi="Times New Roman" w:cs="Times New Roman"/>
          <w:sz w:val="24"/>
          <w:szCs w:val="24"/>
        </w:rPr>
        <w:t>La Educación Superior cubana, para mantener la pertinencia de su misión, necesita responder a este mundo en cambio constante. La “transformación de los procesos productivos no sólo requiere de equipos y tecnología punta para aumentar productividad, sino también de nuevas formas de gestión, organización, capacitación y desarrollo de los trabajadores, que propicien el uso racional y eficiente de los recursos y estimulen el potencial creativo e intelectual…” (Ibarra, 2020: p. 97).</w:t>
      </w:r>
    </w:p>
    <w:p w:rsidR="00B06BF9" w:rsidRPr="00B06BF9" w:rsidRDefault="00B06BF9" w:rsidP="00B06BF9">
      <w:pPr>
        <w:spacing w:after="0" w:line="360" w:lineRule="auto"/>
        <w:jc w:val="both"/>
        <w:rPr>
          <w:rFonts w:ascii="Times New Roman" w:hAnsi="Times New Roman" w:cs="Times New Roman"/>
          <w:sz w:val="24"/>
          <w:szCs w:val="24"/>
        </w:rPr>
      </w:pPr>
      <w:r w:rsidRPr="00B06BF9">
        <w:rPr>
          <w:rFonts w:ascii="Times New Roman" w:hAnsi="Times New Roman" w:cs="Times New Roman"/>
          <w:sz w:val="24"/>
          <w:szCs w:val="24"/>
        </w:rPr>
        <w:t xml:space="preserve">Los conceptos y definiciones de innovación responden al paradigma político, económico y epistemológico, del que emergen. Ello lleva a grandes diferencias teóricas y prácticas pues son constructos complejos biológica, psicológica y socialmente integrados y el </w:t>
      </w:r>
      <w:r w:rsidRPr="00B06BF9">
        <w:rPr>
          <w:rFonts w:ascii="Times New Roman" w:hAnsi="Times New Roman" w:cs="Times New Roman"/>
          <w:sz w:val="24"/>
          <w:szCs w:val="24"/>
        </w:rPr>
        <w:lastRenderedPageBreak/>
        <w:t>contexto político, social, cultural, económico, ambiental e histórico las determina. Se rigen por capacidades intelectuales y tienen por precursores habilidades, conocimientos y valores. Por esto son un constructo intermedio entre la inteligencia que las habilita, y la identidad personal, que las personaliza (Bonilla, 2014).</w:t>
      </w:r>
    </w:p>
    <w:p w:rsidR="00B06BF9" w:rsidRPr="00B06BF9" w:rsidRDefault="00B06BF9" w:rsidP="00B06BF9">
      <w:pPr>
        <w:spacing w:after="0" w:line="360" w:lineRule="auto"/>
        <w:jc w:val="both"/>
        <w:rPr>
          <w:rFonts w:ascii="Times New Roman" w:hAnsi="Times New Roman" w:cs="Times New Roman"/>
          <w:sz w:val="24"/>
          <w:szCs w:val="24"/>
        </w:rPr>
      </w:pPr>
      <w:r w:rsidRPr="00B06BF9">
        <w:rPr>
          <w:rFonts w:ascii="Times New Roman" w:hAnsi="Times New Roman" w:cs="Times New Roman"/>
          <w:sz w:val="24"/>
          <w:szCs w:val="24"/>
        </w:rPr>
        <w:t>En Cuba es objetivo de política pública gubernamental mejorar la calidad de vida de los ciudadanos sin exclusión y elevar el impacto de la ciencia y la innovación en el desarrollo sostenible (Díaz-Canel et al., 2020). Por eso, en el ámbito local se debe desarrollar la innovación agropecuaria local para lograr el desarrollo local (Carrasco et al., 2019).</w:t>
      </w:r>
    </w:p>
    <w:p w:rsidR="00A21A1F" w:rsidRDefault="00B06BF9" w:rsidP="00B06BF9">
      <w:pPr>
        <w:spacing w:after="0" w:line="360" w:lineRule="auto"/>
        <w:jc w:val="both"/>
        <w:rPr>
          <w:rFonts w:ascii="Times New Roman" w:hAnsi="Times New Roman" w:cs="Times New Roman"/>
          <w:sz w:val="24"/>
          <w:szCs w:val="24"/>
        </w:rPr>
      </w:pPr>
      <w:r w:rsidRPr="00B06BF9">
        <w:rPr>
          <w:rFonts w:ascii="Times New Roman" w:hAnsi="Times New Roman" w:cs="Times New Roman"/>
          <w:sz w:val="24"/>
          <w:szCs w:val="24"/>
        </w:rPr>
        <w:t>El objetivo de esta investigación es contribuir a la definición, conceptualización y conformación del constructo teórico y epistemológico innovación agropecuaria local en la literatura científica y definir los aportes de la gestión del conocimiento y la innovación a la teoría de la innovación agropecuaria local a partir de la experiencia de la Educación Superior en Camajuaní</w:t>
      </w:r>
      <w:r w:rsidR="00B525BC" w:rsidRPr="00B525BC">
        <w:rPr>
          <w:rFonts w:ascii="Times New Roman" w:hAnsi="Times New Roman" w:cs="Times New Roman"/>
          <w:sz w:val="24"/>
          <w:szCs w:val="24"/>
        </w:rPr>
        <w:t>.</w:t>
      </w:r>
      <w:r w:rsidR="00A21A1F">
        <w:rPr>
          <w:rFonts w:ascii="Times New Roman" w:hAnsi="Times New Roman" w:cs="Times New Roman"/>
          <w:sz w:val="24"/>
          <w:szCs w:val="24"/>
        </w:rPr>
        <w:t xml:space="preserve"> </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B06BF9" w:rsidRPr="00B06BF9" w:rsidRDefault="00B06BF9" w:rsidP="00B06BF9">
      <w:pPr>
        <w:spacing w:after="0" w:line="360" w:lineRule="auto"/>
        <w:jc w:val="both"/>
        <w:rPr>
          <w:rFonts w:ascii="Times New Roman" w:hAnsi="Times New Roman" w:cs="Times New Roman"/>
          <w:sz w:val="24"/>
          <w:szCs w:val="24"/>
        </w:rPr>
      </w:pPr>
      <w:r w:rsidRPr="00B06BF9">
        <w:rPr>
          <w:rFonts w:ascii="Times New Roman" w:hAnsi="Times New Roman" w:cs="Times New Roman"/>
          <w:sz w:val="24"/>
          <w:szCs w:val="24"/>
        </w:rPr>
        <w:t xml:space="preserve">La investigación tiene su génesis en 2006, cuando la Facultad de Ciencias Agropecuarias de la UCLV, realizó su primer acercamiento al CUM Camajuaní para formar estudiantes de carreras agropecuarias en Curso Encuentro (CE). Durante las defensas de los primeros trabajos de curso se detectan insuficiencias en la pertinencia de los temas de desarrollo agropecuario local. </w:t>
      </w:r>
    </w:p>
    <w:p w:rsidR="00B06BF9" w:rsidRPr="00B06BF9" w:rsidRDefault="00B06BF9" w:rsidP="00B06BF9">
      <w:pPr>
        <w:spacing w:after="0" w:line="360" w:lineRule="auto"/>
        <w:jc w:val="both"/>
        <w:rPr>
          <w:rFonts w:ascii="Times New Roman" w:hAnsi="Times New Roman" w:cs="Times New Roman"/>
          <w:sz w:val="24"/>
          <w:szCs w:val="24"/>
        </w:rPr>
      </w:pPr>
      <w:r w:rsidRPr="00B06BF9">
        <w:rPr>
          <w:rFonts w:ascii="Times New Roman" w:hAnsi="Times New Roman" w:cs="Times New Roman"/>
          <w:sz w:val="24"/>
          <w:szCs w:val="24"/>
        </w:rPr>
        <w:t xml:space="preserve">Se sigue la Investigación-Acción Participativa (IAP) como método investigativo según postulan Colás et al. (2009); Ramírez et al. (2012) y </w:t>
      </w:r>
      <w:proofErr w:type="spellStart"/>
      <w:r w:rsidRPr="00B06BF9">
        <w:rPr>
          <w:rFonts w:ascii="Times New Roman" w:hAnsi="Times New Roman" w:cs="Times New Roman"/>
          <w:sz w:val="24"/>
          <w:szCs w:val="24"/>
        </w:rPr>
        <w:t>Fals</w:t>
      </w:r>
      <w:proofErr w:type="spellEnd"/>
      <w:r w:rsidRPr="00B06BF9">
        <w:rPr>
          <w:rFonts w:ascii="Times New Roman" w:hAnsi="Times New Roman" w:cs="Times New Roman"/>
          <w:sz w:val="24"/>
          <w:szCs w:val="24"/>
        </w:rPr>
        <w:t xml:space="preserve"> (2018). En una primera aproximación a la realidad, la construcción del marco teórico de la presente investigación parte de una búsqueda bibliográfica y una investigación documental para determinar la frontera de la ciencia sobre los componentes del objeto de investigación y sus aplicaciones en la praxis hasta el comienzo de la indagación teórica. La investigación se lleva a cabo mediante cinco aproximaciones a la realidad en que se realiza una síntesis para revelar los avances logrados y aspectos a profundizar para la solución de las insuficiencias. Esta situación lleva a un grupo de profesores del CUM a integrarse en el año 2007 al Programa Ramal GUCID, del MES, con dos Proyectos. </w:t>
      </w:r>
    </w:p>
    <w:p w:rsidR="00B06BF9" w:rsidRPr="00B06BF9" w:rsidRDefault="00B06BF9" w:rsidP="00B06BF9">
      <w:pPr>
        <w:spacing w:after="0" w:line="360" w:lineRule="auto"/>
        <w:jc w:val="both"/>
        <w:rPr>
          <w:rFonts w:ascii="Times New Roman" w:hAnsi="Times New Roman" w:cs="Times New Roman"/>
          <w:sz w:val="24"/>
          <w:szCs w:val="24"/>
        </w:rPr>
      </w:pPr>
      <w:r w:rsidRPr="00B06BF9">
        <w:rPr>
          <w:rFonts w:ascii="Times New Roman" w:hAnsi="Times New Roman" w:cs="Times New Roman"/>
          <w:sz w:val="24"/>
          <w:szCs w:val="24"/>
        </w:rPr>
        <w:t xml:space="preserve">Los profesores y estudiantes del Curso Encuentro, que trabajan en los proyectos, forman el Grupo de Investigación-Acción Participativa (GIAP) que adopta la metodología de </w:t>
      </w:r>
      <w:r w:rsidRPr="00B06BF9">
        <w:rPr>
          <w:rFonts w:ascii="Times New Roman" w:hAnsi="Times New Roman" w:cs="Times New Roman"/>
          <w:sz w:val="24"/>
          <w:szCs w:val="24"/>
        </w:rPr>
        <w:lastRenderedPageBreak/>
        <w:t>IAP. Se comienza un proceso de búsqueda de información sobre competencias y gestión del conocimiento y la innovación. Mientras tanto, se comienza a estudiar el proceso de participación de la universidad local (CUM) en la vida económico-social local.</w:t>
      </w:r>
    </w:p>
    <w:p w:rsidR="00B06BF9" w:rsidRPr="00B06BF9" w:rsidRDefault="00B06BF9" w:rsidP="00B06BF9">
      <w:pPr>
        <w:spacing w:after="0" w:line="360" w:lineRule="auto"/>
        <w:jc w:val="both"/>
        <w:rPr>
          <w:rFonts w:ascii="Times New Roman" w:hAnsi="Times New Roman" w:cs="Times New Roman"/>
          <w:sz w:val="24"/>
          <w:szCs w:val="24"/>
        </w:rPr>
      </w:pPr>
      <w:r w:rsidRPr="00B06BF9">
        <w:rPr>
          <w:rFonts w:ascii="Times New Roman" w:hAnsi="Times New Roman" w:cs="Times New Roman"/>
          <w:sz w:val="24"/>
          <w:szCs w:val="24"/>
        </w:rPr>
        <w:t>La investigación se sustenta en los principios de la dialéctica materialista como método general. La metodología asumida es esencialmente cualitativa (Hernández et al., 2014). Usa métodos y técnicas de la IAP para obtener los referentes teóricos y prácticos como entrevistas, reuniones grupales, foros de discusión, reuniones de trabajo y cuestionarios. Los métodos de investigación se supeditan al objetivo de investigación. De los métodos teóricos usa el analítico-sintético para precisar en la bibliografía los fundamentos teóricos y condiciones de formación de la competencia estudiada.</w:t>
      </w:r>
    </w:p>
    <w:p w:rsidR="00B06BF9" w:rsidRPr="00B06BF9" w:rsidRDefault="00B06BF9" w:rsidP="00B06BF9">
      <w:pPr>
        <w:spacing w:after="0" w:line="360" w:lineRule="auto"/>
        <w:jc w:val="both"/>
        <w:rPr>
          <w:rFonts w:ascii="Times New Roman" w:hAnsi="Times New Roman" w:cs="Times New Roman"/>
          <w:sz w:val="24"/>
          <w:szCs w:val="24"/>
        </w:rPr>
      </w:pPr>
      <w:r w:rsidRPr="00B06BF9">
        <w:rPr>
          <w:rFonts w:ascii="Times New Roman" w:hAnsi="Times New Roman" w:cs="Times New Roman"/>
          <w:sz w:val="24"/>
          <w:szCs w:val="24"/>
        </w:rPr>
        <w:t xml:space="preserve">El método inductivo-deductivo (Nocedo y Abreu, 2011) establece regularidades para conceptualizar la competencia en gestión del conocimiento y la innovación e integrar sus componentes organizacionales. El método de análisis histórico-lógico permite comprobar la historicidad del problema y la evolución de las soluciones encontradas en el GIAP, a partir del papel de la educación superior en Camajuaní. El método del tránsito de lo abstracto a lo concreto permite comprender la competencia, sus particularidades y el enfoque de sistemas al estudiar su papel en el desarrollo agropecuario local. </w:t>
      </w:r>
    </w:p>
    <w:p w:rsidR="00B06BF9" w:rsidRPr="00B06BF9" w:rsidRDefault="00B06BF9" w:rsidP="00B06BF9">
      <w:pPr>
        <w:spacing w:after="0" w:line="360" w:lineRule="auto"/>
        <w:jc w:val="both"/>
        <w:rPr>
          <w:rFonts w:ascii="Times New Roman" w:hAnsi="Times New Roman" w:cs="Times New Roman"/>
          <w:sz w:val="24"/>
          <w:szCs w:val="24"/>
        </w:rPr>
      </w:pPr>
      <w:r w:rsidRPr="00B06BF9">
        <w:rPr>
          <w:rFonts w:ascii="Times New Roman" w:hAnsi="Times New Roman" w:cs="Times New Roman"/>
          <w:sz w:val="24"/>
          <w:szCs w:val="24"/>
        </w:rPr>
        <w:t>De los métodos y técnicas del nivel empírico se utiliza el análisis documental para estudiar documentos generados en el municipio. Utiliza la entrevista a directivos, profesores, estudiantes y asesores, la observación participante y el grupo focal a profesores, estudiantes del CE y profesionales, en consultas entre gobierno e Instituciones de Educación Superior y en reuniones con asesores y especialistas. Se utiliza la triangulación metodológica para constatar la exactitud de los resultados.</w:t>
      </w:r>
    </w:p>
    <w:p w:rsidR="00B06BF9" w:rsidRPr="00B06BF9" w:rsidRDefault="00B06BF9" w:rsidP="00B06BF9">
      <w:pPr>
        <w:spacing w:after="0" w:line="360" w:lineRule="auto"/>
        <w:jc w:val="both"/>
        <w:rPr>
          <w:rFonts w:ascii="Times New Roman" w:hAnsi="Times New Roman" w:cs="Times New Roman"/>
          <w:sz w:val="24"/>
          <w:szCs w:val="24"/>
        </w:rPr>
      </w:pPr>
      <w:r w:rsidRPr="00B06BF9">
        <w:rPr>
          <w:rFonts w:ascii="Times New Roman" w:hAnsi="Times New Roman" w:cs="Times New Roman"/>
          <w:sz w:val="24"/>
          <w:szCs w:val="24"/>
        </w:rPr>
        <w:t>La investigación se realiza desde las ciencias de la educación por las condiciones que brinda el vínculo del CUM con el gobierno y otros actores locales. Ello permite estudiar la competencia a partir de la intervención de diferentes actores sociales (Báez et al., 2018). Se utiliza la entrevista para corroborar y actualizar la información recogida en los documentos.</w:t>
      </w:r>
    </w:p>
    <w:p w:rsidR="00B06BF9" w:rsidRPr="00B06BF9" w:rsidRDefault="00B06BF9" w:rsidP="00B06BF9">
      <w:pPr>
        <w:spacing w:after="0" w:line="360" w:lineRule="auto"/>
        <w:jc w:val="both"/>
        <w:rPr>
          <w:rFonts w:ascii="Times New Roman" w:hAnsi="Times New Roman" w:cs="Times New Roman"/>
          <w:sz w:val="24"/>
          <w:szCs w:val="24"/>
        </w:rPr>
      </w:pPr>
      <w:r w:rsidRPr="00B06BF9">
        <w:rPr>
          <w:rFonts w:ascii="Times New Roman" w:hAnsi="Times New Roman" w:cs="Times New Roman"/>
          <w:sz w:val="24"/>
          <w:szCs w:val="24"/>
        </w:rPr>
        <w:t xml:space="preserve">Se observa el trabajo del CUM en función del desarrollo agropecuario local. Se estudia la relación del CUM con las unidades productivas agropecuarias a través del trabajo de los profesores y estudiantes del CE en el diagnóstico y caracterización de fincas y unidades agropecuarias en secuencias didácticas (Díaz, 2013) de tareas docentes de </w:t>
      </w:r>
      <w:r w:rsidRPr="00B06BF9">
        <w:rPr>
          <w:rFonts w:ascii="Times New Roman" w:hAnsi="Times New Roman" w:cs="Times New Roman"/>
          <w:sz w:val="24"/>
          <w:szCs w:val="24"/>
        </w:rPr>
        <w:lastRenderedPageBreak/>
        <w:t xml:space="preserve">complejidad creciente, trabajos de curso y de diploma. Ello permite determinar las regularidades de la formación de la competencia en gestión del conocimiento y la innovación para el desarrollo agropecuario local en Camajuaní. </w:t>
      </w:r>
    </w:p>
    <w:p w:rsidR="00A21A1F" w:rsidRDefault="00B06BF9" w:rsidP="00B06BF9">
      <w:pPr>
        <w:spacing w:after="0" w:line="360" w:lineRule="auto"/>
        <w:jc w:val="both"/>
        <w:rPr>
          <w:rFonts w:ascii="Times New Roman" w:hAnsi="Times New Roman" w:cs="Times New Roman"/>
          <w:sz w:val="24"/>
          <w:szCs w:val="24"/>
        </w:rPr>
      </w:pPr>
      <w:r w:rsidRPr="00B06BF9">
        <w:rPr>
          <w:rFonts w:ascii="Times New Roman" w:hAnsi="Times New Roman" w:cs="Times New Roman"/>
          <w:sz w:val="24"/>
          <w:szCs w:val="24"/>
        </w:rPr>
        <w:t>Se culminó la investigación con un estudio de caso para aplicar toda la teoría lograda a la solución de un complejo problema productivo y de servicios. Se trabajó en la integración de tecnologías conocidas a la solución de un problema complejo que implicaba la ruptura del paradigma establecido que defendía la imposibilidad de producir hortalizas y vegetales en el trópico fuera de los meses frescos del invierno. Para ello se estudiaron las causas del problema por separado y luego se integraron las posibles soluciones en un Paquete Tecnológico</w:t>
      </w:r>
      <w:r w:rsidR="00B525BC" w:rsidRPr="00B525BC">
        <w:rPr>
          <w:rFonts w:ascii="Times New Roman" w:hAnsi="Times New Roman" w:cs="Times New Roman"/>
          <w:sz w:val="24"/>
          <w:szCs w:val="24"/>
        </w:rPr>
        <w:t>.</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B06BF9" w:rsidRPr="00B06BF9" w:rsidRDefault="007531D2" w:rsidP="00B06BF9">
      <w:pPr>
        <w:tabs>
          <w:tab w:val="left" w:pos="180"/>
        </w:tabs>
        <w:spacing w:after="0" w:line="360" w:lineRule="auto"/>
        <w:jc w:val="both"/>
        <w:rPr>
          <w:rFonts w:ascii="Times New Roman" w:hAnsi="Times New Roman" w:cs="Times New Roman"/>
          <w:b/>
          <w:spacing w:val="-10"/>
          <w:sz w:val="24"/>
          <w:szCs w:val="24"/>
        </w:rPr>
      </w:pPr>
      <w:r>
        <w:rPr>
          <w:rFonts w:ascii="Times New Roman" w:hAnsi="Times New Roman" w:cs="Times New Roman"/>
          <w:b/>
          <w:spacing w:val="-10"/>
          <w:sz w:val="24"/>
          <w:szCs w:val="24"/>
        </w:rPr>
        <w:t xml:space="preserve">3.1. </w:t>
      </w:r>
      <w:r w:rsidR="00B06BF9" w:rsidRPr="00B06BF9">
        <w:rPr>
          <w:rFonts w:ascii="Times New Roman" w:hAnsi="Times New Roman" w:cs="Times New Roman"/>
          <w:b/>
          <w:spacing w:val="-10"/>
          <w:sz w:val="24"/>
          <w:szCs w:val="24"/>
        </w:rPr>
        <w:t>Un marco teórico muy necesario.</w:t>
      </w:r>
    </w:p>
    <w:p w:rsidR="00B06BF9" w:rsidRPr="00B06BF9" w:rsidRDefault="00B06BF9" w:rsidP="00B06BF9">
      <w:pPr>
        <w:tabs>
          <w:tab w:val="left" w:pos="180"/>
        </w:tabs>
        <w:spacing w:after="0" w:line="360" w:lineRule="auto"/>
        <w:jc w:val="both"/>
        <w:rPr>
          <w:rFonts w:ascii="Times New Roman" w:hAnsi="Times New Roman" w:cs="Times New Roman"/>
          <w:spacing w:val="-10"/>
          <w:sz w:val="24"/>
          <w:szCs w:val="24"/>
        </w:rPr>
      </w:pPr>
      <w:r w:rsidRPr="00B06BF9">
        <w:rPr>
          <w:rFonts w:ascii="Times New Roman" w:hAnsi="Times New Roman" w:cs="Times New Roman"/>
          <w:spacing w:val="-10"/>
          <w:sz w:val="24"/>
          <w:szCs w:val="24"/>
        </w:rPr>
        <w:t xml:space="preserve">Investigadores como Gómez (2015); Rodríguez et al. (2017); Callejas, et al. (2017); Ronquillo et al., (2019); y </w:t>
      </w:r>
      <w:proofErr w:type="spellStart"/>
      <w:r w:rsidRPr="00B06BF9">
        <w:rPr>
          <w:rFonts w:ascii="Times New Roman" w:hAnsi="Times New Roman" w:cs="Times New Roman"/>
          <w:spacing w:val="-10"/>
          <w:sz w:val="24"/>
          <w:szCs w:val="24"/>
        </w:rPr>
        <w:t>Huachillo</w:t>
      </w:r>
      <w:proofErr w:type="spellEnd"/>
      <w:r w:rsidRPr="00B06BF9">
        <w:rPr>
          <w:rFonts w:ascii="Times New Roman" w:hAnsi="Times New Roman" w:cs="Times New Roman"/>
          <w:spacing w:val="-10"/>
          <w:sz w:val="24"/>
          <w:szCs w:val="24"/>
        </w:rPr>
        <w:t xml:space="preserve"> (2019) han trabajado el enfoque de innovación. Coinciden en que es un proceso integrador que expresa potencialidades de desempeño e integra conocimientos, habilidades y valores y se expresa en la praxis investigativa.</w:t>
      </w:r>
    </w:p>
    <w:p w:rsidR="00B06BF9" w:rsidRPr="00B06BF9" w:rsidRDefault="00B06BF9" w:rsidP="00B06BF9">
      <w:pPr>
        <w:tabs>
          <w:tab w:val="left" w:pos="180"/>
        </w:tabs>
        <w:spacing w:after="0" w:line="360" w:lineRule="auto"/>
        <w:jc w:val="both"/>
        <w:rPr>
          <w:rFonts w:ascii="Times New Roman" w:hAnsi="Times New Roman" w:cs="Times New Roman"/>
          <w:spacing w:val="-10"/>
          <w:sz w:val="24"/>
          <w:szCs w:val="24"/>
        </w:rPr>
      </w:pPr>
      <w:r w:rsidRPr="00B06BF9">
        <w:rPr>
          <w:rFonts w:ascii="Times New Roman" w:hAnsi="Times New Roman" w:cs="Times New Roman"/>
          <w:spacing w:val="-10"/>
          <w:sz w:val="24"/>
          <w:szCs w:val="24"/>
        </w:rPr>
        <w:t>En el concepto de innovación se entrelazan e integran lo investigativo, emprendedor y cognitivo en una nueva cualidad al momento de actuar. Abarca el uso del conocimiento, habilidades y capacidades personales, profesionales y académicas. Su aplicación logra mejor desempeño y posibilidad de resolver problemas. (</w:t>
      </w:r>
      <w:proofErr w:type="spellStart"/>
      <w:r w:rsidRPr="00B06BF9">
        <w:rPr>
          <w:rFonts w:ascii="Times New Roman" w:hAnsi="Times New Roman" w:cs="Times New Roman"/>
          <w:spacing w:val="-10"/>
          <w:sz w:val="24"/>
          <w:szCs w:val="24"/>
        </w:rPr>
        <w:t>Galdeano</w:t>
      </w:r>
      <w:proofErr w:type="spellEnd"/>
      <w:r w:rsidRPr="00B06BF9">
        <w:rPr>
          <w:rFonts w:ascii="Times New Roman" w:hAnsi="Times New Roman" w:cs="Times New Roman"/>
          <w:spacing w:val="-10"/>
          <w:sz w:val="24"/>
          <w:szCs w:val="24"/>
        </w:rPr>
        <w:t xml:space="preserve"> y Valiente, 2010).</w:t>
      </w:r>
    </w:p>
    <w:p w:rsidR="00B06BF9" w:rsidRPr="00B06BF9" w:rsidRDefault="00B06BF9" w:rsidP="00B06BF9">
      <w:pPr>
        <w:tabs>
          <w:tab w:val="left" w:pos="180"/>
        </w:tabs>
        <w:spacing w:after="0" w:line="360" w:lineRule="auto"/>
        <w:jc w:val="both"/>
        <w:rPr>
          <w:rFonts w:ascii="Times New Roman" w:hAnsi="Times New Roman" w:cs="Times New Roman"/>
          <w:spacing w:val="-10"/>
          <w:sz w:val="24"/>
          <w:szCs w:val="24"/>
        </w:rPr>
      </w:pPr>
      <w:r w:rsidRPr="00B06BF9">
        <w:rPr>
          <w:rFonts w:ascii="Times New Roman" w:hAnsi="Times New Roman" w:cs="Times New Roman"/>
          <w:spacing w:val="-10"/>
          <w:sz w:val="24"/>
          <w:szCs w:val="24"/>
        </w:rPr>
        <w:t xml:space="preserve">El autor ve la innovación como aplicación de un saber hacer y no imitar rutinariamente saberes de otros. Se deben adecuar, integrar y contextualizar resultados científicos ajenos a la realidad local para resolver problemas en nuestras condiciones que son diferentes a las que hubo donde se originó el resultado-logro científico que aplicamos. En ese encuentro de saberes, debemos adaptar la ciencia/información sistematizada por otro investigador o integrarla a otros resultados a nuestro contexto local para que se realice en la solución de un problema de la praxis, sobre todo en la producción de alimentos para lograr soberanía alimentaria y nutricional. Innovar es convertir el resultado científico que se ha publicado, en un producto que mejore la calidad de vida (Hernández et al., 2020). </w:t>
      </w:r>
    </w:p>
    <w:p w:rsidR="00B06BF9" w:rsidRPr="00B06BF9" w:rsidRDefault="00B06BF9" w:rsidP="00B06BF9">
      <w:pPr>
        <w:tabs>
          <w:tab w:val="left" w:pos="180"/>
        </w:tabs>
        <w:spacing w:after="0" w:line="360" w:lineRule="auto"/>
        <w:jc w:val="both"/>
        <w:rPr>
          <w:rFonts w:ascii="Times New Roman" w:hAnsi="Times New Roman" w:cs="Times New Roman"/>
          <w:spacing w:val="-10"/>
          <w:sz w:val="24"/>
          <w:szCs w:val="24"/>
        </w:rPr>
      </w:pPr>
      <w:r w:rsidRPr="00B06BF9">
        <w:rPr>
          <w:rFonts w:ascii="Times New Roman" w:hAnsi="Times New Roman" w:cs="Times New Roman"/>
          <w:spacing w:val="-10"/>
          <w:sz w:val="24"/>
          <w:szCs w:val="24"/>
        </w:rPr>
        <w:t xml:space="preserve">La ciencia sistematizada que se integra y contextualiza puede ser adquirida a lo largo de la vida y proporciona flexibilidad y adaptación para resolver problemas complejos. Su utilidad es la </w:t>
      </w:r>
      <w:r w:rsidRPr="00B06BF9">
        <w:rPr>
          <w:rFonts w:ascii="Times New Roman" w:hAnsi="Times New Roman" w:cs="Times New Roman"/>
          <w:spacing w:val="-10"/>
          <w:sz w:val="24"/>
          <w:szCs w:val="24"/>
        </w:rPr>
        <w:lastRenderedPageBreak/>
        <w:t>capacidad y la flexibilidad que da al individuo en el contexto cambiante para integrar pertinentemente los conocimientos y resolver problemas en su contexto. Ello supone que puede aplicarse también la integración de diferentes resultados científicos aparentemente desconectados, obtenidos en diferentes locaciones, a la solución de problemas complejos con una actitud emprendedora.</w:t>
      </w:r>
    </w:p>
    <w:p w:rsidR="00B06BF9" w:rsidRPr="00B06BF9" w:rsidRDefault="00B06BF9" w:rsidP="00B06BF9">
      <w:pPr>
        <w:tabs>
          <w:tab w:val="left" w:pos="180"/>
        </w:tabs>
        <w:spacing w:after="0" w:line="360" w:lineRule="auto"/>
        <w:jc w:val="both"/>
        <w:rPr>
          <w:rFonts w:ascii="Times New Roman" w:hAnsi="Times New Roman" w:cs="Times New Roman"/>
          <w:spacing w:val="-10"/>
          <w:sz w:val="24"/>
          <w:szCs w:val="24"/>
        </w:rPr>
      </w:pPr>
      <w:r w:rsidRPr="00B06BF9">
        <w:rPr>
          <w:rFonts w:ascii="Times New Roman" w:hAnsi="Times New Roman" w:cs="Times New Roman"/>
          <w:spacing w:val="-10"/>
          <w:sz w:val="24"/>
          <w:szCs w:val="24"/>
        </w:rPr>
        <w:t>Para lograr este tipo de innovación no es suficiente el proceso de generalización simple. Este proceso complejo trasmite al futuro resultado las posibilidades e incremento de soluciones novedosas que dan la integración creativa de diferentes resultados científicos, aparentemente desconectados, a solucionar problemas intrincados y complejos clasificados como insolubles hasta ese momento. La experiencia es ineludible y debe trasmitir nuevo conocimiento tácito, saberes ancestrales y conocimiento no codificado, sistematizado ni publicado que radica en los individuos y organizaciones, en un encuentro de saberes que debe ser respetuoso y mutuamente provechoso. El autor considera la vía idónea para ello el paradigma de la Educación Popular de Freire (2018) en una comunicación dialógica entre iguales.</w:t>
      </w:r>
    </w:p>
    <w:p w:rsidR="00B06BF9" w:rsidRPr="007531D2" w:rsidRDefault="007531D2" w:rsidP="00B06BF9">
      <w:pPr>
        <w:tabs>
          <w:tab w:val="left" w:pos="180"/>
        </w:tabs>
        <w:spacing w:after="0" w:line="360" w:lineRule="auto"/>
        <w:jc w:val="both"/>
        <w:rPr>
          <w:rFonts w:ascii="Times New Roman" w:hAnsi="Times New Roman" w:cs="Times New Roman"/>
          <w:b/>
          <w:spacing w:val="-10"/>
          <w:sz w:val="24"/>
          <w:szCs w:val="24"/>
        </w:rPr>
      </w:pPr>
      <w:r>
        <w:rPr>
          <w:rFonts w:ascii="Times New Roman" w:hAnsi="Times New Roman" w:cs="Times New Roman"/>
          <w:b/>
          <w:spacing w:val="-10"/>
          <w:sz w:val="24"/>
          <w:szCs w:val="24"/>
        </w:rPr>
        <w:t xml:space="preserve">3.2. </w:t>
      </w:r>
      <w:r w:rsidR="00B06BF9" w:rsidRPr="007531D2">
        <w:rPr>
          <w:rFonts w:ascii="Times New Roman" w:hAnsi="Times New Roman" w:cs="Times New Roman"/>
          <w:b/>
          <w:spacing w:val="-10"/>
          <w:sz w:val="24"/>
          <w:szCs w:val="24"/>
        </w:rPr>
        <w:t>La innovación como integración de saberes en la Educación Superior cubana.</w:t>
      </w:r>
    </w:p>
    <w:p w:rsidR="00B06BF9" w:rsidRPr="00B06BF9" w:rsidRDefault="00B06BF9" w:rsidP="00B06BF9">
      <w:pPr>
        <w:tabs>
          <w:tab w:val="left" w:pos="180"/>
        </w:tabs>
        <w:spacing w:after="0" w:line="360" w:lineRule="auto"/>
        <w:jc w:val="both"/>
        <w:rPr>
          <w:rFonts w:ascii="Times New Roman" w:hAnsi="Times New Roman" w:cs="Times New Roman"/>
          <w:spacing w:val="-10"/>
          <w:sz w:val="24"/>
          <w:szCs w:val="24"/>
        </w:rPr>
      </w:pPr>
      <w:r w:rsidRPr="00B06BF9">
        <w:rPr>
          <w:rFonts w:ascii="Times New Roman" w:hAnsi="Times New Roman" w:cs="Times New Roman"/>
          <w:spacing w:val="-10"/>
          <w:sz w:val="24"/>
          <w:szCs w:val="24"/>
        </w:rPr>
        <w:t xml:space="preserve">Analizar el término innovación desde su surgimiento no ha estado libre de discusiones. En la revisión de literatura se examinan diferentes definiciones, originadas por la variedad de experiencias e intereses de diferentes autores (Tabla 1). Su sistemático análisis permite aseverar que su tratamiento se produjo desde lo conceptual, práctico y social con énfasis en la seguridad nacional de cada país y la pertinencia de la praxis científica. </w:t>
      </w:r>
    </w:p>
    <w:p w:rsidR="00B06BF9" w:rsidRPr="00B06BF9" w:rsidRDefault="00B06BF9" w:rsidP="00B06BF9">
      <w:pPr>
        <w:tabs>
          <w:tab w:val="left" w:pos="180"/>
        </w:tabs>
        <w:spacing w:after="0" w:line="360" w:lineRule="auto"/>
        <w:jc w:val="both"/>
        <w:rPr>
          <w:rFonts w:ascii="Times New Roman" w:hAnsi="Times New Roman" w:cs="Times New Roman"/>
          <w:spacing w:val="-10"/>
          <w:sz w:val="24"/>
          <w:szCs w:val="24"/>
        </w:rPr>
      </w:pPr>
      <w:r w:rsidRPr="00B06BF9">
        <w:rPr>
          <w:rFonts w:ascii="Times New Roman" w:hAnsi="Times New Roman" w:cs="Times New Roman"/>
          <w:spacing w:val="-10"/>
          <w:sz w:val="24"/>
          <w:szCs w:val="24"/>
        </w:rPr>
        <w:t xml:space="preserve">Hay un debate sobre la viabilidad del término innovación en la Educación Superior. El autor coincide con Fernández et al. (2010) en la necesidad y pertinencia de su contextualización en la Educación Superior en Cuba. Rechazar la utilización de la innovación, vinculándola a su connotación económica en el capitalismo, supone olvidar que la distribución socialista según la cantidad y calidad del trabajo, bajo el principio: “De cada cual según su capacidad y a cada cual según su trabajo” (PCC, 2017, p.10) exige un desempeño innovador en correspondencia con el principio de idoneidad demostrada. </w:t>
      </w:r>
    </w:p>
    <w:p w:rsidR="00B06BF9" w:rsidRPr="00B06BF9" w:rsidRDefault="00B06BF9" w:rsidP="00B06BF9">
      <w:pPr>
        <w:tabs>
          <w:tab w:val="left" w:pos="180"/>
        </w:tabs>
        <w:spacing w:after="0" w:line="360" w:lineRule="auto"/>
        <w:jc w:val="both"/>
        <w:rPr>
          <w:rFonts w:ascii="Times New Roman" w:hAnsi="Times New Roman" w:cs="Times New Roman"/>
          <w:spacing w:val="-10"/>
          <w:sz w:val="24"/>
          <w:szCs w:val="24"/>
        </w:rPr>
      </w:pPr>
      <w:r w:rsidRPr="00B06BF9">
        <w:rPr>
          <w:rFonts w:ascii="Times New Roman" w:hAnsi="Times New Roman" w:cs="Times New Roman"/>
          <w:spacing w:val="-10"/>
          <w:sz w:val="24"/>
          <w:szCs w:val="24"/>
        </w:rPr>
        <w:t xml:space="preserve">Por eso, más que en cualquier otro sistema, la construcción del Socialismo demanda formar profesionales innovadores. Del desarrollo de habilidades, comportamientos, valores y actitudes innovadoras en el profesional no solo se benefician él y su familia. De su desempeño innovador en la solución de problemas de la praxis productiva, de los servicios y la defensa del país, en su </w:t>
      </w:r>
      <w:r w:rsidRPr="00B06BF9">
        <w:rPr>
          <w:rFonts w:ascii="Times New Roman" w:hAnsi="Times New Roman" w:cs="Times New Roman"/>
          <w:spacing w:val="-10"/>
          <w:sz w:val="24"/>
          <w:szCs w:val="24"/>
        </w:rPr>
        <w:lastRenderedPageBreak/>
        <w:t xml:space="preserve">condición de </w:t>
      </w:r>
      <w:proofErr w:type="spellStart"/>
      <w:r w:rsidRPr="00B06BF9">
        <w:rPr>
          <w:rFonts w:ascii="Times New Roman" w:hAnsi="Times New Roman" w:cs="Times New Roman"/>
          <w:spacing w:val="-10"/>
          <w:sz w:val="24"/>
          <w:szCs w:val="24"/>
        </w:rPr>
        <w:t>co</w:t>
      </w:r>
      <w:proofErr w:type="spellEnd"/>
      <w:r w:rsidRPr="00B06BF9">
        <w:rPr>
          <w:rFonts w:ascii="Times New Roman" w:hAnsi="Times New Roman" w:cs="Times New Roman"/>
          <w:spacing w:val="-10"/>
          <w:sz w:val="24"/>
          <w:szCs w:val="24"/>
        </w:rPr>
        <w:t>-propietario de los medios de producción, de propiedad social, se beneficia también la sociedad en su conjunto.</w:t>
      </w:r>
    </w:p>
    <w:p w:rsidR="007531D2" w:rsidRPr="00B06BF9" w:rsidRDefault="007531D2" w:rsidP="007531D2">
      <w:pPr>
        <w:tabs>
          <w:tab w:val="left" w:pos="180"/>
        </w:tabs>
        <w:spacing w:after="0" w:line="360" w:lineRule="auto"/>
        <w:jc w:val="both"/>
        <w:rPr>
          <w:rFonts w:ascii="Times New Roman" w:hAnsi="Times New Roman" w:cs="Times New Roman"/>
          <w:b/>
          <w:spacing w:val="-10"/>
          <w:sz w:val="24"/>
          <w:szCs w:val="24"/>
        </w:rPr>
      </w:pPr>
      <w:r>
        <w:rPr>
          <w:rFonts w:ascii="Times New Roman" w:hAnsi="Times New Roman" w:cs="Times New Roman"/>
          <w:b/>
          <w:spacing w:val="-10"/>
          <w:sz w:val="24"/>
          <w:szCs w:val="24"/>
        </w:rPr>
        <w:t xml:space="preserve">3.3. Apuntes para un marco teórico sobre el </w:t>
      </w:r>
      <w:r w:rsidRPr="00B06BF9">
        <w:rPr>
          <w:rFonts w:ascii="Times New Roman" w:hAnsi="Times New Roman" w:cs="Times New Roman"/>
          <w:b/>
          <w:spacing w:val="-10"/>
          <w:sz w:val="24"/>
          <w:szCs w:val="24"/>
        </w:rPr>
        <w:t>Concepto de Innovación.</w:t>
      </w:r>
    </w:p>
    <w:p w:rsidR="00062275" w:rsidRPr="002D2781" w:rsidRDefault="00062275" w:rsidP="00062275">
      <w:pPr>
        <w:tabs>
          <w:tab w:val="left" w:pos="18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t>Después de revisar la literatura se aporta un concepto de innovación como un “constructo complejo resultante de la combinación, coordinación e integración armónica a diferentes niveles, en la praxis del pensar y el hacer del sujeto, de saberes cognitivos, procedimentales, actitudinales y meta-cognitivos, capacidades, habilidades, destrezas, estrategias, actitudes, compromiso, ética y otros valores que la educación debe formar para poder realizar y mostrar mediante resultados un desempeño autónomo, consciente y responsable al resolver problemas aplicando la integración de conocimientos en forma autónoma y flexible, con eficiencia y eficacia” (Hernández, 2024).</w:t>
      </w:r>
    </w:p>
    <w:p w:rsidR="00B06BF9" w:rsidRDefault="00B06BF9" w:rsidP="00B06BF9">
      <w:pPr>
        <w:tabs>
          <w:tab w:val="left" w:pos="180"/>
        </w:tabs>
        <w:spacing w:after="0" w:line="360" w:lineRule="auto"/>
        <w:jc w:val="center"/>
        <w:rPr>
          <w:rFonts w:ascii="Times New Roman" w:hAnsi="Times New Roman" w:cs="Times New Roman"/>
          <w:spacing w:val="-10"/>
          <w:sz w:val="24"/>
          <w:szCs w:val="24"/>
        </w:rPr>
      </w:pPr>
      <w:r w:rsidRPr="00B06BF9">
        <w:rPr>
          <w:rFonts w:ascii="Times New Roman" w:hAnsi="Times New Roman" w:cs="Times New Roman"/>
          <w:b/>
          <w:spacing w:val="-10"/>
          <w:sz w:val="24"/>
          <w:szCs w:val="24"/>
        </w:rPr>
        <w:t>Tabla 1.</w:t>
      </w:r>
      <w:r w:rsidRPr="00B06BF9">
        <w:rPr>
          <w:rFonts w:ascii="Times New Roman" w:hAnsi="Times New Roman" w:cs="Times New Roman"/>
          <w:spacing w:val="-10"/>
          <w:sz w:val="24"/>
          <w:szCs w:val="24"/>
        </w:rPr>
        <w:t xml:space="preserve"> Conceptualización de las competencias </w:t>
      </w:r>
      <w:proofErr w:type="spellStart"/>
      <w:r w:rsidRPr="00B06BF9">
        <w:rPr>
          <w:rFonts w:ascii="Times New Roman" w:hAnsi="Times New Roman" w:cs="Times New Roman"/>
          <w:spacing w:val="-10"/>
          <w:sz w:val="24"/>
          <w:szCs w:val="24"/>
        </w:rPr>
        <w:t>innovativas</w:t>
      </w:r>
      <w:proofErr w:type="spellEnd"/>
      <w:r w:rsidRPr="00B06BF9">
        <w:rPr>
          <w:rFonts w:ascii="Times New Roman" w:hAnsi="Times New Roman" w:cs="Times New Roman"/>
          <w:spacing w:val="-10"/>
          <w:sz w:val="24"/>
          <w:szCs w:val="24"/>
        </w:rPr>
        <w:t xml:space="preserve"> en la literatura revisada.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3"/>
        <w:gridCol w:w="1321"/>
      </w:tblGrid>
      <w:tr w:rsidR="00B06BF9" w:rsidRPr="005A58D0" w:rsidTr="00C86B13">
        <w:tc>
          <w:tcPr>
            <w:tcW w:w="8330" w:type="dxa"/>
            <w:shd w:val="clear" w:color="auto" w:fill="auto"/>
          </w:tcPr>
          <w:p w:rsidR="00B06BF9" w:rsidRPr="00B06BF9" w:rsidRDefault="00B06BF9" w:rsidP="00C86B13">
            <w:pPr>
              <w:spacing w:after="0" w:line="240" w:lineRule="auto"/>
              <w:jc w:val="center"/>
              <w:rPr>
                <w:rFonts w:ascii="Times New Roman" w:hAnsi="Times New Roman" w:cs="Times New Roman"/>
                <w:b/>
                <w:sz w:val="18"/>
                <w:szCs w:val="18"/>
              </w:rPr>
            </w:pPr>
            <w:r w:rsidRPr="00B06BF9">
              <w:rPr>
                <w:rFonts w:ascii="Times New Roman" w:hAnsi="Times New Roman" w:cs="Times New Roman"/>
                <w:b/>
                <w:sz w:val="18"/>
                <w:szCs w:val="18"/>
              </w:rPr>
              <w:t>CONCEPTO</w:t>
            </w:r>
          </w:p>
        </w:tc>
        <w:tc>
          <w:tcPr>
            <w:tcW w:w="1381" w:type="dxa"/>
            <w:shd w:val="clear" w:color="auto" w:fill="auto"/>
          </w:tcPr>
          <w:p w:rsidR="00B06BF9" w:rsidRPr="00B06BF9" w:rsidRDefault="00B06BF9" w:rsidP="00C86B13">
            <w:pPr>
              <w:spacing w:after="0" w:line="240" w:lineRule="auto"/>
              <w:jc w:val="center"/>
              <w:rPr>
                <w:rFonts w:ascii="Times New Roman" w:hAnsi="Times New Roman" w:cs="Times New Roman"/>
                <w:b/>
                <w:sz w:val="18"/>
                <w:szCs w:val="18"/>
              </w:rPr>
            </w:pPr>
            <w:r w:rsidRPr="00B06BF9">
              <w:rPr>
                <w:rFonts w:ascii="Times New Roman" w:hAnsi="Times New Roman" w:cs="Times New Roman"/>
                <w:b/>
                <w:sz w:val="18"/>
                <w:szCs w:val="18"/>
              </w:rPr>
              <w:t>AUTOR</w:t>
            </w:r>
          </w:p>
        </w:tc>
      </w:tr>
      <w:tr w:rsidR="00B06BF9" w:rsidRPr="005A58D0" w:rsidTr="00C86B13">
        <w:tc>
          <w:tcPr>
            <w:tcW w:w="8330" w:type="dxa"/>
            <w:shd w:val="clear" w:color="auto" w:fill="auto"/>
          </w:tcPr>
          <w:p w:rsidR="00B06BF9" w:rsidRPr="00B06BF9" w:rsidRDefault="00B06BF9" w:rsidP="00C86B13">
            <w:pPr>
              <w:spacing w:after="0" w:line="240" w:lineRule="auto"/>
              <w:jc w:val="both"/>
              <w:rPr>
                <w:rFonts w:ascii="Times New Roman" w:hAnsi="Times New Roman" w:cs="Times New Roman"/>
                <w:sz w:val="18"/>
                <w:szCs w:val="18"/>
              </w:rPr>
            </w:pPr>
            <w:r w:rsidRPr="00B06BF9">
              <w:rPr>
                <w:rFonts w:ascii="Times New Roman" w:hAnsi="Times New Roman" w:cs="Times New Roman"/>
                <w:sz w:val="18"/>
                <w:szCs w:val="18"/>
              </w:rPr>
              <w:t xml:space="preserve">“… interacción reflexiva y funcional de saberes cognitivos, procedimentales, actitudinales y meta-cognitivos, enmarcada en principios </w:t>
            </w:r>
            <w:proofErr w:type="spellStart"/>
            <w:r w:rsidRPr="00B06BF9">
              <w:rPr>
                <w:rFonts w:ascii="Times New Roman" w:hAnsi="Times New Roman" w:cs="Times New Roman"/>
                <w:sz w:val="18"/>
                <w:szCs w:val="18"/>
              </w:rPr>
              <w:t>valorales</w:t>
            </w:r>
            <w:proofErr w:type="spellEnd"/>
            <w:r w:rsidRPr="00B06BF9">
              <w:rPr>
                <w:rFonts w:ascii="Times New Roman" w:hAnsi="Times New Roman" w:cs="Times New Roman"/>
                <w:sz w:val="18"/>
                <w:szCs w:val="18"/>
              </w:rPr>
              <w:t xml:space="preserve">, que genera y [...] potencia actuaciones transferibles a distintos contextos” </w:t>
            </w:r>
          </w:p>
        </w:tc>
        <w:tc>
          <w:tcPr>
            <w:tcW w:w="1381" w:type="dxa"/>
            <w:shd w:val="clear" w:color="auto" w:fill="auto"/>
          </w:tcPr>
          <w:p w:rsidR="00B06BF9" w:rsidRPr="00B06BF9" w:rsidRDefault="00B06BF9" w:rsidP="00C86B13">
            <w:pPr>
              <w:spacing w:after="0" w:line="240" w:lineRule="auto"/>
              <w:ind w:left="-108" w:right="-107"/>
              <w:jc w:val="center"/>
              <w:rPr>
                <w:rFonts w:ascii="Times New Roman" w:hAnsi="Times New Roman" w:cs="Times New Roman"/>
                <w:sz w:val="18"/>
                <w:szCs w:val="18"/>
              </w:rPr>
            </w:pPr>
            <w:r w:rsidRPr="00B06BF9">
              <w:rPr>
                <w:rFonts w:ascii="Times New Roman" w:hAnsi="Times New Roman" w:cs="Times New Roman"/>
                <w:sz w:val="18"/>
                <w:szCs w:val="18"/>
              </w:rPr>
              <w:t>Cázares y Cuevas (2007, p. 18)</w:t>
            </w:r>
          </w:p>
        </w:tc>
      </w:tr>
      <w:tr w:rsidR="00B06BF9" w:rsidRPr="005A58D0" w:rsidTr="00C86B13">
        <w:tc>
          <w:tcPr>
            <w:tcW w:w="8330" w:type="dxa"/>
            <w:shd w:val="clear" w:color="auto" w:fill="auto"/>
          </w:tcPr>
          <w:p w:rsidR="00B06BF9" w:rsidRPr="00B06BF9" w:rsidRDefault="00B06BF9" w:rsidP="00C86B13">
            <w:pPr>
              <w:spacing w:after="0" w:line="240" w:lineRule="auto"/>
              <w:jc w:val="both"/>
              <w:rPr>
                <w:rFonts w:ascii="Times New Roman" w:hAnsi="Times New Roman" w:cs="Times New Roman"/>
                <w:spacing w:val="-4"/>
                <w:sz w:val="18"/>
                <w:szCs w:val="18"/>
              </w:rPr>
            </w:pPr>
            <w:r w:rsidRPr="00B06BF9">
              <w:rPr>
                <w:rFonts w:ascii="Times New Roman" w:hAnsi="Times New Roman" w:cs="Times New Roman"/>
                <w:spacing w:val="-4"/>
                <w:sz w:val="18"/>
                <w:szCs w:val="18"/>
              </w:rPr>
              <w:t>Capacidad de satisfacer demandas o llevar a cabo tareas [...] constituida de dimensiones cognitivas/no cognitivas</w:t>
            </w:r>
          </w:p>
        </w:tc>
        <w:tc>
          <w:tcPr>
            <w:tcW w:w="1381" w:type="dxa"/>
            <w:shd w:val="clear" w:color="auto" w:fill="auto"/>
          </w:tcPr>
          <w:p w:rsidR="00B06BF9" w:rsidRPr="00B06BF9" w:rsidRDefault="00B06BF9" w:rsidP="00C86B13">
            <w:pPr>
              <w:spacing w:after="0" w:line="240" w:lineRule="auto"/>
              <w:ind w:left="-108" w:right="-107"/>
              <w:jc w:val="center"/>
              <w:rPr>
                <w:rFonts w:ascii="Times New Roman" w:hAnsi="Times New Roman" w:cs="Times New Roman"/>
                <w:sz w:val="18"/>
                <w:szCs w:val="18"/>
              </w:rPr>
            </w:pPr>
            <w:r w:rsidRPr="00B06BF9">
              <w:rPr>
                <w:rFonts w:ascii="Times New Roman" w:hAnsi="Times New Roman" w:cs="Times New Roman"/>
                <w:sz w:val="18"/>
                <w:szCs w:val="18"/>
              </w:rPr>
              <w:t>OCDE (2018)</w:t>
            </w:r>
          </w:p>
        </w:tc>
      </w:tr>
      <w:tr w:rsidR="00B06BF9" w:rsidRPr="005A58D0" w:rsidTr="00C86B13">
        <w:tc>
          <w:tcPr>
            <w:tcW w:w="8330" w:type="dxa"/>
            <w:shd w:val="clear" w:color="auto" w:fill="auto"/>
          </w:tcPr>
          <w:p w:rsidR="00B06BF9" w:rsidRPr="00B06BF9" w:rsidRDefault="00B06BF9" w:rsidP="00C86B13">
            <w:pPr>
              <w:spacing w:after="0" w:line="240" w:lineRule="auto"/>
              <w:jc w:val="both"/>
              <w:rPr>
                <w:rFonts w:ascii="Times New Roman" w:hAnsi="Times New Roman" w:cs="Times New Roman"/>
                <w:spacing w:val="-14"/>
                <w:sz w:val="18"/>
                <w:szCs w:val="18"/>
              </w:rPr>
            </w:pPr>
            <w:r w:rsidRPr="00B06BF9">
              <w:rPr>
                <w:rFonts w:ascii="Times New Roman" w:hAnsi="Times New Roman" w:cs="Times New Roman"/>
                <w:spacing w:val="-14"/>
                <w:sz w:val="18"/>
                <w:szCs w:val="18"/>
              </w:rPr>
              <w:t>Desde un enfoque funcionalista “es aquello que la persona debe estar en capacidad de hacer y demostrar mediante resultados.”</w:t>
            </w:r>
          </w:p>
        </w:tc>
        <w:tc>
          <w:tcPr>
            <w:tcW w:w="1381" w:type="dxa"/>
            <w:shd w:val="clear" w:color="auto" w:fill="auto"/>
          </w:tcPr>
          <w:p w:rsidR="00B06BF9" w:rsidRPr="00B06BF9" w:rsidRDefault="00B06BF9" w:rsidP="00C86B13">
            <w:pPr>
              <w:spacing w:after="0" w:line="240" w:lineRule="auto"/>
              <w:ind w:left="-108" w:right="-107"/>
              <w:jc w:val="center"/>
              <w:rPr>
                <w:rFonts w:ascii="Times New Roman" w:hAnsi="Times New Roman" w:cs="Times New Roman"/>
                <w:spacing w:val="-12"/>
                <w:sz w:val="18"/>
                <w:szCs w:val="18"/>
              </w:rPr>
            </w:pPr>
            <w:r w:rsidRPr="00B06BF9">
              <w:rPr>
                <w:rFonts w:ascii="Times New Roman" w:hAnsi="Times New Roman" w:cs="Times New Roman"/>
                <w:spacing w:val="-12"/>
                <w:sz w:val="18"/>
                <w:szCs w:val="18"/>
              </w:rPr>
              <w:t>Gómez (2015, p. 48)</w:t>
            </w:r>
          </w:p>
        </w:tc>
      </w:tr>
      <w:tr w:rsidR="00B06BF9" w:rsidRPr="005A58D0" w:rsidTr="00C86B13">
        <w:tc>
          <w:tcPr>
            <w:tcW w:w="8330" w:type="dxa"/>
            <w:shd w:val="clear" w:color="auto" w:fill="auto"/>
          </w:tcPr>
          <w:p w:rsidR="00B06BF9" w:rsidRPr="00B06BF9" w:rsidRDefault="00B06BF9" w:rsidP="00C86B13">
            <w:pPr>
              <w:spacing w:after="0" w:line="240" w:lineRule="auto"/>
              <w:jc w:val="both"/>
              <w:rPr>
                <w:rFonts w:ascii="Times New Roman" w:hAnsi="Times New Roman" w:cs="Times New Roman"/>
                <w:sz w:val="18"/>
                <w:szCs w:val="18"/>
              </w:rPr>
            </w:pPr>
            <w:r w:rsidRPr="00B06BF9">
              <w:rPr>
                <w:rFonts w:ascii="Times New Roman" w:hAnsi="Times New Roman" w:cs="Times New Roman"/>
                <w:sz w:val="18"/>
                <w:szCs w:val="18"/>
              </w:rPr>
              <w:t xml:space="preserve">“Estándares que especifican el nivel de conocimientos y habilidades necesarios para realizarse con éxito, en el mundo innovativo </w:t>
            </w:r>
            <w:proofErr w:type="spellStart"/>
            <w:r w:rsidRPr="00B06BF9">
              <w:rPr>
                <w:rFonts w:ascii="Times New Roman" w:hAnsi="Times New Roman" w:cs="Times New Roman"/>
                <w:sz w:val="18"/>
                <w:szCs w:val="18"/>
              </w:rPr>
              <w:t>oara</w:t>
            </w:r>
            <w:proofErr w:type="spellEnd"/>
            <w:r w:rsidRPr="00B06BF9">
              <w:rPr>
                <w:rFonts w:ascii="Times New Roman" w:hAnsi="Times New Roman" w:cs="Times New Roman"/>
                <w:sz w:val="18"/>
                <w:szCs w:val="18"/>
              </w:rPr>
              <w:t xml:space="preserve"> solucionar problemas aplicando el conocimiento”.</w:t>
            </w:r>
          </w:p>
        </w:tc>
        <w:tc>
          <w:tcPr>
            <w:tcW w:w="1381" w:type="dxa"/>
            <w:shd w:val="clear" w:color="auto" w:fill="auto"/>
          </w:tcPr>
          <w:p w:rsidR="00B06BF9" w:rsidRPr="00B06BF9" w:rsidRDefault="00B06BF9" w:rsidP="00C86B13">
            <w:pPr>
              <w:spacing w:after="0" w:line="240" w:lineRule="auto"/>
              <w:ind w:left="-244" w:right="-143"/>
              <w:jc w:val="center"/>
              <w:rPr>
                <w:rFonts w:ascii="Times New Roman" w:hAnsi="Times New Roman" w:cs="Times New Roman"/>
                <w:sz w:val="18"/>
                <w:szCs w:val="18"/>
              </w:rPr>
            </w:pPr>
            <w:r w:rsidRPr="00B06BF9">
              <w:rPr>
                <w:rFonts w:ascii="Times New Roman" w:hAnsi="Times New Roman" w:cs="Times New Roman"/>
                <w:sz w:val="18"/>
                <w:szCs w:val="18"/>
              </w:rPr>
              <w:t>Comisión Europea (2017)</w:t>
            </w:r>
          </w:p>
        </w:tc>
      </w:tr>
      <w:tr w:rsidR="00B06BF9" w:rsidRPr="005A58D0" w:rsidTr="00C86B13">
        <w:tc>
          <w:tcPr>
            <w:tcW w:w="8330" w:type="dxa"/>
            <w:shd w:val="clear" w:color="auto" w:fill="auto"/>
          </w:tcPr>
          <w:p w:rsidR="00B06BF9" w:rsidRPr="00B06BF9" w:rsidRDefault="00B06BF9" w:rsidP="00C86B13">
            <w:pPr>
              <w:spacing w:after="0" w:line="240" w:lineRule="auto"/>
              <w:jc w:val="both"/>
              <w:rPr>
                <w:rFonts w:ascii="Times New Roman" w:hAnsi="Times New Roman" w:cs="Times New Roman"/>
                <w:sz w:val="18"/>
                <w:szCs w:val="18"/>
              </w:rPr>
            </w:pPr>
            <w:r w:rsidRPr="00B06BF9">
              <w:rPr>
                <w:rFonts w:ascii="Times New Roman" w:hAnsi="Times New Roman" w:cs="Times New Roman"/>
                <w:sz w:val="18"/>
                <w:szCs w:val="18"/>
              </w:rPr>
              <w:t xml:space="preserve"> “…capacidad efectiva para llevar a cabo exitosamente una actividad laboral plenamente identificada. [...] capacidad demostrada” </w:t>
            </w:r>
          </w:p>
        </w:tc>
        <w:tc>
          <w:tcPr>
            <w:tcW w:w="1381" w:type="dxa"/>
            <w:shd w:val="clear" w:color="auto" w:fill="auto"/>
          </w:tcPr>
          <w:p w:rsidR="00B06BF9" w:rsidRPr="00B06BF9" w:rsidRDefault="00B06BF9" w:rsidP="00C86B13">
            <w:pPr>
              <w:spacing w:after="0" w:line="240" w:lineRule="auto"/>
              <w:ind w:left="-108" w:right="-107"/>
              <w:jc w:val="center"/>
              <w:rPr>
                <w:rFonts w:ascii="Times New Roman" w:hAnsi="Times New Roman" w:cs="Times New Roman"/>
                <w:sz w:val="18"/>
                <w:szCs w:val="18"/>
              </w:rPr>
            </w:pPr>
            <w:r w:rsidRPr="00B06BF9">
              <w:rPr>
                <w:rFonts w:ascii="Times New Roman" w:hAnsi="Times New Roman" w:cs="Times New Roman"/>
                <w:sz w:val="18"/>
                <w:szCs w:val="18"/>
              </w:rPr>
              <w:t>Ibarra (2020., p.1)</w:t>
            </w:r>
          </w:p>
        </w:tc>
      </w:tr>
      <w:tr w:rsidR="00B06BF9" w:rsidRPr="005A58D0" w:rsidTr="00C86B13">
        <w:tc>
          <w:tcPr>
            <w:tcW w:w="8330" w:type="dxa"/>
            <w:shd w:val="clear" w:color="auto" w:fill="auto"/>
          </w:tcPr>
          <w:p w:rsidR="00B06BF9" w:rsidRPr="00B06BF9" w:rsidRDefault="00B06BF9" w:rsidP="00C86B13">
            <w:pPr>
              <w:spacing w:after="0" w:line="240" w:lineRule="auto"/>
              <w:jc w:val="both"/>
              <w:rPr>
                <w:rFonts w:ascii="Times New Roman" w:hAnsi="Times New Roman" w:cs="Times New Roman"/>
                <w:sz w:val="18"/>
                <w:szCs w:val="18"/>
              </w:rPr>
            </w:pPr>
            <w:r w:rsidRPr="00B06BF9">
              <w:rPr>
                <w:rFonts w:ascii="Times New Roman" w:hAnsi="Times New Roman" w:cs="Times New Roman"/>
                <w:sz w:val="18"/>
                <w:szCs w:val="18"/>
              </w:rPr>
              <w:t xml:space="preserve">“… garantizan el desarrollo de conocimiento, habilidades, valores y destrezas para resolver conflictos en la práctica </w:t>
            </w:r>
            <w:proofErr w:type="spellStart"/>
            <w:r w:rsidRPr="00B06BF9">
              <w:rPr>
                <w:rFonts w:ascii="Times New Roman" w:hAnsi="Times New Roman" w:cs="Times New Roman"/>
                <w:sz w:val="18"/>
                <w:szCs w:val="18"/>
              </w:rPr>
              <w:t>innovativa</w:t>
            </w:r>
            <w:proofErr w:type="spellEnd"/>
            <w:r w:rsidRPr="00B06BF9">
              <w:rPr>
                <w:rFonts w:ascii="Times New Roman" w:hAnsi="Times New Roman" w:cs="Times New Roman"/>
                <w:sz w:val="18"/>
                <w:szCs w:val="18"/>
              </w:rPr>
              <w:t>”.</w:t>
            </w:r>
          </w:p>
        </w:tc>
        <w:tc>
          <w:tcPr>
            <w:tcW w:w="1381" w:type="dxa"/>
            <w:shd w:val="clear" w:color="auto" w:fill="auto"/>
          </w:tcPr>
          <w:p w:rsidR="00B06BF9" w:rsidRPr="00B06BF9" w:rsidRDefault="00B06BF9" w:rsidP="00C86B13">
            <w:pPr>
              <w:spacing w:after="0" w:line="240" w:lineRule="auto"/>
              <w:ind w:left="-250" w:right="-107"/>
              <w:jc w:val="center"/>
              <w:rPr>
                <w:rFonts w:ascii="Times New Roman" w:hAnsi="Times New Roman" w:cs="Times New Roman"/>
                <w:sz w:val="18"/>
                <w:szCs w:val="18"/>
              </w:rPr>
            </w:pPr>
            <w:r w:rsidRPr="00B06BF9">
              <w:rPr>
                <w:rFonts w:ascii="Times New Roman" w:hAnsi="Times New Roman" w:cs="Times New Roman"/>
                <w:sz w:val="18"/>
                <w:szCs w:val="18"/>
              </w:rPr>
              <w:t xml:space="preserve">    Rodríguez y Díaz (2020)</w:t>
            </w:r>
          </w:p>
        </w:tc>
      </w:tr>
      <w:tr w:rsidR="00B06BF9" w:rsidRPr="005A58D0" w:rsidTr="00C86B13">
        <w:tc>
          <w:tcPr>
            <w:tcW w:w="8330" w:type="dxa"/>
            <w:shd w:val="clear" w:color="auto" w:fill="auto"/>
          </w:tcPr>
          <w:p w:rsidR="00B06BF9" w:rsidRPr="00B06BF9" w:rsidRDefault="00B06BF9" w:rsidP="00C86B13">
            <w:pPr>
              <w:spacing w:after="0" w:line="240" w:lineRule="auto"/>
              <w:jc w:val="both"/>
              <w:rPr>
                <w:rFonts w:ascii="Times New Roman" w:hAnsi="Times New Roman" w:cs="Times New Roman"/>
                <w:sz w:val="18"/>
                <w:szCs w:val="18"/>
              </w:rPr>
            </w:pPr>
            <w:r w:rsidRPr="00B06BF9">
              <w:rPr>
                <w:rFonts w:ascii="Times New Roman" w:hAnsi="Times New Roman" w:cs="Times New Roman"/>
                <w:sz w:val="18"/>
                <w:szCs w:val="18"/>
              </w:rPr>
              <w:t xml:space="preserve">“… formar parte de la dinámica del cambio para enfrentar los problemas que se les plantean [...], valorar su realidad y transformarla”.  </w:t>
            </w:r>
          </w:p>
        </w:tc>
        <w:tc>
          <w:tcPr>
            <w:tcW w:w="1381" w:type="dxa"/>
            <w:shd w:val="clear" w:color="auto" w:fill="auto"/>
          </w:tcPr>
          <w:p w:rsidR="00B06BF9" w:rsidRPr="00B06BF9" w:rsidRDefault="00B06BF9" w:rsidP="00C86B13">
            <w:pPr>
              <w:spacing w:after="0" w:line="240" w:lineRule="auto"/>
              <w:ind w:left="-108" w:right="-107"/>
              <w:jc w:val="center"/>
              <w:rPr>
                <w:rFonts w:ascii="Times New Roman" w:hAnsi="Times New Roman" w:cs="Times New Roman"/>
                <w:sz w:val="18"/>
                <w:szCs w:val="18"/>
              </w:rPr>
            </w:pPr>
            <w:r w:rsidRPr="00B06BF9">
              <w:rPr>
                <w:rFonts w:ascii="Times New Roman" w:hAnsi="Times New Roman" w:cs="Times New Roman"/>
                <w:sz w:val="18"/>
                <w:szCs w:val="18"/>
              </w:rPr>
              <w:t>Bell (2018, p.  217)</w:t>
            </w:r>
          </w:p>
        </w:tc>
      </w:tr>
      <w:tr w:rsidR="00B06BF9" w:rsidRPr="005A58D0" w:rsidTr="00C86B13">
        <w:tc>
          <w:tcPr>
            <w:tcW w:w="8330" w:type="dxa"/>
            <w:shd w:val="clear" w:color="auto" w:fill="auto"/>
          </w:tcPr>
          <w:p w:rsidR="00B06BF9" w:rsidRPr="00B06BF9" w:rsidRDefault="00B06BF9" w:rsidP="00C86B13">
            <w:pPr>
              <w:spacing w:after="0" w:line="240" w:lineRule="auto"/>
              <w:jc w:val="both"/>
              <w:rPr>
                <w:rFonts w:ascii="Times New Roman" w:hAnsi="Times New Roman" w:cs="Times New Roman"/>
                <w:sz w:val="18"/>
                <w:szCs w:val="18"/>
              </w:rPr>
            </w:pPr>
            <w:r w:rsidRPr="00B06BF9">
              <w:rPr>
                <w:rFonts w:ascii="Times New Roman" w:hAnsi="Times New Roman" w:cs="Times New Roman"/>
                <w:sz w:val="18"/>
                <w:szCs w:val="18"/>
              </w:rPr>
              <w:t xml:space="preserve"> “...conductas que expresen [...] conocimientos y habilidades para resolver problemas, [...] con sus conocimientos, habilidades, motivos y valores [...] flexibilidad, dedicación y perseverancia que de él demanda la práctica profesional”. </w:t>
            </w:r>
          </w:p>
        </w:tc>
        <w:tc>
          <w:tcPr>
            <w:tcW w:w="1381" w:type="dxa"/>
            <w:shd w:val="clear" w:color="auto" w:fill="auto"/>
          </w:tcPr>
          <w:p w:rsidR="00B06BF9" w:rsidRPr="00B06BF9" w:rsidRDefault="00B06BF9" w:rsidP="00C86B13">
            <w:pPr>
              <w:spacing w:after="0" w:line="240" w:lineRule="auto"/>
              <w:ind w:left="-108" w:right="-107"/>
              <w:jc w:val="center"/>
              <w:rPr>
                <w:rFonts w:ascii="Times New Roman" w:hAnsi="Times New Roman" w:cs="Times New Roman"/>
                <w:sz w:val="18"/>
                <w:szCs w:val="18"/>
              </w:rPr>
            </w:pPr>
            <w:r w:rsidRPr="00B06BF9">
              <w:rPr>
                <w:rFonts w:ascii="Times New Roman" w:hAnsi="Times New Roman" w:cs="Times New Roman"/>
                <w:sz w:val="18"/>
                <w:szCs w:val="18"/>
              </w:rPr>
              <w:t xml:space="preserve">Ronquillo </w:t>
            </w:r>
            <w:r w:rsidRPr="00B06BF9">
              <w:rPr>
                <w:rFonts w:ascii="Times New Roman" w:hAnsi="Times New Roman" w:cs="Times New Roman"/>
                <w:i/>
                <w:sz w:val="18"/>
                <w:szCs w:val="18"/>
              </w:rPr>
              <w:t>et al.</w:t>
            </w:r>
            <w:r w:rsidRPr="00B06BF9">
              <w:rPr>
                <w:rFonts w:ascii="Times New Roman" w:hAnsi="Times New Roman" w:cs="Times New Roman"/>
                <w:sz w:val="18"/>
                <w:szCs w:val="18"/>
              </w:rPr>
              <w:t xml:space="preserve"> (2019, p.  9)</w:t>
            </w:r>
          </w:p>
        </w:tc>
      </w:tr>
      <w:tr w:rsidR="00B06BF9" w:rsidRPr="005A58D0" w:rsidTr="00C86B13">
        <w:tc>
          <w:tcPr>
            <w:tcW w:w="8330" w:type="dxa"/>
            <w:shd w:val="clear" w:color="auto" w:fill="auto"/>
          </w:tcPr>
          <w:p w:rsidR="00B06BF9" w:rsidRPr="00B06BF9" w:rsidRDefault="00B06BF9" w:rsidP="00C86B13">
            <w:pPr>
              <w:spacing w:after="0" w:line="240" w:lineRule="auto"/>
              <w:jc w:val="both"/>
              <w:rPr>
                <w:rFonts w:ascii="Times New Roman" w:hAnsi="Times New Roman" w:cs="Times New Roman"/>
                <w:sz w:val="18"/>
                <w:szCs w:val="18"/>
              </w:rPr>
            </w:pPr>
            <w:r w:rsidRPr="00B06BF9">
              <w:rPr>
                <w:rFonts w:ascii="Times New Roman" w:hAnsi="Times New Roman" w:cs="Times New Roman"/>
                <w:sz w:val="18"/>
                <w:szCs w:val="18"/>
              </w:rPr>
              <w:t xml:space="preserve">Capacidades, habilidades, destrezas y estrategias, [...] posibilidad de evaluar comportamientos y características de la personalidad, devenidas en comportamientos, que generan un desempeño exitoso en la solución de problemas. </w:t>
            </w:r>
          </w:p>
        </w:tc>
        <w:tc>
          <w:tcPr>
            <w:tcW w:w="1381" w:type="dxa"/>
            <w:shd w:val="clear" w:color="auto" w:fill="auto"/>
          </w:tcPr>
          <w:p w:rsidR="00B06BF9" w:rsidRPr="00B06BF9" w:rsidRDefault="00B06BF9" w:rsidP="00C86B13">
            <w:pPr>
              <w:spacing w:after="0" w:line="240" w:lineRule="auto"/>
              <w:ind w:left="-108" w:right="-107"/>
              <w:jc w:val="center"/>
              <w:rPr>
                <w:rFonts w:ascii="Times New Roman" w:hAnsi="Times New Roman" w:cs="Times New Roman"/>
                <w:sz w:val="18"/>
                <w:szCs w:val="18"/>
              </w:rPr>
            </w:pPr>
            <w:r w:rsidRPr="00B06BF9">
              <w:rPr>
                <w:rFonts w:ascii="Times New Roman" w:hAnsi="Times New Roman" w:cs="Times New Roman"/>
                <w:sz w:val="18"/>
                <w:szCs w:val="18"/>
              </w:rPr>
              <w:t>(Aristimuño, 2018)</w:t>
            </w:r>
          </w:p>
        </w:tc>
      </w:tr>
      <w:tr w:rsidR="00B06BF9" w:rsidRPr="005A58D0" w:rsidTr="00C86B13">
        <w:tc>
          <w:tcPr>
            <w:tcW w:w="8330" w:type="dxa"/>
            <w:shd w:val="clear" w:color="auto" w:fill="auto"/>
          </w:tcPr>
          <w:p w:rsidR="00B06BF9" w:rsidRPr="00B06BF9" w:rsidRDefault="00B06BF9" w:rsidP="00C86B13">
            <w:pPr>
              <w:spacing w:after="0" w:line="240" w:lineRule="auto"/>
              <w:jc w:val="both"/>
              <w:rPr>
                <w:rFonts w:ascii="Times New Roman" w:hAnsi="Times New Roman" w:cs="Times New Roman"/>
                <w:sz w:val="18"/>
                <w:szCs w:val="18"/>
              </w:rPr>
            </w:pPr>
            <w:r w:rsidRPr="00B06BF9">
              <w:rPr>
                <w:rFonts w:ascii="Times New Roman" w:hAnsi="Times New Roman" w:cs="Times New Roman"/>
                <w:sz w:val="18"/>
                <w:szCs w:val="18"/>
              </w:rPr>
              <w:t>“…gira en torno a la acción y el conocimiento y agrupa habilidades, destrezas, aptitudes, dominios, idoneidad, atribuciones y características de las personas que permiten aumentar el nivel de su desempeño innovativo y demostrarlo.”</w:t>
            </w:r>
          </w:p>
        </w:tc>
        <w:tc>
          <w:tcPr>
            <w:tcW w:w="1381" w:type="dxa"/>
            <w:shd w:val="clear" w:color="auto" w:fill="auto"/>
          </w:tcPr>
          <w:p w:rsidR="00B06BF9" w:rsidRPr="00B06BF9" w:rsidRDefault="00B06BF9" w:rsidP="00C86B13">
            <w:pPr>
              <w:spacing w:after="0" w:line="240" w:lineRule="auto"/>
              <w:ind w:left="-108" w:right="-107"/>
              <w:jc w:val="center"/>
              <w:rPr>
                <w:rFonts w:ascii="Times New Roman" w:hAnsi="Times New Roman" w:cs="Times New Roman"/>
                <w:sz w:val="18"/>
                <w:szCs w:val="18"/>
              </w:rPr>
            </w:pPr>
            <w:r w:rsidRPr="00B06BF9">
              <w:rPr>
                <w:rFonts w:ascii="Times New Roman" w:hAnsi="Times New Roman" w:cs="Times New Roman"/>
                <w:sz w:val="18"/>
                <w:szCs w:val="18"/>
              </w:rPr>
              <w:t xml:space="preserve">Bedoya </w:t>
            </w:r>
            <w:r w:rsidRPr="00B06BF9">
              <w:rPr>
                <w:rFonts w:ascii="Times New Roman" w:hAnsi="Times New Roman" w:cs="Times New Roman"/>
                <w:i/>
                <w:sz w:val="18"/>
                <w:szCs w:val="18"/>
              </w:rPr>
              <w:t>et al</w:t>
            </w:r>
            <w:r w:rsidRPr="00B06BF9">
              <w:rPr>
                <w:rFonts w:ascii="Times New Roman" w:hAnsi="Times New Roman" w:cs="Times New Roman"/>
                <w:sz w:val="18"/>
                <w:szCs w:val="18"/>
              </w:rPr>
              <w:t>., (2020)</w:t>
            </w:r>
          </w:p>
        </w:tc>
      </w:tr>
      <w:tr w:rsidR="00B06BF9" w:rsidRPr="005A58D0" w:rsidTr="00C86B13">
        <w:tc>
          <w:tcPr>
            <w:tcW w:w="8330" w:type="dxa"/>
            <w:shd w:val="clear" w:color="auto" w:fill="auto"/>
          </w:tcPr>
          <w:p w:rsidR="00B06BF9" w:rsidRPr="00B06BF9" w:rsidRDefault="00B06BF9" w:rsidP="00C86B13">
            <w:pPr>
              <w:spacing w:after="0" w:line="240" w:lineRule="auto"/>
              <w:jc w:val="both"/>
              <w:rPr>
                <w:rFonts w:ascii="Times New Roman" w:hAnsi="Times New Roman" w:cs="Times New Roman"/>
                <w:sz w:val="18"/>
                <w:szCs w:val="18"/>
              </w:rPr>
            </w:pPr>
            <w:r w:rsidRPr="00B06BF9">
              <w:rPr>
                <w:rFonts w:ascii="Times New Roman" w:hAnsi="Times New Roman" w:cs="Times New Roman"/>
                <w:sz w:val="18"/>
                <w:szCs w:val="18"/>
              </w:rPr>
              <w:t>Comparten elementos en común: saber (conocimientos laborales), saber hacer (capacidad de  aplicar el conocimiento), saber ser (disposición a trabajar en equipo, comunicación, cooperación) y saber estar (capacidad de asumir responsabilidades y deberes, organizar y decidir sobre cuestiones de trabajo), en relación con la aplicación del conocimiento a solucionar problemas.</w:t>
            </w:r>
          </w:p>
        </w:tc>
        <w:tc>
          <w:tcPr>
            <w:tcW w:w="1381" w:type="dxa"/>
            <w:shd w:val="clear" w:color="auto" w:fill="auto"/>
          </w:tcPr>
          <w:p w:rsidR="00B06BF9" w:rsidRPr="00B06BF9" w:rsidRDefault="00B06BF9" w:rsidP="00C86B13">
            <w:pPr>
              <w:spacing w:after="0" w:line="240" w:lineRule="auto"/>
              <w:ind w:left="-108" w:right="-107"/>
              <w:jc w:val="center"/>
              <w:rPr>
                <w:rFonts w:ascii="Times New Roman" w:hAnsi="Times New Roman" w:cs="Times New Roman"/>
                <w:sz w:val="18"/>
                <w:szCs w:val="18"/>
              </w:rPr>
            </w:pPr>
            <w:proofErr w:type="spellStart"/>
            <w:r w:rsidRPr="00B06BF9">
              <w:rPr>
                <w:rFonts w:ascii="Times New Roman" w:hAnsi="Times New Roman" w:cs="Times New Roman"/>
                <w:sz w:val="18"/>
                <w:szCs w:val="18"/>
              </w:rPr>
              <w:t>Charria</w:t>
            </w:r>
            <w:proofErr w:type="spellEnd"/>
            <w:r w:rsidRPr="00B06BF9">
              <w:rPr>
                <w:rFonts w:ascii="Times New Roman" w:hAnsi="Times New Roman" w:cs="Times New Roman"/>
                <w:sz w:val="18"/>
                <w:szCs w:val="18"/>
              </w:rPr>
              <w:t xml:space="preserve"> </w:t>
            </w:r>
            <w:r w:rsidRPr="00B06BF9">
              <w:rPr>
                <w:rFonts w:ascii="Times New Roman" w:hAnsi="Times New Roman" w:cs="Times New Roman"/>
                <w:i/>
                <w:sz w:val="18"/>
                <w:szCs w:val="18"/>
              </w:rPr>
              <w:t xml:space="preserve">et al. </w:t>
            </w:r>
            <w:r w:rsidRPr="00B06BF9">
              <w:rPr>
                <w:rFonts w:ascii="Times New Roman" w:hAnsi="Times New Roman" w:cs="Times New Roman"/>
                <w:sz w:val="18"/>
                <w:szCs w:val="18"/>
              </w:rPr>
              <w:t xml:space="preserve"> (2011)</w:t>
            </w:r>
          </w:p>
        </w:tc>
      </w:tr>
      <w:tr w:rsidR="00B06BF9" w:rsidRPr="005A58D0" w:rsidTr="00C86B13">
        <w:tc>
          <w:tcPr>
            <w:tcW w:w="8330" w:type="dxa"/>
            <w:shd w:val="clear" w:color="auto" w:fill="auto"/>
          </w:tcPr>
          <w:p w:rsidR="00B06BF9" w:rsidRPr="00B06BF9" w:rsidRDefault="00B06BF9" w:rsidP="00C86B13">
            <w:pPr>
              <w:spacing w:after="0" w:line="240" w:lineRule="auto"/>
              <w:jc w:val="both"/>
              <w:rPr>
                <w:rFonts w:ascii="Times New Roman" w:hAnsi="Times New Roman" w:cs="Times New Roman"/>
                <w:sz w:val="18"/>
                <w:szCs w:val="18"/>
              </w:rPr>
            </w:pPr>
            <w:r w:rsidRPr="00B06BF9">
              <w:rPr>
                <w:rFonts w:ascii="Times New Roman" w:hAnsi="Times New Roman" w:cs="Times New Roman"/>
                <w:sz w:val="18"/>
                <w:szCs w:val="18"/>
              </w:rPr>
              <w:t>“…capacidad de tomar decisiones, con base en los conocimientos, habilidades y actitudes asociadas a la profesión, para solucionar los problemas complejos que se presentan en el campo de su actividad profesional”.</w:t>
            </w:r>
          </w:p>
        </w:tc>
        <w:tc>
          <w:tcPr>
            <w:tcW w:w="1381" w:type="dxa"/>
            <w:shd w:val="clear" w:color="auto" w:fill="auto"/>
          </w:tcPr>
          <w:p w:rsidR="00B06BF9" w:rsidRPr="00B06BF9" w:rsidRDefault="00B06BF9" w:rsidP="00C86B13">
            <w:pPr>
              <w:spacing w:after="0" w:line="240" w:lineRule="auto"/>
              <w:ind w:left="-108" w:right="-107"/>
              <w:jc w:val="center"/>
              <w:rPr>
                <w:rFonts w:ascii="Times New Roman" w:hAnsi="Times New Roman" w:cs="Times New Roman"/>
                <w:sz w:val="18"/>
                <w:szCs w:val="18"/>
              </w:rPr>
            </w:pPr>
            <w:proofErr w:type="spellStart"/>
            <w:r w:rsidRPr="00B06BF9">
              <w:rPr>
                <w:rFonts w:ascii="Times New Roman" w:hAnsi="Times New Roman" w:cs="Times New Roman"/>
                <w:sz w:val="18"/>
                <w:szCs w:val="18"/>
              </w:rPr>
              <w:t>Galdeano</w:t>
            </w:r>
            <w:proofErr w:type="spellEnd"/>
            <w:r w:rsidRPr="00B06BF9">
              <w:rPr>
                <w:rFonts w:ascii="Times New Roman" w:hAnsi="Times New Roman" w:cs="Times New Roman"/>
                <w:sz w:val="18"/>
                <w:szCs w:val="18"/>
              </w:rPr>
              <w:t xml:space="preserve"> y Valiente (2010, p. 29 )</w:t>
            </w:r>
          </w:p>
        </w:tc>
      </w:tr>
      <w:tr w:rsidR="00B06BF9" w:rsidRPr="005A58D0" w:rsidTr="00C86B13">
        <w:tc>
          <w:tcPr>
            <w:tcW w:w="8330" w:type="dxa"/>
            <w:shd w:val="clear" w:color="auto" w:fill="auto"/>
          </w:tcPr>
          <w:p w:rsidR="00B06BF9" w:rsidRPr="00B06BF9" w:rsidRDefault="00B06BF9" w:rsidP="00C86B13">
            <w:pPr>
              <w:spacing w:after="0" w:line="240" w:lineRule="auto"/>
              <w:jc w:val="both"/>
              <w:rPr>
                <w:rFonts w:ascii="Times New Roman" w:hAnsi="Times New Roman" w:cs="Times New Roman"/>
                <w:sz w:val="18"/>
                <w:szCs w:val="18"/>
              </w:rPr>
            </w:pPr>
            <w:r w:rsidRPr="00B06BF9">
              <w:rPr>
                <w:rFonts w:ascii="Times New Roman" w:hAnsi="Times New Roman" w:cs="Times New Roman"/>
                <w:sz w:val="18"/>
                <w:szCs w:val="18"/>
              </w:rPr>
              <w:t>“Capacidad de responder a demandas y tareas complejas, combinar  habilidades  prácticas,  conocimiento,  motivación,  valores, ética, actitudes, emociones y componentes sociales y comportamentales  a  movilizan unidos para lograr una solución eficaz.”</w:t>
            </w:r>
          </w:p>
        </w:tc>
        <w:tc>
          <w:tcPr>
            <w:tcW w:w="1381" w:type="dxa"/>
            <w:shd w:val="clear" w:color="auto" w:fill="auto"/>
          </w:tcPr>
          <w:p w:rsidR="00B06BF9" w:rsidRPr="00B06BF9" w:rsidRDefault="00B06BF9" w:rsidP="00C86B13">
            <w:pPr>
              <w:spacing w:after="0" w:line="240" w:lineRule="auto"/>
              <w:ind w:left="-108" w:right="-107"/>
              <w:jc w:val="center"/>
              <w:rPr>
                <w:rFonts w:ascii="Times New Roman" w:hAnsi="Times New Roman" w:cs="Times New Roman"/>
                <w:sz w:val="18"/>
                <w:szCs w:val="18"/>
              </w:rPr>
            </w:pPr>
            <w:r w:rsidRPr="00B06BF9">
              <w:rPr>
                <w:rFonts w:ascii="Times New Roman" w:hAnsi="Times New Roman" w:cs="Times New Roman"/>
                <w:sz w:val="18"/>
                <w:szCs w:val="18"/>
              </w:rPr>
              <w:t>OCDE (2018)</w:t>
            </w:r>
          </w:p>
        </w:tc>
      </w:tr>
      <w:tr w:rsidR="00B06BF9" w:rsidRPr="005A58D0" w:rsidTr="00C86B13">
        <w:tc>
          <w:tcPr>
            <w:tcW w:w="8330" w:type="dxa"/>
            <w:shd w:val="clear" w:color="auto" w:fill="auto"/>
          </w:tcPr>
          <w:p w:rsidR="00B06BF9" w:rsidRPr="00B06BF9" w:rsidRDefault="00B06BF9" w:rsidP="00C86B13">
            <w:pPr>
              <w:spacing w:after="0" w:line="240" w:lineRule="auto"/>
              <w:jc w:val="both"/>
              <w:rPr>
                <w:rFonts w:ascii="Times New Roman" w:hAnsi="Times New Roman" w:cs="Times New Roman"/>
                <w:sz w:val="18"/>
                <w:szCs w:val="18"/>
              </w:rPr>
            </w:pPr>
            <w:r w:rsidRPr="00B06BF9">
              <w:rPr>
                <w:rFonts w:ascii="Times New Roman" w:hAnsi="Times New Roman" w:cs="Times New Roman"/>
                <w:sz w:val="18"/>
                <w:szCs w:val="18"/>
              </w:rPr>
              <w:t>“…conocimientos, procedimientos y actitudes combinados, coordinados e integrados [...] saber hacer y estar en el ejercicio profesional.</w:t>
            </w:r>
          </w:p>
        </w:tc>
        <w:tc>
          <w:tcPr>
            <w:tcW w:w="1381" w:type="dxa"/>
            <w:shd w:val="clear" w:color="auto" w:fill="auto"/>
          </w:tcPr>
          <w:p w:rsidR="00B06BF9" w:rsidRPr="00B06BF9" w:rsidRDefault="00B06BF9" w:rsidP="00C86B13">
            <w:pPr>
              <w:spacing w:after="0" w:line="240" w:lineRule="auto"/>
              <w:ind w:left="-111" w:right="-145"/>
              <w:jc w:val="center"/>
              <w:rPr>
                <w:rFonts w:ascii="Times New Roman" w:hAnsi="Times New Roman" w:cs="Times New Roman"/>
                <w:sz w:val="18"/>
                <w:szCs w:val="18"/>
              </w:rPr>
            </w:pPr>
            <w:r w:rsidRPr="00B06BF9">
              <w:rPr>
                <w:rFonts w:ascii="Times New Roman" w:hAnsi="Times New Roman" w:cs="Times New Roman"/>
                <w:sz w:val="18"/>
                <w:szCs w:val="18"/>
              </w:rPr>
              <w:t>Tejada y Navío (2019)</w:t>
            </w:r>
          </w:p>
        </w:tc>
      </w:tr>
    </w:tbl>
    <w:p w:rsidR="00B06BF9" w:rsidRDefault="00B06BF9" w:rsidP="00B06BF9">
      <w:pPr>
        <w:tabs>
          <w:tab w:val="left" w:pos="180"/>
        </w:tabs>
        <w:spacing w:after="0" w:line="360" w:lineRule="auto"/>
        <w:jc w:val="center"/>
        <w:rPr>
          <w:rFonts w:ascii="Times New Roman" w:hAnsi="Times New Roman" w:cs="Times New Roman"/>
          <w:spacing w:val="-10"/>
          <w:sz w:val="24"/>
          <w:szCs w:val="24"/>
        </w:rPr>
      </w:pPr>
      <w:r>
        <w:rPr>
          <w:rFonts w:ascii="Times New Roman" w:hAnsi="Times New Roman" w:cs="Times New Roman"/>
          <w:spacing w:val="-10"/>
          <w:sz w:val="24"/>
          <w:szCs w:val="24"/>
        </w:rPr>
        <w:t xml:space="preserve">Fuente: Elaboración </w:t>
      </w:r>
      <w:r w:rsidRPr="00B06BF9">
        <w:rPr>
          <w:rFonts w:ascii="Times New Roman" w:hAnsi="Times New Roman" w:cs="Times New Roman"/>
          <w:spacing w:val="-10"/>
          <w:sz w:val="24"/>
          <w:szCs w:val="24"/>
        </w:rPr>
        <w:t>por el autor en base a la revisión bibliográfica</w:t>
      </w:r>
      <w:r>
        <w:rPr>
          <w:rFonts w:ascii="Times New Roman" w:hAnsi="Times New Roman" w:cs="Times New Roman"/>
          <w:spacing w:val="-10"/>
          <w:sz w:val="24"/>
          <w:szCs w:val="24"/>
        </w:rPr>
        <w:t>.</w:t>
      </w:r>
    </w:p>
    <w:p w:rsidR="002D2781" w:rsidRPr="002D2781" w:rsidRDefault="002D2781" w:rsidP="002D2781">
      <w:pPr>
        <w:tabs>
          <w:tab w:val="left" w:pos="18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lastRenderedPageBreak/>
        <w:t xml:space="preserve">En la Figura 1 se muestra el constructo teórico Innovación para el Desarrollo Agropecuario Local. La misma está conformada, asumiendo a Garcés (2014), por las dimensiones identificación, adquisición, desarrollo, difusión, utilización y conservación. </w:t>
      </w:r>
    </w:p>
    <w:p w:rsidR="00B06BF9" w:rsidRDefault="002D2781" w:rsidP="002D2781">
      <w:pPr>
        <w:tabs>
          <w:tab w:val="left" w:pos="180"/>
        </w:tabs>
        <w:spacing w:after="0" w:line="360" w:lineRule="auto"/>
        <w:jc w:val="center"/>
        <w:rPr>
          <w:rFonts w:ascii="Times New Roman" w:hAnsi="Times New Roman" w:cs="Times New Roman"/>
          <w:spacing w:val="-10"/>
          <w:sz w:val="24"/>
          <w:szCs w:val="24"/>
        </w:rPr>
      </w:pPr>
      <w:r w:rsidRPr="002D2781">
        <w:rPr>
          <w:rFonts w:ascii="Times New Roman" w:hAnsi="Times New Roman" w:cs="Times New Roman"/>
          <w:b/>
          <w:spacing w:val="-10"/>
          <w:sz w:val="24"/>
          <w:szCs w:val="24"/>
        </w:rPr>
        <w:t>Figura 1.</w:t>
      </w:r>
      <w:r w:rsidRPr="002D2781">
        <w:rPr>
          <w:rFonts w:ascii="Times New Roman" w:hAnsi="Times New Roman" w:cs="Times New Roman"/>
          <w:spacing w:val="-10"/>
          <w:sz w:val="24"/>
          <w:szCs w:val="24"/>
        </w:rPr>
        <w:t xml:space="preserve"> Conformación de l</w:t>
      </w:r>
      <w:r w:rsidR="00062275">
        <w:rPr>
          <w:rFonts w:ascii="Times New Roman" w:hAnsi="Times New Roman" w:cs="Times New Roman"/>
          <w:spacing w:val="-10"/>
          <w:sz w:val="24"/>
          <w:szCs w:val="24"/>
        </w:rPr>
        <w:t>os componentes del concepto</w:t>
      </w:r>
      <w:r w:rsidRPr="002D2781">
        <w:rPr>
          <w:rFonts w:ascii="Times New Roman" w:hAnsi="Times New Roman" w:cs="Times New Roman"/>
          <w:spacing w:val="-10"/>
          <w:sz w:val="24"/>
          <w:szCs w:val="24"/>
        </w:rPr>
        <w:t xml:space="preserve"> Innovación para el Desarrollo Agropecuario Local</w:t>
      </w:r>
    </w:p>
    <w:p w:rsidR="00B06BF9" w:rsidRDefault="002D2781" w:rsidP="00B06BF9">
      <w:pPr>
        <w:tabs>
          <w:tab w:val="left" w:pos="180"/>
        </w:tabs>
        <w:spacing w:after="0" w:line="360" w:lineRule="auto"/>
        <w:jc w:val="both"/>
        <w:rPr>
          <w:rFonts w:ascii="Times New Roman" w:hAnsi="Times New Roman" w:cs="Times New Roman"/>
          <w:spacing w:val="-10"/>
          <w:sz w:val="24"/>
          <w:szCs w:val="24"/>
        </w:rPr>
      </w:pPr>
      <w:r>
        <w:rPr>
          <w:rFonts w:ascii="Times New Roman" w:hAnsi="Times New Roman" w:cs="Times New Roman"/>
          <w:noProof/>
          <w:spacing w:val="-10"/>
          <w:sz w:val="24"/>
          <w:szCs w:val="24"/>
          <w:lang w:val="en-US"/>
        </w:rPr>
        <w:drawing>
          <wp:inline distT="0" distB="0" distL="0" distR="0" wp14:anchorId="54956E88">
            <wp:extent cx="5485765" cy="267589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5765" cy="2675890"/>
                    </a:xfrm>
                    <a:prstGeom prst="rect">
                      <a:avLst/>
                    </a:prstGeom>
                    <a:noFill/>
                  </pic:spPr>
                </pic:pic>
              </a:graphicData>
            </a:graphic>
          </wp:inline>
        </w:drawing>
      </w:r>
    </w:p>
    <w:p w:rsidR="002D2781" w:rsidRPr="00062275" w:rsidRDefault="00062275" w:rsidP="002D2781">
      <w:pPr>
        <w:tabs>
          <w:tab w:val="left" w:pos="180"/>
        </w:tabs>
        <w:spacing w:after="0" w:line="360" w:lineRule="auto"/>
        <w:jc w:val="both"/>
        <w:rPr>
          <w:rFonts w:ascii="Times New Roman" w:hAnsi="Times New Roman" w:cs="Times New Roman"/>
          <w:b/>
          <w:spacing w:val="-14"/>
          <w:sz w:val="24"/>
          <w:szCs w:val="24"/>
        </w:rPr>
      </w:pPr>
      <w:r w:rsidRPr="00062275">
        <w:rPr>
          <w:rFonts w:ascii="Times New Roman" w:hAnsi="Times New Roman" w:cs="Times New Roman"/>
          <w:b/>
          <w:spacing w:val="-14"/>
          <w:sz w:val="24"/>
          <w:szCs w:val="24"/>
        </w:rPr>
        <w:t xml:space="preserve">3.4. </w:t>
      </w:r>
      <w:r w:rsidR="002D2781" w:rsidRPr="00062275">
        <w:rPr>
          <w:rFonts w:ascii="Times New Roman" w:hAnsi="Times New Roman" w:cs="Times New Roman"/>
          <w:b/>
          <w:spacing w:val="-14"/>
          <w:sz w:val="24"/>
          <w:szCs w:val="24"/>
        </w:rPr>
        <w:t>Modelo de Gestión del Conocimiento y la Innovación para el Desarrollo Agropecuario Local.</w:t>
      </w:r>
    </w:p>
    <w:p w:rsidR="002D2781" w:rsidRPr="002D2781" w:rsidRDefault="002D2781" w:rsidP="002D2781">
      <w:pPr>
        <w:tabs>
          <w:tab w:val="left" w:pos="18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t>Estas dimensiones se representan en un Modelo de Gestión del Conocimiento y la Innovación para el Desarrollo Agropecuario Local (Figura 2.), donde se muestra la aplicación de la innovación por los profesionales agropecuarios y como su aplicación a la praxis impactó en el desarrollo del municipio (Hernández et al., 2010).</w:t>
      </w:r>
    </w:p>
    <w:p w:rsidR="002D2781" w:rsidRPr="002D2781" w:rsidRDefault="002D2781" w:rsidP="002D2781">
      <w:pPr>
        <w:tabs>
          <w:tab w:val="left" w:pos="18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t xml:space="preserve">La base de la formación, preparación y capacitación de los profesionales en Cuba es, por tanto, formar un profesional innovador para aportar al desarrollo del país. Teniendo en cuenta que Cuba debe realizarse en un mundo en que impera la globalización, se debe formar un profesional que, para obtener productos con alto nivel de valor agregado y brindar servicios </w:t>
      </w:r>
      <w:proofErr w:type="spellStart"/>
      <w:r w:rsidRPr="002D2781">
        <w:rPr>
          <w:rFonts w:ascii="Times New Roman" w:hAnsi="Times New Roman" w:cs="Times New Roman"/>
          <w:spacing w:val="-10"/>
          <w:sz w:val="24"/>
          <w:szCs w:val="24"/>
        </w:rPr>
        <w:t>innovativos</w:t>
      </w:r>
      <w:proofErr w:type="spellEnd"/>
      <w:r w:rsidRPr="002D2781">
        <w:rPr>
          <w:rFonts w:ascii="Times New Roman" w:hAnsi="Times New Roman" w:cs="Times New Roman"/>
          <w:spacing w:val="-10"/>
          <w:sz w:val="24"/>
          <w:szCs w:val="24"/>
        </w:rPr>
        <w:t xml:space="preserve"> y competitivos en la economía mundial globalizada, debe y está obligado a ser también altamente innovativo.</w:t>
      </w:r>
    </w:p>
    <w:p w:rsidR="002D2781" w:rsidRPr="002D2781" w:rsidRDefault="002D2781" w:rsidP="002D2781">
      <w:pPr>
        <w:tabs>
          <w:tab w:val="left" w:pos="18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t xml:space="preserve">Frente a la idea de la innovación como factor de competitividad, se enfatiza que la innovación debe contribuir a satisfacer necesidades humanas relevantes, favorecer la lucha contra la pobreza, la inclusión social y el desarrollo sostenible (Díaz-Canel, 2021). Esto ha dado lugar a formar en Cuba Parques Científicos y Tecnológicos, Empresas de Ciencia y Tecnología (Decreto No. 363/2019, 2019) que funcionan como interfases entre las universidades y entidades de ciencia, tecnología e innovación y las entidades productivas y de servicios y nuevas formas de gestión del conocimiento </w:t>
      </w:r>
      <w:r w:rsidRPr="002D2781">
        <w:rPr>
          <w:rFonts w:ascii="Times New Roman" w:hAnsi="Times New Roman" w:cs="Times New Roman"/>
          <w:spacing w:val="-10"/>
          <w:sz w:val="24"/>
          <w:szCs w:val="24"/>
        </w:rPr>
        <w:lastRenderedPageBreak/>
        <w:t xml:space="preserve">que necesitan equipos de profesionales de alto desempeño, capaces de innovar, aprender y crear soluciones creativas e inteligentes para los problemas (Díaz-Canel y Núñez, 2020). </w:t>
      </w:r>
    </w:p>
    <w:p w:rsidR="002D2781" w:rsidRPr="002D2781" w:rsidRDefault="002D2781" w:rsidP="002D2781">
      <w:pPr>
        <w:tabs>
          <w:tab w:val="left" w:pos="18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t xml:space="preserve">No se pueden separar las competencias </w:t>
      </w:r>
      <w:proofErr w:type="spellStart"/>
      <w:r w:rsidRPr="002D2781">
        <w:rPr>
          <w:rFonts w:ascii="Times New Roman" w:hAnsi="Times New Roman" w:cs="Times New Roman"/>
          <w:spacing w:val="-10"/>
          <w:sz w:val="24"/>
          <w:szCs w:val="24"/>
        </w:rPr>
        <w:t>innovativas</w:t>
      </w:r>
      <w:proofErr w:type="spellEnd"/>
      <w:r w:rsidRPr="002D2781">
        <w:rPr>
          <w:rFonts w:ascii="Times New Roman" w:hAnsi="Times New Roman" w:cs="Times New Roman"/>
          <w:spacing w:val="-10"/>
          <w:sz w:val="24"/>
          <w:szCs w:val="24"/>
        </w:rPr>
        <w:t xml:space="preserve"> de la formación del capital humano, de la estrategia organizacional de la Educación Superior y del contenido formativo en la formación del profesional. Centraremos el trabajo en el desarrollo de competencias </w:t>
      </w:r>
      <w:proofErr w:type="spellStart"/>
      <w:r w:rsidRPr="002D2781">
        <w:rPr>
          <w:rFonts w:ascii="Times New Roman" w:hAnsi="Times New Roman" w:cs="Times New Roman"/>
          <w:spacing w:val="-10"/>
          <w:sz w:val="24"/>
          <w:szCs w:val="24"/>
        </w:rPr>
        <w:t>innovativas</w:t>
      </w:r>
      <w:proofErr w:type="spellEnd"/>
      <w:r w:rsidRPr="002D2781">
        <w:rPr>
          <w:rFonts w:ascii="Times New Roman" w:hAnsi="Times New Roman" w:cs="Times New Roman"/>
          <w:spacing w:val="-10"/>
          <w:sz w:val="24"/>
          <w:szCs w:val="24"/>
        </w:rPr>
        <w:t xml:space="preserve"> en un escenario globalizado, de cambio continuo, que intenta minimizar la diversidad y borrar improntas locales. La emergencia de la innovación local está motivada por cambios ocurridos con la globalización de la Educación Superior y sus repercusiones en las actividades profesionales y la organización del trabajo. Esos cambios han tenido gran incidencia en la formación, capacitación y gestión de Recursos Humanos. </w:t>
      </w:r>
    </w:p>
    <w:p w:rsidR="002D2781" w:rsidRDefault="002D2781" w:rsidP="002D2781">
      <w:pPr>
        <w:tabs>
          <w:tab w:val="left" w:pos="18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t>La gestión del conocimiento y la innovación no son sólo individuales. Son parte del colectivo, con mayor importancia que lo individual. Esa lógica evidencia la importancia de la innovación relacional, social y participativa, sobre la innovación técnica, metodológica o procedimental. Por ello las estrategias de desarrollo de Recursos Humanos preparan colectivos para desarrollar la innovación. El concepto de capital humano como capital intangible en la gestión estratégica da lugar a una lógica de la innovación propiciada por la globalización, que exige ser competitivos para desarrollar el país (Báez et al., 2018).</w:t>
      </w:r>
    </w:p>
    <w:p w:rsidR="002D2781" w:rsidRPr="002D2781" w:rsidRDefault="002D2781" w:rsidP="002D2781">
      <w:pPr>
        <w:tabs>
          <w:tab w:val="left" w:pos="180"/>
        </w:tabs>
        <w:spacing w:after="0" w:line="360" w:lineRule="auto"/>
        <w:jc w:val="center"/>
        <w:rPr>
          <w:rFonts w:ascii="Times New Roman" w:hAnsi="Times New Roman" w:cs="Times New Roman"/>
          <w:spacing w:val="-16"/>
          <w:sz w:val="24"/>
          <w:szCs w:val="24"/>
        </w:rPr>
      </w:pPr>
      <w:r w:rsidRPr="002D2781">
        <w:rPr>
          <w:rFonts w:ascii="Times New Roman" w:hAnsi="Times New Roman" w:cs="Times New Roman"/>
          <w:b/>
          <w:spacing w:val="-16"/>
          <w:sz w:val="24"/>
          <w:szCs w:val="24"/>
        </w:rPr>
        <w:t>Figura 2.</w:t>
      </w:r>
      <w:r w:rsidRPr="002D2781">
        <w:rPr>
          <w:rFonts w:ascii="Times New Roman" w:hAnsi="Times New Roman" w:cs="Times New Roman"/>
          <w:spacing w:val="-16"/>
          <w:sz w:val="24"/>
          <w:szCs w:val="24"/>
        </w:rPr>
        <w:t xml:space="preserve"> Modelo de Gestión del Conocimiento y la Innovación para el Desarrollo Agropecuario Local.</w:t>
      </w:r>
    </w:p>
    <w:p w:rsidR="002D2781" w:rsidRDefault="002D2781" w:rsidP="00B06BF9">
      <w:pPr>
        <w:tabs>
          <w:tab w:val="left" w:pos="18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lang w:val="en-US"/>
        </w:rPr>
        <w:drawing>
          <wp:inline distT="0" distB="0" distL="0" distR="0">
            <wp:extent cx="5399405" cy="3467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5408486" cy="3472931"/>
                    </a:xfrm>
                    <a:prstGeom prst="rect">
                      <a:avLst/>
                    </a:prstGeom>
                    <a:noFill/>
                  </pic:spPr>
                </pic:pic>
              </a:graphicData>
            </a:graphic>
          </wp:inline>
        </w:drawing>
      </w:r>
    </w:p>
    <w:p w:rsidR="002D2781" w:rsidRPr="002D2781" w:rsidRDefault="002D2781" w:rsidP="002D2781">
      <w:pPr>
        <w:tabs>
          <w:tab w:val="left" w:pos="180"/>
        </w:tabs>
        <w:spacing w:after="0" w:line="360" w:lineRule="auto"/>
        <w:jc w:val="center"/>
        <w:rPr>
          <w:rFonts w:ascii="Times New Roman" w:hAnsi="Times New Roman" w:cs="Times New Roman"/>
          <w:spacing w:val="-10"/>
          <w:sz w:val="24"/>
          <w:szCs w:val="24"/>
        </w:rPr>
      </w:pPr>
      <w:r w:rsidRPr="002D2781">
        <w:rPr>
          <w:rFonts w:ascii="Times New Roman" w:hAnsi="Times New Roman" w:cs="Times New Roman"/>
          <w:spacing w:val="-10"/>
          <w:sz w:val="24"/>
          <w:szCs w:val="24"/>
        </w:rPr>
        <w:t>Elaborado por el autor para el artículo de Báez et al. (2018)</w:t>
      </w:r>
    </w:p>
    <w:p w:rsidR="002D2781" w:rsidRPr="002D2781" w:rsidRDefault="002D2781" w:rsidP="002D2781">
      <w:pPr>
        <w:tabs>
          <w:tab w:val="left" w:pos="18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lastRenderedPageBreak/>
        <w:t>En Cuba hay ejemplos de creación de capacidades de innovación articuladas a la sociedad. Aun se observa insuficiente conexión entre universidades, entidades de ciencia e innovación y sector productivo y de servicios de los territorios. Ello limita el impacto de la innovación en el cumplimiento de los objetivos del Plan de Desarrollo Económico y Social (Díaz- Canel, 2021).</w:t>
      </w:r>
    </w:p>
    <w:p w:rsidR="002D2781" w:rsidRPr="002D2781" w:rsidRDefault="002D2781" w:rsidP="002D2781">
      <w:pPr>
        <w:tabs>
          <w:tab w:val="left" w:pos="180"/>
        </w:tabs>
        <w:spacing w:after="0" w:line="360" w:lineRule="auto"/>
        <w:jc w:val="both"/>
        <w:rPr>
          <w:rFonts w:ascii="Times New Roman" w:hAnsi="Times New Roman" w:cs="Times New Roman"/>
          <w:spacing w:val="-10"/>
          <w:sz w:val="24"/>
          <w:szCs w:val="24"/>
        </w:rPr>
      </w:pPr>
      <w:proofErr w:type="spellStart"/>
      <w:r w:rsidRPr="002D2781">
        <w:rPr>
          <w:rFonts w:ascii="Times New Roman" w:hAnsi="Times New Roman" w:cs="Times New Roman"/>
          <w:spacing w:val="-10"/>
          <w:sz w:val="24"/>
          <w:szCs w:val="24"/>
        </w:rPr>
        <w:t>Lundvall</w:t>
      </w:r>
      <w:proofErr w:type="spellEnd"/>
      <w:r w:rsidRPr="002D2781">
        <w:rPr>
          <w:rFonts w:ascii="Times New Roman" w:hAnsi="Times New Roman" w:cs="Times New Roman"/>
          <w:spacing w:val="-10"/>
          <w:sz w:val="24"/>
          <w:szCs w:val="24"/>
        </w:rPr>
        <w:t xml:space="preserve"> (2015) definió que: “Los Sistemas Nacionales de Innovación son sistemas abiertos, en evolución y complejos, que abarca instituciones y estructuras educativas y económicas. La calidad de las relaciones entre ellos, determina la velocidad y la dirección de la innovación y de la creación de competencias resultantes de una combinación del aprendizaje basado en la ciencia y en la experiencia.”</w:t>
      </w:r>
    </w:p>
    <w:p w:rsidR="002D2781" w:rsidRPr="002D2781" w:rsidRDefault="002D2781" w:rsidP="002D2781">
      <w:pPr>
        <w:tabs>
          <w:tab w:val="left" w:pos="18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t>La voluntad política del gobierno cubano es conducir el desarrollo, empleando a fondo el conocimiento y la innovación basada en los resultados de la investigación. Se precisa emplear las potencialidades de los CUM para impactar en la sociedad. Se evalúa la efectividad de la gestión del conocimiento y la innovación en la planificación estratégica del Ministerio de Educación Superior para perfeccionar la participación del MES en el Sistema de Ciencia, Tecnología e Innovación a nivel nacional, sectorial y territorial, y elevar su impacto en el desarrollo económico y social (Díaz-Canel y García, 2020).</w:t>
      </w:r>
    </w:p>
    <w:p w:rsidR="002D2781" w:rsidRPr="002D2781" w:rsidRDefault="00062275" w:rsidP="002D2781">
      <w:pPr>
        <w:tabs>
          <w:tab w:val="left" w:pos="180"/>
        </w:tabs>
        <w:spacing w:after="0" w:line="360" w:lineRule="auto"/>
        <w:jc w:val="both"/>
        <w:rPr>
          <w:rFonts w:ascii="Times New Roman" w:hAnsi="Times New Roman" w:cs="Times New Roman"/>
          <w:b/>
          <w:spacing w:val="-10"/>
          <w:sz w:val="24"/>
          <w:szCs w:val="24"/>
        </w:rPr>
      </w:pPr>
      <w:r>
        <w:rPr>
          <w:rFonts w:ascii="Times New Roman" w:hAnsi="Times New Roman" w:cs="Times New Roman"/>
          <w:b/>
          <w:spacing w:val="-10"/>
          <w:sz w:val="24"/>
          <w:szCs w:val="24"/>
        </w:rPr>
        <w:t xml:space="preserve">3.5. </w:t>
      </w:r>
      <w:r w:rsidR="002D2781" w:rsidRPr="002D2781">
        <w:rPr>
          <w:rFonts w:ascii="Times New Roman" w:hAnsi="Times New Roman" w:cs="Times New Roman"/>
          <w:b/>
          <w:spacing w:val="-10"/>
          <w:sz w:val="24"/>
          <w:szCs w:val="24"/>
        </w:rPr>
        <w:t>Ruptura de un paradigma de la producción agropecuaria con innovación.</w:t>
      </w:r>
    </w:p>
    <w:p w:rsidR="002D2781" w:rsidRPr="002D2781" w:rsidRDefault="002D2781" w:rsidP="002D2781">
      <w:pPr>
        <w:tabs>
          <w:tab w:val="left" w:pos="18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t xml:space="preserve">Estaba establecido como una regla de la Agricultura Tropical que sembrar hortalizas y vegetales fuera de los meses invernales, con temperaturas e insolación más baja, era malgastar recursos. Se había determinado que este paradigma se debía a las afectaciones de: 1. altas temperaturas, 2. elevada exposición a la radiación solar, 3. daños de plagas y enfermedades por predisposición a susceptibilidad y mayor población de insectos y microorganismos en primavera y verano, 4. sequía meteorológica y fisiológica, 5. fenómenos meteorológicos adversos como: a) huracanes, b) sequía, c) polvo del desierto de Sahara, 6. stress hídrico, 7. mayores daños post-cosecha en estas épocas de siembra, 8. poca efectividad de la polinización, 9. daños fisiológicos a la floración y fructificación por baja suma de exposición a horas luz o alta sumatoria de exposición a horas de altas temperaturas, 9. stress de asimilación de nutrientes por alta evapotranspiración, 10. bajos rendimientos por incremento del crecimiento vegetativo exacerbado ante alta radiación solar, 11. altísimos gastos de energía en el riego, 11. mayor exposición a malezas que crecen más en verano y primavera, 12. altos costos del desyerbe, 13. bajos rendimientos por susceptibilidad a todos esos factores, juntos o por separado, en las variedades comerciales disponibles, 14, excesivo costo del manejo sostenible </w:t>
      </w:r>
      <w:r w:rsidRPr="002D2781">
        <w:rPr>
          <w:rFonts w:ascii="Times New Roman" w:hAnsi="Times New Roman" w:cs="Times New Roman"/>
          <w:spacing w:val="-10"/>
          <w:sz w:val="24"/>
          <w:szCs w:val="24"/>
        </w:rPr>
        <w:lastRenderedPageBreak/>
        <w:t>de plagas y enfermedades, 15. Escasa posibilidad de aplicar una agricultura sin afectación medioambiental y otros factores limitantes (Hernández et al., 2022).</w:t>
      </w:r>
    </w:p>
    <w:p w:rsidR="002D2781" w:rsidRPr="002D2781" w:rsidRDefault="002D2781" w:rsidP="002D2781">
      <w:pPr>
        <w:tabs>
          <w:tab w:val="left" w:pos="18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t>Enfrentar este problema exigía un comportamiento emprendedor de los innovadores para lograr una solución sostenible, eficiente y eficaz. Se necesitaba resolver cada uno de los problemas por separado y, a la vez, que las soluciones, que debían aplicarse a un mismo cultivo, en el mismo espacio y momento temporal, se pudieran integrar sin anularse mutuamente (Hernández et al., 2020a).</w:t>
      </w:r>
    </w:p>
    <w:p w:rsidR="002D2781" w:rsidRPr="002D2781" w:rsidRDefault="002D2781" w:rsidP="002D2781">
      <w:pPr>
        <w:tabs>
          <w:tab w:val="left" w:pos="18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t xml:space="preserve">Se conceptualizó en la praxis agropecuaria local, que la innovación debe ser la integración de saberes y conocimiento tácito conservado por generaciones de campesinos con las tecnologías de punta generadas por la ciencia del siglo XXI. Se decidió buscar el conocimiento que resolvía cada uno de los problemas y, al mismo tiempo, integrarlo al resto de las soluciones disponibles. </w:t>
      </w:r>
    </w:p>
    <w:p w:rsidR="002D2781" w:rsidRDefault="002D2781" w:rsidP="002D2781">
      <w:pPr>
        <w:tabs>
          <w:tab w:val="left" w:pos="18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t>Se consideraron como ejes transversales al modelo de innovación que se establecía: 1, Sostenibilidad medioambiental, 2. Respeto a los saberes y la cultura productiva tradicional y espiritual de los actores agropecuarios, 3. Trabajo comunitario integrado como cualidad del desarrollo agropecuario local, 4. Comunicación social como necesidad de la innovación y 5. Generación de dinámicas liberadoras y de acceso de mujeres, ancianos, niños, adolescentes y jóvenes a espacios de innovación (Hernández et al., 2018).</w:t>
      </w:r>
    </w:p>
    <w:p w:rsidR="00062275" w:rsidRPr="00062275" w:rsidRDefault="00062275" w:rsidP="002D2781">
      <w:pPr>
        <w:tabs>
          <w:tab w:val="left" w:pos="180"/>
        </w:tabs>
        <w:spacing w:after="0" w:line="360" w:lineRule="auto"/>
        <w:jc w:val="both"/>
        <w:rPr>
          <w:rFonts w:ascii="Times New Roman" w:hAnsi="Times New Roman" w:cs="Times New Roman"/>
          <w:b/>
          <w:spacing w:val="-18"/>
          <w:sz w:val="24"/>
          <w:szCs w:val="24"/>
        </w:rPr>
      </w:pPr>
      <w:r w:rsidRPr="00062275">
        <w:rPr>
          <w:rFonts w:ascii="Times New Roman" w:hAnsi="Times New Roman" w:cs="Times New Roman"/>
          <w:b/>
          <w:spacing w:val="-18"/>
          <w:sz w:val="24"/>
          <w:szCs w:val="24"/>
        </w:rPr>
        <w:t>3.6. Integración de tecnologías para resolver un complejo problema en la praxis agropecuaria local.</w:t>
      </w:r>
    </w:p>
    <w:p w:rsidR="002D2781" w:rsidRPr="002D2781" w:rsidRDefault="002D2781" w:rsidP="002D2781">
      <w:pPr>
        <w:tabs>
          <w:tab w:val="left" w:pos="18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t>Así, se integraron un grupo tecnologías, ya probadas en otras investigaciones, para resolver los problemas que plantea la cosecha de hortalizas y vegetales en las condiciones tropicales locales</w:t>
      </w:r>
      <w:r w:rsidR="00BF6C8E">
        <w:rPr>
          <w:rFonts w:ascii="Times New Roman" w:hAnsi="Times New Roman" w:cs="Times New Roman"/>
          <w:spacing w:val="-10"/>
          <w:sz w:val="24"/>
          <w:szCs w:val="24"/>
        </w:rPr>
        <w:t xml:space="preserve"> durante todo el año</w:t>
      </w:r>
      <w:r w:rsidRPr="002D2781">
        <w:rPr>
          <w:rFonts w:ascii="Times New Roman" w:hAnsi="Times New Roman" w:cs="Times New Roman"/>
          <w:spacing w:val="-10"/>
          <w:sz w:val="24"/>
          <w:szCs w:val="24"/>
        </w:rPr>
        <w:t>.</w:t>
      </w:r>
      <w:r w:rsidR="00BF6C8E">
        <w:rPr>
          <w:rFonts w:ascii="Times New Roman" w:hAnsi="Times New Roman" w:cs="Times New Roman"/>
          <w:spacing w:val="-10"/>
          <w:sz w:val="24"/>
          <w:szCs w:val="24"/>
        </w:rPr>
        <w:t xml:space="preserve"> Este problema se ha acentuado a causa de la Crisis Ambiental y el Cambio Climático acelerado.</w:t>
      </w:r>
      <w:r w:rsidRPr="002D2781">
        <w:rPr>
          <w:rFonts w:ascii="Times New Roman" w:hAnsi="Times New Roman" w:cs="Times New Roman"/>
          <w:spacing w:val="-10"/>
          <w:sz w:val="24"/>
          <w:szCs w:val="24"/>
        </w:rPr>
        <w:t xml:space="preserve"> Las tecnologías que se integraron</w:t>
      </w:r>
      <w:r w:rsidR="00BF6C8E">
        <w:rPr>
          <w:rFonts w:ascii="Times New Roman" w:hAnsi="Times New Roman" w:cs="Times New Roman"/>
          <w:spacing w:val="-10"/>
          <w:sz w:val="24"/>
          <w:szCs w:val="24"/>
        </w:rPr>
        <w:t xml:space="preserve"> en una solución </w:t>
      </w:r>
      <w:proofErr w:type="gramStart"/>
      <w:r w:rsidR="00BF6C8E">
        <w:rPr>
          <w:rFonts w:ascii="Times New Roman" w:hAnsi="Times New Roman" w:cs="Times New Roman"/>
          <w:spacing w:val="-10"/>
          <w:sz w:val="24"/>
          <w:szCs w:val="24"/>
        </w:rPr>
        <w:t xml:space="preserve">innovadora </w:t>
      </w:r>
      <w:r w:rsidRPr="002D2781">
        <w:rPr>
          <w:rFonts w:ascii="Times New Roman" w:hAnsi="Times New Roman" w:cs="Times New Roman"/>
          <w:spacing w:val="-10"/>
          <w:sz w:val="24"/>
          <w:szCs w:val="24"/>
        </w:rPr>
        <w:t xml:space="preserve"> fueron</w:t>
      </w:r>
      <w:proofErr w:type="gramEnd"/>
      <w:r w:rsidRPr="002D2781">
        <w:rPr>
          <w:rFonts w:ascii="Times New Roman" w:hAnsi="Times New Roman" w:cs="Times New Roman"/>
          <w:spacing w:val="-10"/>
          <w:sz w:val="24"/>
          <w:szCs w:val="24"/>
        </w:rPr>
        <w:t>:</w:t>
      </w:r>
    </w:p>
    <w:p w:rsidR="002D2781" w:rsidRPr="002D2781" w:rsidRDefault="002D2781" w:rsidP="002D2781">
      <w:pPr>
        <w:tabs>
          <w:tab w:val="left" w:pos="18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t>1.</w:t>
      </w:r>
      <w:r w:rsidRPr="002D2781">
        <w:rPr>
          <w:rFonts w:ascii="Times New Roman" w:hAnsi="Times New Roman" w:cs="Times New Roman"/>
          <w:spacing w:val="-10"/>
          <w:sz w:val="24"/>
          <w:szCs w:val="24"/>
        </w:rPr>
        <w:tab/>
        <w:t xml:space="preserve">Cultivo </w:t>
      </w:r>
      <w:proofErr w:type="spellStart"/>
      <w:r w:rsidRPr="002D2781">
        <w:rPr>
          <w:rFonts w:ascii="Times New Roman" w:hAnsi="Times New Roman" w:cs="Times New Roman"/>
          <w:spacing w:val="-10"/>
          <w:sz w:val="24"/>
          <w:szCs w:val="24"/>
        </w:rPr>
        <w:t>semi</w:t>
      </w:r>
      <w:proofErr w:type="spellEnd"/>
      <w:r w:rsidRPr="002D2781">
        <w:rPr>
          <w:rFonts w:ascii="Times New Roman" w:hAnsi="Times New Roman" w:cs="Times New Roman"/>
          <w:spacing w:val="-10"/>
          <w:sz w:val="24"/>
          <w:szCs w:val="24"/>
        </w:rPr>
        <w:t>-protegido para controlar altas temperaturas y exposición a radiación solar.</w:t>
      </w:r>
    </w:p>
    <w:p w:rsidR="002D2781" w:rsidRPr="002D2781" w:rsidRDefault="002D2781" w:rsidP="002D2781">
      <w:pPr>
        <w:tabs>
          <w:tab w:val="left" w:pos="18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t>2.</w:t>
      </w:r>
      <w:r w:rsidRPr="002D2781">
        <w:rPr>
          <w:rFonts w:ascii="Times New Roman" w:hAnsi="Times New Roman" w:cs="Times New Roman"/>
          <w:spacing w:val="-10"/>
          <w:sz w:val="24"/>
          <w:szCs w:val="24"/>
        </w:rPr>
        <w:tab/>
        <w:t>Manejo Integrado de Plagas y Enfermedades (MIPE) para lograr cultivos sanos.</w:t>
      </w:r>
    </w:p>
    <w:p w:rsidR="002D2781" w:rsidRPr="002D2781" w:rsidRDefault="002D2781" w:rsidP="002D2781">
      <w:pPr>
        <w:tabs>
          <w:tab w:val="left" w:pos="18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t>3.</w:t>
      </w:r>
      <w:r w:rsidRPr="002D2781">
        <w:rPr>
          <w:rFonts w:ascii="Times New Roman" w:hAnsi="Times New Roman" w:cs="Times New Roman"/>
          <w:spacing w:val="-10"/>
          <w:sz w:val="24"/>
          <w:szCs w:val="24"/>
        </w:rPr>
        <w:tab/>
        <w:t>Siembra de variedades tolerantes o resistentes a plagas y enfermedades.</w:t>
      </w:r>
    </w:p>
    <w:p w:rsidR="002D2781" w:rsidRPr="002D2781" w:rsidRDefault="002D2781" w:rsidP="002D2781">
      <w:pPr>
        <w:tabs>
          <w:tab w:val="left" w:pos="18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t>4.</w:t>
      </w:r>
      <w:r w:rsidRPr="002D2781">
        <w:rPr>
          <w:rFonts w:ascii="Times New Roman" w:hAnsi="Times New Roman" w:cs="Times New Roman"/>
          <w:spacing w:val="-10"/>
          <w:sz w:val="24"/>
          <w:szCs w:val="24"/>
        </w:rPr>
        <w:tab/>
        <w:t>Riego localizado con tecnología micro-jet para ahorro y aprovechamiento del agua.</w:t>
      </w:r>
    </w:p>
    <w:p w:rsidR="002D2781" w:rsidRPr="002D2781" w:rsidRDefault="002D2781" w:rsidP="002D2781">
      <w:pPr>
        <w:tabs>
          <w:tab w:val="left" w:pos="18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t>5.</w:t>
      </w:r>
      <w:r w:rsidRPr="002D2781">
        <w:rPr>
          <w:rFonts w:ascii="Times New Roman" w:hAnsi="Times New Roman" w:cs="Times New Roman"/>
          <w:spacing w:val="-10"/>
          <w:sz w:val="24"/>
          <w:szCs w:val="24"/>
        </w:rPr>
        <w:tab/>
        <w:t>Bombeo eléctrico con base en tecnología de paneles solares amigable con el medio.</w:t>
      </w:r>
    </w:p>
    <w:p w:rsidR="002D2781" w:rsidRPr="002D2781" w:rsidRDefault="002D2781" w:rsidP="002D2781">
      <w:pPr>
        <w:tabs>
          <w:tab w:val="left" w:pos="18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t>6.</w:t>
      </w:r>
      <w:r w:rsidRPr="002D2781">
        <w:rPr>
          <w:rFonts w:ascii="Times New Roman" w:hAnsi="Times New Roman" w:cs="Times New Roman"/>
          <w:spacing w:val="-10"/>
          <w:sz w:val="24"/>
          <w:szCs w:val="24"/>
        </w:rPr>
        <w:tab/>
        <w:t>Variedades resistentes o tolerantes a la sequía, daños por viento y post cosecha.</w:t>
      </w:r>
    </w:p>
    <w:p w:rsidR="002D2781" w:rsidRPr="002D2781" w:rsidRDefault="002D2781" w:rsidP="002D2781">
      <w:pPr>
        <w:tabs>
          <w:tab w:val="left" w:pos="18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t>7.</w:t>
      </w:r>
      <w:r w:rsidRPr="002D2781">
        <w:rPr>
          <w:rFonts w:ascii="Times New Roman" w:hAnsi="Times New Roman" w:cs="Times New Roman"/>
          <w:spacing w:val="-10"/>
          <w:sz w:val="24"/>
          <w:szCs w:val="24"/>
        </w:rPr>
        <w:tab/>
        <w:t>Cría de abejas e insectos polinizadores autóctonos en los predios.</w:t>
      </w:r>
    </w:p>
    <w:p w:rsidR="002D2781" w:rsidRPr="002D2781" w:rsidRDefault="002D2781" w:rsidP="002D2781">
      <w:pPr>
        <w:tabs>
          <w:tab w:val="left" w:pos="18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t>8.</w:t>
      </w:r>
      <w:r w:rsidRPr="002D2781">
        <w:rPr>
          <w:rFonts w:ascii="Times New Roman" w:hAnsi="Times New Roman" w:cs="Times New Roman"/>
          <w:spacing w:val="-10"/>
          <w:sz w:val="24"/>
          <w:szCs w:val="24"/>
        </w:rPr>
        <w:tab/>
        <w:t>Variedades adaptadas a la radiación y temperaturas autóctonas.</w:t>
      </w:r>
    </w:p>
    <w:p w:rsidR="002D2781" w:rsidRPr="002D2781" w:rsidRDefault="002D2781" w:rsidP="002D2781">
      <w:pPr>
        <w:tabs>
          <w:tab w:val="left" w:pos="18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t>9.</w:t>
      </w:r>
      <w:r w:rsidRPr="002D2781">
        <w:rPr>
          <w:rFonts w:ascii="Times New Roman" w:hAnsi="Times New Roman" w:cs="Times New Roman"/>
          <w:spacing w:val="-10"/>
          <w:sz w:val="24"/>
          <w:szCs w:val="24"/>
        </w:rPr>
        <w:tab/>
        <w:t>Especies, biotipos y variedades resistentes o tolerantes a las malezas locales.</w:t>
      </w:r>
    </w:p>
    <w:p w:rsidR="002D2781" w:rsidRPr="002D2781" w:rsidRDefault="002D2781" w:rsidP="002D2781">
      <w:pPr>
        <w:tabs>
          <w:tab w:val="left" w:pos="270"/>
          <w:tab w:val="left" w:pos="36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t>10.</w:t>
      </w:r>
      <w:r w:rsidRPr="002D2781">
        <w:rPr>
          <w:rFonts w:ascii="Times New Roman" w:hAnsi="Times New Roman" w:cs="Times New Roman"/>
          <w:spacing w:val="-10"/>
          <w:sz w:val="24"/>
          <w:szCs w:val="24"/>
        </w:rPr>
        <w:tab/>
        <w:t xml:space="preserve">Laboreo mínimo y desyerbe con mini-tractores adaptados al cultivo </w:t>
      </w:r>
      <w:proofErr w:type="spellStart"/>
      <w:r w:rsidRPr="002D2781">
        <w:rPr>
          <w:rFonts w:ascii="Times New Roman" w:hAnsi="Times New Roman" w:cs="Times New Roman"/>
          <w:spacing w:val="-10"/>
          <w:sz w:val="24"/>
          <w:szCs w:val="24"/>
        </w:rPr>
        <w:t>semi</w:t>
      </w:r>
      <w:proofErr w:type="spellEnd"/>
      <w:r w:rsidRPr="002D2781">
        <w:rPr>
          <w:rFonts w:ascii="Times New Roman" w:hAnsi="Times New Roman" w:cs="Times New Roman"/>
          <w:spacing w:val="-10"/>
          <w:sz w:val="24"/>
          <w:szCs w:val="24"/>
        </w:rPr>
        <w:t>-protegido.</w:t>
      </w:r>
    </w:p>
    <w:p w:rsidR="002D2781" w:rsidRPr="002D2781" w:rsidRDefault="002D2781" w:rsidP="002D2781">
      <w:pPr>
        <w:tabs>
          <w:tab w:val="left" w:pos="270"/>
          <w:tab w:val="left" w:pos="36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lastRenderedPageBreak/>
        <w:t>11.</w:t>
      </w:r>
      <w:r w:rsidRPr="002D2781">
        <w:rPr>
          <w:rFonts w:ascii="Times New Roman" w:hAnsi="Times New Roman" w:cs="Times New Roman"/>
          <w:spacing w:val="-10"/>
          <w:sz w:val="24"/>
          <w:szCs w:val="24"/>
        </w:rPr>
        <w:tab/>
        <w:t>Mano de obra local favoreciendo a mujeres, ancianos, adolescentes y jóvenes.</w:t>
      </w:r>
    </w:p>
    <w:p w:rsidR="002D2781" w:rsidRPr="002D2781" w:rsidRDefault="002D2781" w:rsidP="002D2781">
      <w:pPr>
        <w:tabs>
          <w:tab w:val="left" w:pos="270"/>
          <w:tab w:val="left" w:pos="36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t>12.</w:t>
      </w:r>
      <w:r w:rsidRPr="002D2781">
        <w:rPr>
          <w:rFonts w:ascii="Times New Roman" w:hAnsi="Times New Roman" w:cs="Times New Roman"/>
          <w:spacing w:val="-10"/>
          <w:sz w:val="24"/>
          <w:szCs w:val="24"/>
        </w:rPr>
        <w:tab/>
        <w:t>Suministro a precio justo de alimentos a Redes de Protección Social y escuelas.</w:t>
      </w:r>
    </w:p>
    <w:p w:rsidR="002D2781" w:rsidRPr="002D2781" w:rsidRDefault="002D2781" w:rsidP="002D2781">
      <w:pPr>
        <w:tabs>
          <w:tab w:val="left" w:pos="270"/>
          <w:tab w:val="left" w:pos="36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t>13.</w:t>
      </w:r>
      <w:r w:rsidRPr="002D2781">
        <w:rPr>
          <w:rFonts w:ascii="Times New Roman" w:hAnsi="Times New Roman" w:cs="Times New Roman"/>
          <w:spacing w:val="-10"/>
          <w:sz w:val="24"/>
          <w:szCs w:val="24"/>
        </w:rPr>
        <w:tab/>
        <w:t>Tecnología de transporte de cosechas eléctrica, amigable con el medio.</w:t>
      </w:r>
    </w:p>
    <w:p w:rsidR="002D2781" w:rsidRPr="002D2781" w:rsidRDefault="002D2781" w:rsidP="002D2781">
      <w:pPr>
        <w:tabs>
          <w:tab w:val="left" w:pos="270"/>
          <w:tab w:val="left" w:pos="36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t>14.</w:t>
      </w:r>
      <w:r w:rsidRPr="002D2781">
        <w:rPr>
          <w:rFonts w:ascii="Times New Roman" w:hAnsi="Times New Roman" w:cs="Times New Roman"/>
          <w:spacing w:val="-10"/>
          <w:sz w:val="24"/>
          <w:szCs w:val="24"/>
        </w:rPr>
        <w:tab/>
        <w:t xml:space="preserve">Producción local de semillas y posturas con casas de posturas y cepellón. </w:t>
      </w:r>
    </w:p>
    <w:p w:rsidR="002D2781" w:rsidRPr="002D2781" w:rsidRDefault="002D2781" w:rsidP="002D2781">
      <w:pPr>
        <w:tabs>
          <w:tab w:val="left" w:pos="270"/>
          <w:tab w:val="left" w:pos="36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t>15.</w:t>
      </w:r>
      <w:r w:rsidRPr="002D2781">
        <w:rPr>
          <w:rFonts w:ascii="Times New Roman" w:hAnsi="Times New Roman" w:cs="Times New Roman"/>
          <w:spacing w:val="-10"/>
          <w:sz w:val="24"/>
          <w:szCs w:val="24"/>
        </w:rPr>
        <w:tab/>
        <w:t>Apoyo a Centros de Reproducción de Entomófagos y Entomopatógenos para MIPE.</w:t>
      </w:r>
    </w:p>
    <w:p w:rsidR="002D2781" w:rsidRPr="002D2781" w:rsidRDefault="002D2781" w:rsidP="002D2781">
      <w:pPr>
        <w:tabs>
          <w:tab w:val="left" w:pos="270"/>
          <w:tab w:val="left" w:pos="36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t>16.</w:t>
      </w:r>
      <w:r w:rsidRPr="002D2781">
        <w:rPr>
          <w:rFonts w:ascii="Times New Roman" w:hAnsi="Times New Roman" w:cs="Times New Roman"/>
          <w:spacing w:val="-10"/>
          <w:sz w:val="24"/>
          <w:szCs w:val="24"/>
        </w:rPr>
        <w:tab/>
        <w:t>Uso de tecnologías de mayor inclusión social y amigables con el medio ambiente.</w:t>
      </w:r>
    </w:p>
    <w:p w:rsidR="002D2781" w:rsidRPr="002D2781" w:rsidRDefault="002D2781" w:rsidP="002D2781">
      <w:pPr>
        <w:tabs>
          <w:tab w:val="left" w:pos="18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tab/>
        <w:t xml:space="preserve">En este caso de estudio la innovación consistió, entre otros emprendimientos, en integrar una serie de tecnologías ya probadas, después de adaptarlas a las condiciones locales, en un paquete tecnológico local para solucionar el complejo problema que nunca había permitido la producción de hortalizas y vegetales todo el año. Así se logró mejorar la Soberanía Agropecuaria y Nutricional (SAN) local con incremento de la calidad de vida de la población. </w:t>
      </w:r>
    </w:p>
    <w:p w:rsidR="002D2781" w:rsidRPr="002D2781" w:rsidRDefault="002D2781" w:rsidP="002D2781">
      <w:pPr>
        <w:tabs>
          <w:tab w:val="left" w:pos="18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t xml:space="preserve">     El financiamiento, muy importante en la innovación, se consiguió de una Agencia de la ONU, el Programa Mundial de Alimentos, mediante un Proyecto nombrado ProAct, para lograr resiliencia al cambio climático (ONU-Cuba, 2025). Esto se logró interesando a los financiadores en el resultado que se necesitaba introducir a la praxis e integrando esfuerzos para hacer coincidir los intereses del financiador con los de los investigadores.</w:t>
      </w:r>
    </w:p>
    <w:p w:rsidR="002D2781" w:rsidRDefault="002D2781" w:rsidP="002D2781">
      <w:pPr>
        <w:tabs>
          <w:tab w:val="left" w:pos="18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tab/>
        <w:t xml:space="preserve">Como beneficio adicional, </w:t>
      </w:r>
      <w:r w:rsidR="004C03EB">
        <w:rPr>
          <w:rFonts w:ascii="Times New Roman" w:hAnsi="Times New Roman" w:cs="Times New Roman"/>
          <w:spacing w:val="-10"/>
          <w:sz w:val="24"/>
          <w:szCs w:val="24"/>
        </w:rPr>
        <w:t xml:space="preserve">como se observa en la Tabla 2, </w:t>
      </w:r>
      <w:r w:rsidRPr="002D2781">
        <w:rPr>
          <w:rFonts w:ascii="Times New Roman" w:hAnsi="Times New Roman" w:cs="Times New Roman"/>
          <w:spacing w:val="-10"/>
          <w:sz w:val="24"/>
          <w:szCs w:val="24"/>
        </w:rPr>
        <w:t>se logró suministrar a los niños en edad escolar y los ancianos vinculados a las Redes de Protección Social los vegetales y hortalizas necesarios para complementar una dieta adecuada durante todo el año, a precio razonable, con inocuidad, variedad y disponibilidad. Esto resuelve localmente el problema de la anemia que es considerada problema de salud pública y prioridad nacional y afecta particularmente a niños de 6 a 35 meses, embarazadas y mujeres en edad fértil con una tasa de prevalencia nacional del 29,5 % (UNICEF, 2015). El 74% de la población adulta consumía menos de 3 porciones de verduras al día. En 2014, el 46 % de los niños de 6 a 23 meses de la región central no consumían una dieta suficiente tanto en diversidad como en frecuencia (MICS, 2014).</w:t>
      </w:r>
    </w:p>
    <w:p w:rsidR="00BF6C8E" w:rsidRDefault="004C03EB" w:rsidP="004C03EB">
      <w:pPr>
        <w:tabs>
          <w:tab w:val="left" w:pos="180"/>
        </w:tabs>
        <w:spacing w:after="0" w:line="360" w:lineRule="auto"/>
        <w:jc w:val="center"/>
        <w:rPr>
          <w:rFonts w:ascii="Times New Roman" w:hAnsi="Times New Roman" w:cs="Times New Roman"/>
          <w:spacing w:val="-10"/>
          <w:sz w:val="24"/>
          <w:szCs w:val="24"/>
        </w:rPr>
      </w:pPr>
      <w:r w:rsidRPr="004C03EB">
        <w:rPr>
          <w:rFonts w:ascii="Times New Roman" w:hAnsi="Times New Roman" w:cs="Times New Roman"/>
          <w:b/>
          <w:spacing w:val="-10"/>
          <w:sz w:val="24"/>
          <w:szCs w:val="24"/>
        </w:rPr>
        <w:t>Tabla 2.</w:t>
      </w:r>
      <w:r w:rsidRPr="004C03EB">
        <w:rPr>
          <w:rFonts w:ascii="Times New Roman" w:hAnsi="Times New Roman" w:cs="Times New Roman"/>
          <w:spacing w:val="-10"/>
          <w:sz w:val="24"/>
          <w:szCs w:val="24"/>
        </w:rPr>
        <w:t xml:space="preserve"> Impactos del proyecto en el suministro de hortalizas y vegetales a escuelas y círculos Infantiles en 7 municipios de Villa Clara.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1224"/>
        <w:gridCol w:w="1276"/>
        <w:gridCol w:w="1449"/>
        <w:gridCol w:w="1185"/>
        <w:gridCol w:w="1382"/>
      </w:tblGrid>
      <w:tr w:rsidR="004C03EB" w:rsidRPr="004C03EB" w:rsidTr="00C86B13">
        <w:trPr>
          <w:jc w:val="center"/>
        </w:trPr>
        <w:tc>
          <w:tcPr>
            <w:tcW w:w="1467" w:type="dxa"/>
            <w:shd w:val="clear" w:color="auto" w:fill="auto"/>
          </w:tcPr>
          <w:p w:rsidR="004C03EB" w:rsidRPr="004C03EB" w:rsidRDefault="004C03EB" w:rsidP="004C03EB">
            <w:pPr>
              <w:spacing w:after="0" w:line="220" w:lineRule="exact"/>
              <w:jc w:val="both"/>
              <w:rPr>
                <w:rFonts w:ascii="Times New Roman" w:hAnsi="Times New Roman" w:cs="Times New Roman"/>
                <w:b/>
                <w:spacing w:val="-10"/>
                <w:sz w:val="24"/>
                <w:szCs w:val="24"/>
              </w:rPr>
            </w:pPr>
            <w:r w:rsidRPr="004C03EB">
              <w:rPr>
                <w:rFonts w:ascii="Times New Roman" w:hAnsi="Times New Roman" w:cs="Times New Roman"/>
                <w:b/>
                <w:spacing w:val="-10"/>
                <w:sz w:val="24"/>
                <w:szCs w:val="24"/>
              </w:rPr>
              <w:t>Municipio</w:t>
            </w:r>
          </w:p>
        </w:tc>
        <w:tc>
          <w:tcPr>
            <w:tcW w:w="1224" w:type="dxa"/>
            <w:shd w:val="clear" w:color="auto" w:fill="auto"/>
          </w:tcPr>
          <w:p w:rsidR="004C03EB" w:rsidRPr="004C03EB" w:rsidRDefault="004C03EB" w:rsidP="004C03EB">
            <w:pPr>
              <w:spacing w:after="0" w:line="220" w:lineRule="exact"/>
              <w:jc w:val="center"/>
              <w:rPr>
                <w:rFonts w:ascii="Times New Roman" w:hAnsi="Times New Roman" w:cs="Times New Roman"/>
                <w:b/>
                <w:spacing w:val="-10"/>
                <w:sz w:val="24"/>
                <w:szCs w:val="24"/>
              </w:rPr>
            </w:pPr>
            <w:r w:rsidRPr="004C03EB">
              <w:rPr>
                <w:rFonts w:ascii="Times New Roman" w:hAnsi="Times New Roman" w:cs="Times New Roman"/>
                <w:b/>
                <w:spacing w:val="-10"/>
                <w:sz w:val="24"/>
                <w:szCs w:val="24"/>
              </w:rPr>
              <w:t>Escuelas</w:t>
            </w:r>
          </w:p>
        </w:tc>
        <w:tc>
          <w:tcPr>
            <w:tcW w:w="1276" w:type="dxa"/>
            <w:shd w:val="clear" w:color="auto" w:fill="auto"/>
          </w:tcPr>
          <w:p w:rsidR="004C03EB" w:rsidRPr="004C03EB" w:rsidRDefault="004C03EB" w:rsidP="004C03EB">
            <w:pPr>
              <w:spacing w:after="0" w:line="220" w:lineRule="exact"/>
              <w:jc w:val="center"/>
              <w:rPr>
                <w:rFonts w:ascii="Times New Roman" w:hAnsi="Times New Roman" w:cs="Times New Roman"/>
                <w:b/>
                <w:spacing w:val="-10"/>
                <w:sz w:val="24"/>
                <w:szCs w:val="24"/>
              </w:rPr>
            </w:pPr>
            <w:r w:rsidRPr="004C03EB">
              <w:rPr>
                <w:rFonts w:ascii="Times New Roman" w:hAnsi="Times New Roman" w:cs="Times New Roman"/>
                <w:b/>
                <w:spacing w:val="-10"/>
                <w:sz w:val="24"/>
                <w:szCs w:val="24"/>
              </w:rPr>
              <w:t>Círculos</w:t>
            </w:r>
          </w:p>
        </w:tc>
        <w:tc>
          <w:tcPr>
            <w:tcW w:w="1449" w:type="dxa"/>
            <w:shd w:val="clear" w:color="auto" w:fill="auto"/>
          </w:tcPr>
          <w:p w:rsidR="004C03EB" w:rsidRPr="004C03EB" w:rsidRDefault="004C03EB" w:rsidP="004C03EB">
            <w:pPr>
              <w:spacing w:after="0" w:line="220" w:lineRule="exact"/>
              <w:jc w:val="center"/>
              <w:rPr>
                <w:rFonts w:ascii="Times New Roman" w:hAnsi="Times New Roman" w:cs="Times New Roman"/>
                <w:b/>
                <w:spacing w:val="-10"/>
                <w:sz w:val="24"/>
                <w:szCs w:val="24"/>
              </w:rPr>
            </w:pPr>
            <w:r w:rsidRPr="004C03EB">
              <w:rPr>
                <w:rFonts w:ascii="Times New Roman" w:hAnsi="Times New Roman" w:cs="Times New Roman"/>
                <w:b/>
                <w:spacing w:val="-10"/>
                <w:sz w:val="24"/>
                <w:szCs w:val="24"/>
              </w:rPr>
              <w:t>Beneficiados</w:t>
            </w:r>
          </w:p>
        </w:tc>
        <w:tc>
          <w:tcPr>
            <w:tcW w:w="1185" w:type="dxa"/>
            <w:shd w:val="clear" w:color="auto" w:fill="auto"/>
          </w:tcPr>
          <w:p w:rsidR="004C03EB" w:rsidRPr="004C03EB" w:rsidRDefault="004C03EB" w:rsidP="004C03EB">
            <w:pPr>
              <w:spacing w:after="0" w:line="220" w:lineRule="exact"/>
              <w:jc w:val="center"/>
              <w:rPr>
                <w:rFonts w:ascii="Times New Roman" w:hAnsi="Times New Roman" w:cs="Times New Roman"/>
                <w:b/>
                <w:spacing w:val="-10"/>
                <w:sz w:val="24"/>
                <w:szCs w:val="24"/>
              </w:rPr>
            </w:pPr>
            <w:r w:rsidRPr="004C03EB">
              <w:rPr>
                <w:rFonts w:ascii="Times New Roman" w:hAnsi="Times New Roman" w:cs="Times New Roman"/>
                <w:b/>
                <w:spacing w:val="-10"/>
                <w:sz w:val="24"/>
                <w:szCs w:val="24"/>
              </w:rPr>
              <w:t>Variedad</w:t>
            </w:r>
          </w:p>
        </w:tc>
        <w:tc>
          <w:tcPr>
            <w:tcW w:w="1382" w:type="dxa"/>
            <w:shd w:val="clear" w:color="auto" w:fill="auto"/>
          </w:tcPr>
          <w:p w:rsidR="004C03EB" w:rsidRPr="004C03EB" w:rsidRDefault="004C03EB" w:rsidP="004C03EB">
            <w:pPr>
              <w:spacing w:after="0" w:line="220" w:lineRule="exact"/>
              <w:jc w:val="center"/>
              <w:rPr>
                <w:rFonts w:ascii="Times New Roman" w:hAnsi="Times New Roman" w:cs="Times New Roman"/>
                <w:b/>
                <w:spacing w:val="-10"/>
                <w:sz w:val="24"/>
                <w:szCs w:val="24"/>
              </w:rPr>
            </w:pPr>
            <w:r w:rsidRPr="004C03EB">
              <w:rPr>
                <w:rFonts w:ascii="Times New Roman" w:hAnsi="Times New Roman" w:cs="Times New Roman"/>
                <w:b/>
                <w:spacing w:val="-10"/>
                <w:sz w:val="24"/>
                <w:szCs w:val="24"/>
              </w:rPr>
              <w:t>Oferta (kg.)</w:t>
            </w:r>
          </w:p>
        </w:tc>
      </w:tr>
      <w:tr w:rsidR="004C03EB" w:rsidRPr="00934B7C" w:rsidTr="00C86B13">
        <w:trPr>
          <w:jc w:val="center"/>
        </w:trPr>
        <w:tc>
          <w:tcPr>
            <w:tcW w:w="1467" w:type="dxa"/>
            <w:shd w:val="clear" w:color="auto" w:fill="auto"/>
          </w:tcPr>
          <w:p w:rsidR="004C03EB" w:rsidRPr="004C03EB" w:rsidRDefault="004C03EB" w:rsidP="004C03EB">
            <w:pPr>
              <w:spacing w:after="0" w:line="220" w:lineRule="exact"/>
              <w:jc w:val="both"/>
              <w:rPr>
                <w:rFonts w:ascii="Times New Roman" w:hAnsi="Times New Roman" w:cs="Times New Roman"/>
                <w:b/>
                <w:spacing w:val="-10"/>
                <w:sz w:val="24"/>
                <w:szCs w:val="24"/>
              </w:rPr>
            </w:pPr>
            <w:r w:rsidRPr="004C03EB">
              <w:rPr>
                <w:rFonts w:ascii="Times New Roman" w:hAnsi="Times New Roman" w:cs="Times New Roman"/>
                <w:b/>
                <w:spacing w:val="-10"/>
                <w:sz w:val="24"/>
                <w:szCs w:val="24"/>
              </w:rPr>
              <w:t>Encrucijada</w:t>
            </w:r>
          </w:p>
        </w:tc>
        <w:tc>
          <w:tcPr>
            <w:tcW w:w="1224"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8 (1136)</w:t>
            </w:r>
          </w:p>
        </w:tc>
        <w:tc>
          <w:tcPr>
            <w:tcW w:w="1276"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2 (185)</w:t>
            </w:r>
          </w:p>
        </w:tc>
        <w:tc>
          <w:tcPr>
            <w:tcW w:w="1449"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1 311</w:t>
            </w:r>
          </w:p>
        </w:tc>
        <w:tc>
          <w:tcPr>
            <w:tcW w:w="1185"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11</w:t>
            </w:r>
          </w:p>
        </w:tc>
        <w:tc>
          <w:tcPr>
            <w:tcW w:w="1382"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21 489,48</w:t>
            </w:r>
          </w:p>
        </w:tc>
      </w:tr>
      <w:tr w:rsidR="004C03EB" w:rsidRPr="00934B7C" w:rsidTr="00C86B13">
        <w:trPr>
          <w:jc w:val="center"/>
        </w:trPr>
        <w:tc>
          <w:tcPr>
            <w:tcW w:w="1467" w:type="dxa"/>
            <w:shd w:val="clear" w:color="auto" w:fill="auto"/>
          </w:tcPr>
          <w:p w:rsidR="004C03EB" w:rsidRPr="004C03EB" w:rsidRDefault="004C03EB" w:rsidP="004C03EB">
            <w:pPr>
              <w:spacing w:after="0" w:line="220" w:lineRule="exact"/>
              <w:jc w:val="both"/>
              <w:rPr>
                <w:rFonts w:ascii="Times New Roman" w:hAnsi="Times New Roman" w:cs="Times New Roman"/>
                <w:b/>
                <w:spacing w:val="-10"/>
                <w:sz w:val="24"/>
                <w:szCs w:val="24"/>
              </w:rPr>
            </w:pPr>
            <w:r w:rsidRPr="004C03EB">
              <w:rPr>
                <w:rFonts w:ascii="Times New Roman" w:hAnsi="Times New Roman" w:cs="Times New Roman"/>
                <w:b/>
                <w:spacing w:val="-10"/>
                <w:sz w:val="24"/>
                <w:szCs w:val="24"/>
              </w:rPr>
              <w:t>Corralillo</w:t>
            </w:r>
          </w:p>
        </w:tc>
        <w:tc>
          <w:tcPr>
            <w:tcW w:w="1224"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4 (355)</w:t>
            </w:r>
          </w:p>
        </w:tc>
        <w:tc>
          <w:tcPr>
            <w:tcW w:w="1276"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1 (42)</w:t>
            </w:r>
          </w:p>
        </w:tc>
        <w:tc>
          <w:tcPr>
            <w:tcW w:w="1449"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379</w:t>
            </w:r>
          </w:p>
        </w:tc>
        <w:tc>
          <w:tcPr>
            <w:tcW w:w="1185"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9</w:t>
            </w:r>
          </w:p>
        </w:tc>
        <w:tc>
          <w:tcPr>
            <w:tcW w:w="1382"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761,90</w:t>
            </w:r>
          </w:p>
        </w:tc>
      </w:tr>
      <w:tr w:rsidR="004C03EB" w:rsidRPr="00934B7C" w:rsidTr="00C86B13">
        <w:trPr>
          <w:jc w:val="center"/>
        </w:trPr>
        <w:tc>
          <w:tcPr>
            <w:tcW w:w="1467" w:type="dxa"/>
            <w:shd w:val="clear" w:color="auto" w:fill="auto"/>
          </w:tcPr>
          <w:p w:rsidR="004C03EB" w:rsidRPr="004C03EB" w:rsidRDefault="004C03EB" w:rsidP="004C03EB">
            <w:pPr>
              <w:spacing w:after="0" w:line="220" w:lineRule="exact"/>
              <w:jc w:val="both"/>
              <w:rPr>
                <w:rFonts w:ascii="Times New Roman" w:hAnsi="Times New Roman" w:cs="Times New Roman"/>
                <w:b/>
                <w:spacing w:val="-10"/>
                <w:sz w:val="24"/>
                <w:szCs w:val="24"/>
              </w:rPr>
            </w:pPr>
            <w:r w:rsidRPr="004C03EB">
              <w:rPr>
                <w:rFonts w:ascii="Times New Roman" w:hAnsi="Times New Roman" w:cs="Times New Roman"/>
                <w:b/>
                <w:spacing w:val="-10"/>
                <w:sz w:val="24"/>
                <w:szCs w:val="24"/>
              </w:rPr>
              <w:t>Remedios</w:t>
            </w:r>
          </w:p>
        </w:tc>
        <w:tc>
          <w:tcPr>
            <w:tcW w:w="1224"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9 (950)</w:t>
            </w:r>
          </w:p>
        </w:tc>
        <w:tc>
          <w:tcPr>
            <w:tcW w:w="1276"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1 (231)</w:t>
            </w:r>
          </w:p>
        </w:tc>
        <w:tc>
          <w:tcPr>
            <w:tcW w:w="1449"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1 181</w:t>
            </w:r>
          </w:p>
        </w:tc>
        <w:tc>
          <w:tcPr>
            <w:tcW w:w="1185"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13</w:t>
            </w:r>
          </w:p>
        </w:tc>
        <w:tc>
          <w:tcPr>
            <w:tcW w:w="1382"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63 136,00</w:t>
            </w:r>
          </w:p>
        </w:tc>
      </w:tr>
      <w:tr w:rsidR="004C03EB" w:rsidRPr="00934B7C" w:rsidTr="00C86B13">
        <w:trPr>
          <w:jc w:val="center"/>
        </w:trPr>
        <w:tc>
          <w:tcPr>
            <w:tcW w:w="1467" w:type="dxa"/>
            <w:shd w:val="clear" w:color="auto" w:fill="auto"/>
          </w:tcPr>
          <w:p w:rsidR="004C03EB" w:rsidRPr="004C03EB" w:rsidRDefault="004C03EB" w:rsidP="004C03EB">
            <w:pPr>
              <w:spacing w:after="0" w:line="220" w:lineRule="exact"/>
              <w:jc w:val="both"/>
              <w:rPr>
                <w:rFonts w:ascii="Times New Roman" w:hAnsi="Times New Roman" w:cs="Times New Roman"/>
                <w:b/>
                <w:spacing w:val="-10"/>
                <w:sz w:val="24"/>
                <w:szCs w:val="24"/>
              </w:rPr>
            </w:pPr>
            <w:r w:rsidRPr="004C03EB">
              <w:rPr>
                <w:rFonts w:ascii="Times New Roman" w:hAnsi="Times New Roman" w:cs="Times New Roman"/>
                <w:b/>
                <w:spacing w:val="-10"/>
                <w:sz w:val="24"/>
                <w:szCs w:val="24"/>
              </w:rPr>
              <w:t>Camajuaní</w:t>
            </w:r>
          </w:p>
        </w:tc>
        <w:tc>
          <w:tcPr>
            <w:tcW w:w="1224"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6 (1177)</w:t>
            </w:r>
          </w:p>
        </w:tc>
        <w:tc>
          <w:tcPr>
            <w:tcW w:w="1276"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2 (289)</w:t>
            </w:r>
          </w:p>
        </w:tc>
        <w:tc>
          <w:tcPr>
            <w:tcW w:w="1449"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1 466</w:t>
            </w:r>
          </w:p>
        </w:tc>
        <w:tc>
          <w:tcPr>
            <w:tcW w:w="1185"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10</w:t>
            </w:r>
          </w:p>
        </w:tc>
        <w:tc>
          <w:tcPr>
            <w:tcW w:w="1382"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33 024,00</w:t>
            </w:r>
          </w:p>
        </w:tc>
      </w:tr>
      <w:tr w:rsidR="004C03EB" w:rsidRPr="00934B7C" w:rsidTr="00C86B13">
        <w:trPr>
          <w:jc w:val="center"/>
        </w:trPr>
        <w:tc>
          <w:tcPr>
            <w:tcW w:w="1467" w:type="dxa"/>
            <w:shd w:val="clear" w:color="auto" w:fill="auto"/>
          </w:tcPr>
          <w:p w:rsidR="004C03EB" w:rsidRPr="004C03EB" w:rsidRDefault="004C03EB" w:rsidP="004C03EB">
            <w:pPr>
              <w:spacing w:after="0" w:line="220" w:lineRule="exact"/>
              <w:jc w:val="both"/>
              <w:rPr>
                <w:rFonts w:ascii="Times New Roman" w:hAnsi="Times New Roman" w:cs="Times New Roman"/>
                <w:b/>
                <w:spacing w:val="-10"/>
                <w:sz w:val="24"/>
                <w:szCs w:val="24"/>
              </w:rPr>
            </w:pPr>
            <w:r w:rsidRPr="004C03EB">
              <w:rPr>
                <w:rFonts w:ascii="Times New Roman" w:hAnsi="Times New Roman" w:cs="Times New Roman"/>
                <w:b/>
                <w:spacing w:val="-10"/>
                <w:sz w:val="24"/>
                <w:szCs w:val="24"/>
              </w:rPr>
              <w:t>Caibarién</w:t>
            </w:r>
          </w:p>
        </w:tc>
        <w:tc>
          <w:tcPr>
            <w:tcW w:w="1224"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4 (323)</w:t>
            </w:r>
          </w:p>
        </w:tc>
        <w:tc>
          <w:tcPr>
            <w:tcW w:w="1276"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2 (275)</w:t>
            </w:r>
          </w:p>
        </w:tc>
        <w:tc>
          <w:tcPr>
            <w:tcW w:w="1449"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598</w:t>
            </w:r>
          </w:p>
        </w:tc>
        <w:tc>
          <w:tcPr>
            <w:tcW w:w="1185"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14</w:t>
            </w:r>
          </w:p>
        </w:tc>
        <w:tc>
          <w:tcPr>
            <w:tcW w:w="1382"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9 438,70</w:t>
            </w:r>
          </w:p>
        </w:tc>
      </w:tr>
      <w:tr w:rsidR="004C03EB" w:rsidRPr="00934B7C" w:rsidTr="00C86B13">
        <w:trPr>
          <w:jc w:val="center"/>
        </w:trPr>
        <w:tc>
          <w:tcPr>
            <w:tcW w:w="1467" w:type="dxa"/>
            <w:shd w:val="clear" w:color="auto" w:fill="auto"/>
          </w:tcPr>
          <w:p w:rsidR="004C03EB" w:rsidRPr="004C03EB" w:rsidRDefault="004C03EB" w:rsidP="004C03EB">
            <w:pPr>
              <w:spacing w:after="0" w:line="220" w:lineRule="exact"/>
              <w:jc w:val="both"/>
              <w:rPr>
                <w:rFonts w:ascii="Times New Roman" w:hAnsi="Times New Roman" w:cs="Times New Roman"/>
                <w:b/>
                <w:spacing w:val="-10"/>
                <w:sz w:val="24"/>
                <w:szCs w:val="24"/>
              </w:rPr>
            </w:pPr>
            <w:r w:rsidRPr="004C03EB">
              <w:rPr>
                <w:rFonts w:ascii="Times New Roman" w:hAnsi="Times New Roman" w:cs="Times New Roman"/>
                <w:b/>
                <w:spacing w:val="-10"/>
                <w:sz w:val="24"/>
                <w:szCs w:val="24"/>
              </w:rPr>
              <w:t>Quemado</w:t>
            </w:r>
          </w:p>
        </w:tc>
        <w:tc>
          <w:tcPr>
            <w:tcW w:w="1224"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2 (198)</w:t>
            </w:r>
          </w:p>
        </w:tc>
        <w:tc>
          <w:tcPr>
            <w:tcW w:w="1276"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1 (63)</w:t>
            </w:r>
          </w:p>
        </w:tc>
        <w:tc>
          <w:tcPr>
            <w:tcW w:w="1449"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261</w:t>
            </w:r>
          </w:p>
        </w:tc>
        <w:tc>
          <w:tcPr>
            <w:tcW w:w="1185"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8</w:t>
            </w:r>
          </w:p>
        </w:tc>
        <w:tc>
          <w:tcPr>
            <w:tcW w:w="1382"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14 779,42</w:t>
            </w:r>
          </w:p>
        </w:tc>
      </w:tr>
      <w:tr w:rsidR="004C03EB" w:rsidRPr="00934B7C" w:rsidTr="00C86B13">
        <w:trPr>
          <w:jc w:val="center"/>
        </w:trPr>
        <w:tc>
          <w:tcPr>
            <w:tcW w:w="1467" w:type="dxa"/>
            <w:shd w:val="clear" w:color="auto" w:fill="auto"/>
          </w:tcPr>
          <w:p w:rsidR="004C03EB" w:rsidRPr="004C03EB" w:rsidRDefault="004C03EB" w:rsidP="004C03EB">
            <w:pPr>
              <w:spacing w:after="0" w:line="220" w:lineRule="exact"/>
              <w:jc w:val="both"/>
              <w:rPr>
                <w:rFonts w:ascii="Times New Roman" w:hAnsi="Times New Roman" w:cs="Times New Roman"/>
                <w:b/>
                <w:spacing w:val="-10"/>
                <w:sz w:val="24"/>
                <w:szCs w:val="24"/>
              </w:rPr>
            </w:pPr>
            <w:r w:rsidRPr="004C03EB">
              <w:rPr>
                <w:rFonts w:ascii="Times New Roman" w:hAnsi="Times New Roman" w:cs="Times New Roman"/>
                <w:b/>
                <w:spacing w:val="-10"/>
                <w:sz w:val="24"/>
                <w:szCs w:val="24"/>
              </w:rPr>
              <w:t>Sagua</w:t>
            </w:r>
          </w:p>
        </w:tc>
        <w:tc>
          <w:tcPr>
            <w:tcW w:w="1224"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3 (242)</w:t>
            </w:r>
          </w:p>
        </w:tc>
        <w:tc>
          <w:tcPr>
            <w:tcW w:w="1276"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5 (725)</w:t>
            </w:r>
          </w:p>
        </w:tc>
        <w:tc>
          <w:tcPr>
            <w:tcW w:w="1449"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967</w:t>
            </w:r>
          </w:p>
        </w:tc>
        <w:tc>
          <w:tcPr>
            <w:tcW w:w="1185"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13</w:t>
            </w:r>
          </w:p>
        </w:tc>
        <w:tc>
          <w:tcPr>
            <w:tcW w:w="1382" w:type="dxa"/>
            <w:shd w:val="clear" w:color="auto" w:fill="auto"/>
          </w:tcPr>
          <w:p w:rsidR="004C03EB" w:rsidRPr="004C03EB" w:rsidRDefault="004C03EB" w:rsidP="004C03EB">
            <w:pPr>
              <w:spacing w:after="0" w:line="220" w:lineRule="exact"/>
              <w:jc w:val="center"/>
              <w:rPr>
                <w:rFonts w:ascii="Times New Roman" w:hAnsi="Times New Roman" w:cs="Times New Roman"/>
                <w:spacing w:val="-10"/>
                <w:sz w:val="24"/>
                <w:szCs w:val="24"/>
              </w:rPr>
            </w:pPr>
            <w:r w:rsidRPr="004C03EB">
              <w:rPr>
                <w:rFonts w:ascii="Times New Roman" w:hAnsi="Times New Roman" w:cs="Times New Roman"/>
                <w:spacing w:val="-10"/>
                <w:sz w:val="24"/>
                <w:szCs w:val="24"/>
              </w:rPr>
              <w:t>67 200,00</w:t>
            </w:r>
          </w:p>
        </w:tc>
      </w:tr>
      <w:tr w:rsidR="004C03EB" w:rsidRPr="00934B7C" w:rsidTr="00C86B13">
        <w:trPr>
          <w:jc w:val="center"/>
        </w:trPr>
        <w:tc>
          <w:tcPr>
            <w:tcW w:w="1467" w:type="dxa"/>
            <w:shd w:val="clear" w:color="auto" w:fill="auto"/>
          </w:tcPr>
          <w:p w:rsidR="004C03EB" w:rsidRPr="004C03EB" w:rsidRDefault="004C03EB" w:rsidP="004C03EB">
            <w:pPr>
              <w:spacing w:after="0" w:line="220" w:lineRule="exact"/>
              <w:jc w:val="both"/>
              <w:rPr>
                <w:rFonts w:ascii="Times New Roman" w:hAnsi="Times New Roman" w:cs="Times New Roman"/>
                <w:b/>
                <w:spacing w:val="-10"/>
                <w:sz w:val="24"/>
                <w:szCs w:val="24"/>
              </w:rPr>
            </w:pPr>
            <w:r w:rsidRPr="004C03EB">
              <w:rPr>
                <w:rFonts w:ascii="Times New Roman" w:hAnsi="Times New Roman" w:cs="Times New Roman"/>
                <w:b/>
                <w:spacing w:val="-10"/>
                <w:sz w:val="24"/>
                <w:szCs w:val="24"/>
              </w:rPr>
              <w:t>Total</w:t>
            </w:r>
          </w:p>
        </w:tc>
        <w:tc>
          <w:tcPr>
            <w:tcW w:w="1224" w:type="dxa"/>
            <w:shd w:val="clear" w:color="auto" w:fill="auto"/>
          </w:tcPr>
          <w:p w:rsidR="004C03EB" w:rsidRPr="004C03EB" w:rsidRDefault="004C03EB" w:rsidP="004C03EB">
            <w:pPr>
              <w:spacing w:after="0" w:line="220" w:lineRule="exact"/>
              <w:jc w:val="center"/>
              <w:rPr>
                <w:rFonts w:ascii="Times New Roman" w:hAnsi="Times New Roman" w:cs="Times New Roman"/>
                <w:b/>
                <w:spacing w:val="-10"/>
                <w:sz w:val="24"/>
                <w:szCs w:val="24"/>
              </w:rPr>
            </w:pPr>
            <w:r w:rsidRPr="004C03EB">
              <w:rPr>
                <w:rFonts w:ascii="Times New Roman" w:hAnsi="Times New Roman" w:cs="Times New Roman"/>
                <w:b/>
                <w:spacing w:val="-10"/>
                <w:sz w:val="24"/>
                <w:szCs w:val="24"/>
              </w:rPr>
              <w:t>36 (4 561)</w:t>
            </w:r>
          </w:p>
        </w:tc>
        <w:tc>
          <w:tcPr>
            <w:tcW w:w="1276" w:type="dxa"/>
            <w:shd w:val="clear" w:color="auto" w:fill="auto"/>
          </w:tcPr>
          <w:p w:rsidR="004C03EB" w:rsidRPr="004C03EB" w:rsidRDefault="004C03EB" w:rsidP="004C03EB">
            <w:pPr>
              <w:spacing w:after="0" w:line="220" w:lineRule="exact"/>
              <w:jc w:val="center"/>
              <w:rPr>
                <w:rFonts w:ascii="Times New Roman" w:hAnsi="Times New Roman" w:cs="Times New Roman"/>
                <w:b/>
                <w:spacing w:val="-10"/>
                <w:sz w:val="24"/>
                <w:szCs w:val="24"/>
              </w:rPr>
            </w:pPr>
            <w:r w:rsidRPr="004C03EB">
              <w:rPr>
                <w:rFonts w:ascii="Times New Roman" w:hAnsi="Times New Roman" w:cs="Times New Roman"/>
                <w:b/>
                <w:spacing w:val="-10"/>
                <w:sz w:val="24"/>
                <w:szCs w:val="24"/>
              </w:rPr>
              <w:t>14 (1810)</w:t>
            </w:r>
          </w:p>
        </w:tc>
        <w:tc>
          <w:tcPr>
            <w:tcW w:w="1449" w:type="dxa"/>
            <w:shd w:val="clear" w:color="auto" w:fill="auto"/>
          </w:tcPr>
          <w:p w:rsidR="004C03EB" w:rsidRPr="004C03EB" w:rsidRDefault="004C03EB" w:rsidP="004C03EB">
            <w:pPr>
              <w:spacing w:after="0" w:line="220" w:lineRule="exact"/>
              <w:jc w:val="center"/>
              <w:rPr>
                <w:rFonts w:ascii="Times New Roman" w:hAnsi="Times New Roman" w:cs="Times New Roman"/>
                <w:b/>
                <w:spacing w:val="-10"/>
                <w:sz w:val="24"/>
                <w:szCs w:val="24"/>
              </w:rPr>
            </w:pPr>
            <w:r w:rsidRPr="004C03EB">
              <w:rPr>
                <w:rFonts w:ascii="Times New Roman" w:hAnsi="Times New Roman" w:cs="Times New Roman"/>
                <w:b/>
                <w:spacing w:val="-10"/>
                <w:sz w:val="24"/>
                <w:szCs w:val="24"/>
              </w:rPr>
              <w:t>5 983</w:t>
            </w:r>
          </w:p>
        </w:tc>
        <w:tc>
          <w:tcPr>
            <w:tcW w:w="1185" w:type="dxa"/>
            <w:shd w:val="clear" w:color="auto" w:fill="auto"/>
          </w:tcPr>
          <w:p w:rsidR="004C03EB" w:rsidRPr="004C03EB" w:rsidRDefault="004C03EB" w:rsidP="004C03EB">
            <w:pPr>
              <w:spacing w:after="0" w:line="220" w:lineRule="exact"/>
              <w:jc w:val="center"/>
              <w:rPr>
                <w:rFonts w:ascii="Times New Roman" w:hAnsi="Times New Roman" w:cs="Times New Roman"/>
                <w:b/>
                <w:spacing w:val="-10"/>
                <w:sz w:val="24"/>
                <w:szCs w:val="24"/>
              </w:rPr>
            </w:pPr>
            <w:r w:rsidRPr="004C03EB">
              <w:rPr>
                <w:rFonts w:ascii="Times New Roman" w:hAnsi="Times New Roman" w:cs="Times New Roman"/>
                <w:b/>
                <w:spacing w:val="-10"/>
                <w:sz w:val="24"/>
                <w:szCs w:val="24"/>
              </w:rPr>
              <w:t>78</w:t>
            </w:r>
          </w:p>
        </w:tc>
        <w:tc>
          <w:tcPr>
            <w:tcW w:w="1382" w:type="dxa"/>
            <w:shd w:val="clear" w:color="auto" w:fill="auto"/>
          </w:tcPr>
          <w:p w:rsidR="004C03EB" w:rsidRPr="004C03EB" w:rsidRDefault="004C03EB" w:rsidP="004C03EB">
            <w:pPr>
              <w:spacing w:after="0" w:line="220" w:lineRule="exact"/>
              <w:jc w:val="center"/>
              <w:rPr>
                <w:rFonts w:ascii="Times New Roman" w:hAnsi="Times New Roman" w:cs="Times New Roman"/>
                <w:b/>
                <w:spacing w:val="-10"/>
                <w:sz w:val="24"/>
                <w:szCs w:val="24"/>
              </w:rPr>
            </w:pPr>
            <w:r w:rsidRPr="004C03EB">
              <w:rPr>
                <w:rFonts w:ascii="Times New Roman" w:hAnsi="Times New Roman" w:cs="Times New Roman"/>
                <w:b/>
                <w:spacing w:val="-10"/>
                <w:sz w:val="24"/>
                <w:szCs w:val="24"/>
              </w:rPr>
              <w:t>209 829,50</w:t>
            </w:r>
          </w:p>
        </w:tc>
      </w:tr>
    </w:tbl>
    <w:p w:rsidR="004C03EB" w:rsidRPr="002D2781" w:rsidRDefault="004C03EB" w:rsidP="004C03EB">
      <w:pPr>
        <w:tabs>
          <w:tab w:val="left" w:pos="180"/>
        </w:tabs>
        <w:spacing w:after="0" w:line="360" w:lineRule="auto"/>
        <w:jc w:val="center"/>
        <w:rPr>
          <w:rFonts w:ascii="Times New Roman" w:hAnsi="Times New Roman" w:cs="Times New Roman"/>
          <w:spacing w:val="-10"/>
          <w:sz w:val="24"/>
          <w:szCs w:val="24"/>
        </w:rPr>
      </w:pPr>
    </w:p>
    <w:p w:rsidR="004C03EB" w:rsidRDefault="004C03EB" w:rsidP="002D2781">
      <w:pPr>
        <w:tabs>
          <w:tab w:val="left" w:pos="180"/>
        </w:tabs>
        <w:spacing w:after="0" w:line="360" w:lineRule="auto"/>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 xml:space="preserve">En la Tabla </w:t>
      </w:r>
      <w:r>
        <w:rPr>
          <w:rFonts w:ascii="Times New Roman" w:hAnsi="Times New Roman" w:cs="Times New Roman"/>
          <w:spacing w:val="-10"/>
          <w:sz w:val="24"/>
          <w:szCs w:val="24"/>
        </w:rPr>
        <w:t>2</w:t>
      </w:r>
      <w:r w:rsidRPr="004C03EB">
        <w:rPr>
          <w:rFonts w:ascii="Times New Roman" w:hAnsi="Times New Roman" w:cs="Times New Roman"/>
          <w:spacing w:val="-10"/>
          <w:sz w:val="24"/>
          <w:szCs w:val="24"/>
        </w:rPr>
        <w:t xml:space="preserve"> se muestran los impactos de la relación de las unidades productivas con las Redes de Protección social expresadas en el acceso de los niños de Círculos Infantiles y Escuelas a una mayor diversidad de hortalizas y vegetales en su dieta durante el año 2024. Se beneficiaron 36 escuelas y 14 Círculos Infantiles con 5983 alumnos de un suministro de 209 829, 50 kg. De hortalizas y vegetales con un promedio de variedad de 11 productos durante todo el año.</w:t>
      </w:r>
    </w:p>
    <w:p w:rsidR="002D2781" w:rsidRPr="002D2781" w:rsidRDefault="002D2781" w:rsidP="002D2781">
      <w:pPr>
        <w:tabs>
          <w:tab w:val="left" w:pos="18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t xml:space="preserve">En 2016 el 25,1 % de las mujeres en edad fértil (15-49 años) padecían de anemia, superando la tasa de prevalencia de 22 % alcanzada en América Latina y el Caribe ese año (FAO, 2017). El consumo de vegetales y hortalizas y el aporte vitamínico disminuyeron la prevalencia de la anemia en la población infantil y de la tercera edad, también vulnerables a la carencia de micronutrientes.  </w:t>
      </w:r>
    </w:p>
    <w:p w:rsidR="002D2781" w:rsidRDefault="002D2781" w:rsidP="002D2781">
      <w:pPr>
        <w:tabs>
          <w:tab w:val="left" w:pos="18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tab/>
        <w:t>La Resiliencia al cambio climático y la Soberanía Agropecuaria y Nutricional son prioridades en la agenda estratégica y política del gobierno cubano que ayuda a implementar la innovación estudiada (Hernández et al., 2021). Esto se refleja en avance del Plan de Estado para el enfrentamiento al cambio climático “Tarea Vida”, la Ley de Aguas Terrestres y el Plan Local de Desarrollo Económico y Social hasta 2030. A su vez, se cumple con la Agenda Global 2030 para el Desarrollo Sostenible.</w:t>
      </w:r>
    </w:p>
    <w:p w:rsidR="004C03EB" w:rsidRPr="004C03EB" w:rsidRDefault="004C03EB" w:rsidP="002D2781">
      <w:pPr>
        <w:tabs>
          <w:tab w:val="left" w:pos="180"/>
        </w:tabs>
        <w:spacing w:after="0" w:line="360" w:lineRule="auto"/>
        <w:jc w:val="both"/>
        <w:rPr>
          <w:rFonts w:ascii="Times New Roman" w:hAnsi="Times New Roman" w:cs="Times New Roman"/>
          <w:b/>
          <w:spacing w:val="-10"/>
          <w:sz w:val="24"/>
          <w:szCs w:val="24"/>
        </w:rPr>
      </w:pPr>
      <w:r w:rsidRPr="004C03EB">
        <w:rPr>
          <w:rFonts w:ascii="Times New Roman" w:hAnsi="Times New Roman" w:cs="Times New Roman"/>
          <w:b/>
          <w:spacing w:val="-10"/>
          <w:sz w:val="24"/>
          <w:szCs w:val="24"/>
        </w:rPr>
        <w:t>3.7. Impactos de la Innovación en la praxis agropecuaria local.</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Siguiendo la metodología de determinación de impactos de la ciencia y la innovación tecnológica del CITMA (2008) se evaluaron y comprobaron los siguientes:</w:t>
      </w:r>
    </w:p>
    <w:p w:rsidR="004C03EB" w:rsidRPr="00F03E4D" w:rsidRDefault="00F03E4D" w:rsidP="004C03EB">
      <w:pPr>
        <w:pStyle w:val="Prrafodelista"/>
        <w:tabs>
          <w:tab w:val="left" w:pos="180"/>
        </w:tabs>
        <w:spacing w:after="0" w:line="360" w:lineRule="auto"/>
        <w:ind w:left="0"/>
        <w:jc w:val="both"/>
        <w:rPr>
          <w:rFonts w:ascii="Times New Roman" w:hAnsi="Times New Roman" w:cs="Times New Roman"/>
          <w:b/>
          <w:spacing w:val="-10"/>
          <w:sz w:val="24"/>
          <w:szCs w:val="24"/>
        </w:rPr>
      </w:pPr>
      <w:r w:rsidRPr="00F03E4D">
        <w:rPr>
          <w:rFonts w:ascii="Times New Roman" w:hAnsi="Times New Roman" w:cs="Times New Roman"/>
          <w:b/>
          <w:spacing w:val="-10"/>
          <w:sz w:val="24"/>
          <w:szCs w:val="24"/>
        </w:rPr>
        <w:t xml:space="preserve">3.7.1. </w:t>
      </w:r>
      <w:r w:rsidR="004C03EB" w:rsidRPr="00F03E4D">
        <w:rPr>
          <w:rFonts w:ascii="Times New Roman" w:hAnsi="Times New Roman" w:cs="Times New Roman"/>
          <w:b/>
          <w:spacing w:val="-10"/>
          <w:sz w:val="24"/>
          <w:szCs w:val="24"/>
        </w:rPr>
        <w:t xml:space="preserve">Impactos científicos y teóricos: </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 xml:space="preserve">Apropiación sinérgica de métodos científicos, técnicas de investigación y lenguaje técnico. </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Los flujos de conocimientos de y hacia el territorio favorecen introducir tecnologías que impactan favorablemente en la producción agropecuaria del municipio.</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Aumenta relación con instituciones docentes, científicas e investigativas en la base productiva.</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Publicación de 1 Libro, 64 artículos en Revistas científicas y participación en 13 Eventos.</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 xml:space="preserve"> Premio del Rector al desarrollo local, Premios CITMA 2018 y 2024 y otros premios en eventos.</w:t>
      </w:r>
    </w:p>
    <w:p w:rsidR="004C03EB" w:rsidRPr="00F03E4D" w:rsidRDefault="00F03E4D" w:rsidP="004C03EB">
      <w:pPr>
        <w:pStyle w:val="Prrafodelista"/>
        <w:tabs>
          <w:tab w:val="left" w:pos="180"/>
        </w:tabs>
        <w:spacing w:after="0" w:line="360" w:lineRule="auto"/>
        <w:ind w:left="0"/>
        <w:jc w:val="both"/>
        <w:rPr>
          <w:rFonts w:ascii="Times New Roman" w:hAnsi="Times New Roman" w:cs="Times New Roman"/>
          <w:b/>
          <w:spacing w:val="-10"/>
          <w:sz w:val="24"/>
          <w:szCs w:val="24"/>
        </w:rPr>
      </w:pPr>
      <w:r w:rsidRPr="00F03E4D">
        <w:rPr>
          <w:rFonts w:ascii="Times New Roman" w:hAnsi="Times New Roman" w:cs="Times New Roman"/>
          <w:b/>
          <w:spacing w:val="-10"/>
          <w:sz w:val="24"/>
          <w:szCs w:val="24"/>
        </w:rPr>
        <w:t xml:space="preserve">3.7.2. </w:t>
      </w:r>
      <w:r w:rsidR="004C03EB" w:rsidRPr="00F03E4D">
        <w:rPr>
          <w:rFonts w:ascii="Times New Roman" w:hAnsi="Times New Roman" w:cs="Times New Roman"/>
          <w:b/>
          <w:spacing w:val="-10"/>
          <w:sz w:val="24"/>
          <w:szCs w:val="24"/>
        </w:rPr>
        <w:t xml:space="preserve">Impactos prácticos: </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Metodologías para aplicar al sistema de capacitación de los municipios.</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La capacitación de una masa crítica de especialistas, dirigentes, campesinos y pobladores fue vital para fortalecer la innovación local como alternativa del desarrollo agropecuario local.</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Fueron capacitados 4.261 actores del sector agropecuario en 97 acciones.</w:t>
      </w:r>
    </w:p>
    <w:p w:rsidR="00F03E4D" w:rsidRDefault="00F03E4D" w:rsidP="004C03EB">
      <w:pPr>
        <w:pStyle w:val="Prrafodelista"/>
        <w:tabs>
          <w:tab w:val="left" w:pos="180"/>
        </w:tabs>
        <w:spacing w:after="0" w:line="360" w:lineRule="auto"/>
        <w:ind w:left="0"/>
        <w:jc w:val="both"/>
        <w:rPr>
          <w:rFonts w:ascii="Times New Roman" w:hAnsi="Times New Roman" w:cs="Times New Roman"/>
          <w:b/>
          <w:spacing w:val="-10"/>
          <w:sz w:val="24"/>
          <w:szCs w:val="24"/>
        </w:rPr>
      </w:pPr>
    </w:p>
    <w:p w:rsidR="004C03EB" w:rsidRPr="00F03E4D" w:rsidRDefault="00F03E4D" w:rsidP="004C03EB">
      <w:pPr>
        <w:pStyle w:val="Prrafodelista"/>
        <w:tabs>
          <w:tab w:val="left" w:pos="180"/>
        </w:tabs>
        <w:spacing w:after="0" w:line="360" w:lineRule="auto"/>
        <w:ind w:left="0"/>
        <w:jc w:val="both"/>
        <w:rPr>
          <w:rFonts w:ascii="Times New Roman" w:hAnsi="Times New Roman" w:cs="Times New Roman"/>
          <w:b/>
          <w:spacing w:val="-10"/>
          <w:sz w:val="24"/>
          <w:szCs w:val="24"/>
        </w:rPr>
      </w:pPr>
      <w:r>
        <w:rPr>
          <w:rFonts w:ascii="Times New Roman" w:hAnsi="Times New Roman" w:cs="Times New Roman"/>
          <w:b/>
          <w:spacing w:val="-10"/>
          <w:sz w:val="24"/>
          <w:szCs w:val="24"/>
        </w:rPr>
        <w:lastRenderedPageBreak/>
        <w:t xml:space="preserve">3.7.3. </w:t>
      </w:r>
      <w:r w:rsidR="004C03EB" w:rsidRPr="00F03E4D">
        <w:rPr>
          <w:rFonts w:ascii="Times New Roman" w:hAnsi="Times New Roman" w:cs="Times New Roman"/>
          <w:b/>
          <w:spacing w:val="-10"/>
          <w:sz w:val="24"/>
          <w:szCs w:val="24"/>
        </w:rPr>
        <w:t xml:space="preserve">Impactos metodológicos: </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El diagnóstico del municipio permitió transferir tecnologías agropecuarias y capacitar a productores y aportó valiosa información de cada zona para lograr uso eficiente de la tierra.</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 xml:space="preserve">La investigación pudo aplicarse a otros municipios adecuándolo a sus condiciones particulares. </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 xml:space="preserve">Se implantó sistema de capacitación y postgrado a participantes en producción de alimentos. </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El CUM involucrando actores locales, fortaleció sistema local de semillas e innovación agrícola.</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Fortalecido del enfoque interdisciplinario en la solución de problemáticas del municipio.</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 xml:space="preserve">Perfeccionados currículos del CUM con formación de 25 profesionales agropecuarios, 5 Master en Ciencias Agropecuarias, un Master en Agricultura Sostenible y 1 Doctor. </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 xml:space="preserve">El Modelo apoya la toma de decisiones de actores locales sobre cuáles tecnologías adoptar. </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Integración universidad-empresa da acceso a diversidad genética y tecnológica al actor local.</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Capacitación a las Juntas Directivas de las cooperativas campesinas en cada municipio.</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Completó la Estrategia Municipal de Desarrollo Local con sus Líneas, Programas y Proyectos.</w:t>
      </w:r>
    </w:p>
    <w:p w:rsidR="004C03EB" w:rsidRPr="00F03E4D" w:rsidRDefault="00F03E4D" w:rsidP="004C03EB">
      <w:pPr>
        <w:pStyle w:val="Prrafodelista"/>
        <w:tabs>
          <w:tab w:val="left" w:pos="180"/>
        </w:tabs>
        <w:spacing w:after="0" w:line="360" w:lineRule="auto"/>
        <w:ind w:left="0"/>
        <w:jc w:val="both"/>
        <w:rPr>
          <w:rFonts w:ascii="Times New Roman" w:hAnsi="Times New Roman" w:cs="Times New Roman"/>
          <w:b/>
          <w:spacing w:val="-10"/>
          <w:sz w:val="24"/>
          <w:szCs w:val="24"/>
        </w:rPr>
      </w:pPr>
      <w:r>
        <w:rPr>
          <w:rFonts w:ascii="Times New Roman" w:hAnsi="Times New Roman" w:cs="Times New Roman"/>
          <w:b/>
          <w:spacing w:val="-10"/>
          <w:sz w:val="24"/>
          <w:szCs w:val="24"/>
        </w:rPr>
        <w:t xml:space="preserve">3.7.4. </w:t>
      </w:r>
      <w:r w:rsidR="004C03EB" w:rsidRPr="00F03E4D">
        <w:rPr>
          <w:rFonts w:ascii="Times New Roman" w:hAnsi="Times New Roman" w:cs="Times New Roman"/>
          <w:b/>
          <w:spacing w:val="-10"/>
          <w:sz w:val="24"/>
          <w:szCs w:val="24"/>
        </w:rPr>
        <w:t>Impactos sociales.</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 xml:space="preserve">Mejoró las condiciones de trabajo y vida y ayudó a resolver el Banco de Problemas. </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 xml:space="preserve">La vida productiva de los municipios es más rica y confortable. </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Actores locales tienen acceso a superación y formación científica y académica.</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 xml:space="preserve">Generación local de nuevas fuentes de empleo para mujeres, adultos mayores y jóvenes. </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Empoderamiento de la mujer en el rol de productor le confiere identidad y toma de decisiones</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Mayor participación de mujeres, adultos mayores, niños y jóvenes en innovación.</w:t>
      </w:r>
    </w:p>
    <w:p w:rsidR="004C03EB" w:rsidRPr="00F03E4D" w:rsidRDefault="00F03E4D" w:rsidP="004C03EB">
      <w:pPr>
        <w:pStyle w:val="Prrafodelista"/>
        <w:tabs>
          <w:tab w:val="left" w:pos="180"/>
        </w:tabs>
        <w:spacing w:after="0" w:line="360" w:lineRule="auto"/>
        <w:ind w:left="0"/>
        <w:jc w:val="both"/>
        <w:rPr>
          <w:rFonts w:ascii="Times New Roman" w:hAnsi="Times New Roman" w:cs="Times New Roman"/>
          <w:b/>
          <w:spacing w:val="-10"/>
          <w:sz w:val="24"/>
          <w:szCs w:val="24"/>
        </w:rPr>
      </w:pPr>
      <w:r>
        <w:rPr>
          <w:rFonts w:ascii="Times New Roman" w:hAnsi="Times New Roman" w:cs="Times New Roman"/>
          <w:b/>
          <w:spacing w:val="-10"/>
          <w:sz w:val="24"/>
          <w:szCs w:val="24"/>
        </w:rPr>
        <w:t xml:space="preserve">3.7.5. </w:t>
      </w:r>
      <w:r w:rsidR="004C03EB" w:rsidRPr="00F03E4D">
        <w:rPr>
          <w:rFonts w:ascii="Times New Roman" w:hAnsi="Times New Roman" w:cs="Times New Roman"/>
          <w:b/>
          <w:spacing w:val="-10"/>
          <w:sz w:val="24"/>
          <w:szCs w:val="24"/>
        </w:rPr>
        <w:t xml:space="preserve">Impactos ambientales: </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 xml:space="preserve">Los logros introducidos permiten disminuir afectaciones a salud y medio ambiente. </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Producción de semillas en las propias unidades productivas con excepción de semilla de tabaco.</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 xml:space="preserve">El reciclaje del sistema está dado en uso de residuos orgánicos sin descomponer y descompuestos sobre la superficie del suelo y uso de técnicas de reciclaje de residuos de la finca. </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La conservación de funciones del agro-sistema se manifiesta en sembrar cercas vivas, roturar contra pendiente, rotar cultivos, usar medios biológicos, policultivos, parches naturales de vegetación, uso de plantas repelentes de plagas y conservación de la buena calidad del paisaje.</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 xml:space="preserve"> En manejo de plagas y enfermedades las acciones van dirigidas al uso alternativo de hongos y bacterias antagonistas, microorganismos eficientes, controles biológicos, predadores y rotaciones.</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 xml:space="preserve">Los recursos de energía del agro-ecosistema más utilizados son combinar insumos externos con tracción animal, energía humana e insumos de la finca como semillas. </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lastRenderedPageBreak/>
        <w:t>•</w:t>
      </w:r>
      <w:r w:rsidRPr="004C03EB">
        <w:rPr>
          <w:rFonts w:ascii="Times New Roman" w:hAnsi="Times New Roman" w:cs="Times New Roman"/>
          <w:spacing w:val="-10"/>
          <w:sz w:val="24"/>
          <w:szCs w:val="24"/>
        </w:rPr>
        <w:tab/>
        <w:t>El Proyecto cerró su ciclo dejando formados multiplicadores de sus experiencias e incrementó la diversidad biológica y tecnológica local con tecnologías, variedades y razas de vegetales y animales.</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Sensibilización de actores locales en prácticas agroecológicas en producción de alimentos.</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El uso de energías renovables disminuyó la emisión de contaminantes líquidos, sólidos y gaseosos a la atmósfera, suelos y aguas, disminuyó contaminación y mejoró la salud humana.</w:t>
      </w:r>
    </w:p>
    <w:p w:rsidR="004C03EB" w:rsidRPr="00F03E4D" w:rsidRDefault="00F03E4D" w:rsidP="004C03EB">
      <w:pPr>
        <w:pStyle w:val="Prrafodelista"/>
        <w:tabs>
          <w:tab w:val="left" w:pos="180"/>
        </w:tabs>
        <w:spacing w:after="0" w:line="360" w:lineRule="auto"/>
        <w:ind w:left="0"/>
        <w:jc w:val="both"/>
        <w:rPr>
          <w:rFonts w:ascii="Times New Roman" w:hAnsi="Times New Roman" w:cs="Times New Roman"/>
          <w:b/>
          <w:spacing w:val="-10"/>
          <w:sz w:val="24"/>
          <w:szCs w:val="24"/>
        </w:rPr>
      </w:pPr>
      <w:r>
        <w:rPr>
          <w:rFonts w:ascii="Times New Roman" w:hAnsi="Times New Roman" w:cs="Times New Roman"/>
          <w:b/>
          <w:spacing w:val="-10"/>
          <w:sz w:val="24"/>
          <w:szCs w:val="24"/>
        </w:rPr>
        <w:t xml:space="preserve">3.7.6. </w:t>
      </w:r>
      <w:r w:rsidR="004C03EB" w:rsidRPr="00F03E4D">
        <w:rPr>
          <w:rFonts w:ascii="Times New Roman" w:hAnsi="Times New Roman" w:cs="Times New Roman"/>
          <w:b/>
          <w:spacing w:val="-10"/>
          <w:sz w:val="24"/>
          <w:szCs w:val="24"/>
        </w:rPr>
        <w:t xml:space="preserve">Impactos económicos: </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 xml:space="preserve">Producción de tomate del IBP y plantación de más de 30 ha. de alto potencial productivo, lo que permitió un importante ahorro por concepto de la no importación en pastas de tomate. </w:t>
      </w:r>
    </w:p>
    <w:p w:rsidR="004C03EB" w:rsidRPr="004C03EB"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Incremento del rendimiento de cultivos de viandas en un 12 % y granos en un 8 %.</w:t>
      </w:r>
    </w:p>
    <w:p w:rsidR="00717FF1" w:rsidRDefault="004C03EB" w:rsidP="004C03EB">
      <w:pPr>
        <w:pStyle w:val="Prrafodelista"/>
        <w:tabs>
          <w:tab w:val="left" w:pos="180"/>
        </w:tabs>
        <w:spacing w:after="0" w:line="360" w:lineRule="auto"/>
        <w:ind w:left="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w:t>
      </w:r>
      <w:r w:rsidRPr="004C03EB">
        <w:rPr>
          <w:rFonts w:ascii="Times New Roman" w:hAnsi="Times New Roman" w:cs="Times New Roman"/>
          <w:spacing w:val="-10"/>
          <w:sz w:val="24"/>
          <w:szCs w:val="24"/>
        </w:rPr>
        <w:tab/>
        <w:t>Incremento de utilidades netas por incrementos en la diversificación de la producción, ingresos por ventas de semillas y productos de valor agregado y disminuci</w:t>
      </w:r>
      <w:r w:rsidR="00717FF1">
        <w:rPr>
          <w:rFonts w:ascii="Times New Roman" w:hAnsi="Times New Roman" w:cs="Times New Roman"/>
          <w:spacing w:val="-10"/>
          <w:sz w:val="24"/>
          <w:szCs w:val="24"/>
        </w:rPr>
        <w:t>ón de los costos de producción.</w:t>
      </w:r>
    </w:p>
    <w:p w:rsidR="00997AD7" w:rsidRDefault="004C03EB" w:rsidP="00717FF1">
      <w:pPr>
        <w:pStyle w:val="Prrafodelista"/>
        <w:numPr>
          <w:ilvl w:val="0"/>
          <w:numId w:val="3"/>
        </w:numPr>
        <w:tabs>
          <w:tab w:val="left" w:pos="180"/>
        </w:tabs>
        <w:spacing w:after="0" w:line="360" w:lineRule="auto"/>
        <w:ind w:left="0" w:firstLine="0"/>
        <w:jc w:val="both"/>
        <w:rPr>
          <w:rFonts w:ascii="Times New Roman" w:hAnsi="Times New Roman" w:cs="Times New Roman"/>
          <w:spacing w:val="-10"/>
          <w:sz w:val="24"/>
          <w:szCs w:val="24"/>
        </w:rPr>
      </w:pPr>
      <w:r w:rsidRPr="004C03EB">
        <w:rPr>
          <w:rFonts w:ascii="Times New Roman" w:hAnsi="Times New Roman" w:cs="Times New Roman"/>
          <w:spacing w:val="-10"/>
          <w:sz w:val="24"/>
          <w:szCs w:val="24"/>
        </w:rPr>
        <w:t>La mejora de la gestión municipal de la ciencia, la tecnología y la innovación en los municipios se orienta hacia mayor eficacia de las intervenciones, la prestación de servicios científico-técnicos en los escenarios municipales, la movilización de recursos y financiamiento para proyectos, la generalización de los resultados y una pertinente estructura de programas y proyectos.</w:t>
      </w:r>
    </w:p>
    <w:p w:rsidR="00F03E4D" w:rsidRPr="00997AD7" w:rsidRDefault="00F03E4D" w:rsidP="004C03EB">
      <w:pPr>
        <w:pStyle w:val="Prrafodelista"/>
        <w:tabs>
          <w:tab w:val="left" w:pos="180"/>
        </w:tabs>
        <w:spacing w:after="0" w:line="360" w:lineRule="auto"/>
        <w:ind w:left="0"/>
        <w:jc w:val="both"/>
        <w:rPr>
          <w:rFonts w:ascii="Times New Roman" w:hAnsi="Times New Roman" w:cs="Times New Roman"/>
          <w:spacing w:val="-10"/>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2D2781" w:rsidRPr="002D2781" w:rsidRDefault="002D2781" w:rsidP="002D2781">
      <w:pPr>
        <w:tabs>
          <w:tab w:val="left" w:pos="180"/>
          <w:tab w:val="left" w:pos="270"/>
        </w:tabs>
        <w:spacing w:after="0" w:line="360" w:lineRule="auto"/>
        <w:jc w:val="both"/>
        <w:rPr>
          <w:rFonts w:ascii="Times New Roman" w:hAnsi="Times New Roman" w:cs="Times New Roman"/>
          <w:sz w:val="24"/>
          <w:szCs w:val="24"/>
        </w:rPr>
      </w:pPr>
      <w:r w:rsidRPr="002D2781">
        <w:rPr>
          <w:rFonts w:ascii="Times New Roman" w:hAnsi="Times New Roman" w:cs="Times New Roman"/>
          <w:sz w:val="24"/>
          <w:szCs w:val="24"/>
        </w:rPr>
        <w:t>1.</w:t>
      </w:r>
      <w:r w:rsidRPr="002D2781">
        <w:rPr>
          <w:rFonts w:ascii="Times New Roman" w:hAnsi="Times New Roman" w:cs="Times New Roman"/>
          <w:sz w:val="24"/>
          <w:szCs w:val="24"/>
        </w:rPr>
        <w:tab/>
        <w:t>Se logró conceptualizar</w:t>
      </w:r>
      <w:r>
        <w:rPr>
          <w:rFonts w:ascii="Times New Roman" w:hAnsi="Times New Roman" w:cs="Times New Roman"/>
          <w:sz w:val="24"/>
          <w:szCs w:val="24"/>
        </w:rPr>
        <w:t xml:space="preserve">, </w:t>
      </w:r>
      <w:r w:rsidRPr="002D2781">
        <w:rPr>
          <w:rFonts w:ascii="Times New Roman" w:hAnsi="Times New Roman" w:cs="Times New Roman"/>
          <w:sz w:val="24"/>
          <w:szCs w:val="24"/>
        </w:rPr>
        <w:t>conformar</w:t>
      </w:r>
      <w:r>
        <w:rPr>
          <w:rFonts w:ascii="Times New Roman" w:hAnsi="Times New Roman" w:cs="Times New Roman"/>
          <w:sz w:val="24"/>
          <w:szCs w:val="24"/>
        </w:rPr>
        <w:t xml:space="preserve"> y </w:t>
      </w:r>
      <w:r w:rsidRPr="002D2781">
        <w:rPr>
          <w:rFonts w:ascii="Times New Roman" w:hAnsi="Times New Roman" w:cs="Times New Roman"/>
          <w:sz w:val="24"/>
          <w:szCs w:val="24"/>
        </w:rPr>
        <w:t>describir el constructo teórico Innovación Agropecuaria Local y particularizar en la competencia gestión del conocimiento y la innovación para el desarrollo agropecuario local para solucionar problemas de la praxis agropecuaria.</w:t>
      </w:r>
    </w:p>
    <w:p w:rsidR="002D2781" w:rsidRPr="002D2781" w:rsidRDefault="002D2781" w:rsidP="002D2781">
      <w:pPr>
        <w:tabs>
          <w:tab w:val="left" w:pos="180"/>
          <w:tab w:val="left" w:pos="270"/>
        </w:tabs>
        <w:spacing w:after="0" w:line="360" w:lineRule="auto"/>
        <w:jc w:val="both"/>
        <w:rPr>
          <w:rFonts w:ascii="Times New Roman" w:hAnsi="Times New Roman" w:cs="Times New Roman"/>
          <w:sz w:val="24"/>
          <w:szCs w:val="24"/>
        </w:rPr>
      </w:pPr>
      <w:r w:rsidRPr="002D2781">
        <w:rPr>
          <w:rFonts w:ascii="Times New Roman" w:hAnsi="Times New Roman" w:cs="Times New Roman"/>
          <w:sz w:val="24"/>
          <w:szCs w:val="24"/>
        </w:rPr>
        <w:t>2.</w:t>
      </w:r>
      <w:r w:rsidRPr="002D2781">
        <w:rPr>
          <w:rFonts w:ascii="Times New Roman" w:hAnsi="Times New Roman" w:cs="Times New Roman"/>
          <w:sz w:val="24"/>
          <w:szCs w:val="24"/>
        </w:rPr>
        <w:tab/>
        <w:t>No es posible concebir la integración de la ciencia y la innovación sin un proceso interactivo, siguiendo el principio de estudio-trabajo, ya que en este sistema de relaciones sociales tiene lugar una integración entre proceso innovativo y productivo.</w:t>
      </w:r>
    </w:p>
    <w:p w:rsidR="00FF3346" w:rsidRDefault="002D2781" w:rsidP="002D2781">
      <w:pPr>
        <w:tabs>
          <w:tab w:val="left" w:pos="180"/>
          <w:tab w:val="left" w:pos="270"/>
        </w:tabs>
        <w:spacing w:after="0" w:line="360" w:lineRule="auto"/>
        <w:jc w:val="both"/>
        <w:rPr>
          <w:rFonts w:ascii="Times New Roman" w:hAnsi="Times New Roman" w:cs="Times New Roman"/>
          <w:sz w:val="24"/>
          <w:szCs w:val="24"/>
        </w:rPr>
      </w:pPr>
      <w:r w:rsidRPr="002D2781">
        <w:rPr>
          <w:rFonts w:ascii="Times New Roman" w:hAnsi="Times New Roman" w:cs="Times New Roman"/>
          <w:sz w:val="24"/>
          <w:szCs w:val="24"/>
        </w:rPr>
        <w:t>3.</w:t>
      </w:r>
      <w:r w:rsidRPr="002D2781">
        <w:rPr>
          <w:rFonts w:ascii="Times New Roman" w:hAnsi="Times New Roman" w:cs="Times New Roman"/>
          <w:sz w:val="24"/>
          <w:szCs w:val="24"/>
        </w:rPr>
        <w:tab/>
        <w:t>Se demostró en la praxis agropecuaria local que es posible negar un paradigma negativo, fuertemente establecido en el imaginario local de todos los actores sociales, aplicando la innovación concebida como una integración de soluciones aportadas por la ciencia en contextos ajenos para resolver un problema de gran complejidad.</w:t>
      </w:r>
    </w:p>
    <w:p w:rsidR="002D2781" w:rsidRDefault="002D2781" w:rsidP="002D2781">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bookmarkStart w:id="0" w:name="_GoBack"/>
      <w:bookmarkEnd w:id="0"/>
      <w:r w:rsidRPr="00FF3346">
        <w:rPr>
          <w:rFonts w:ascii="Times New Roman" w:hAnsi="Times New Roman" w:cs="Times New Roman"/>
          <w:b/>
          <w:sz w:val="24"/>
          <w:szCs w:val="24"/>
        </w:rPr>
        <w:t>5. Referencias bibliográficas</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1.</w:t>
      </w:r>
      <w:r w:rsidRPr="002D2781">
        <w:rPr>
          <w:rFonts w:ascii="Times New Roman" w:hAnsi="Times New Roman" w:cs="Times New Roman"/>
          <w:spacing w:val="-20"/>
          <w:sz w:val="24"/>
          <w:szCs w:val="24"/>
        </w:rPr>
        <w:tab/>
        <w:t xml:space="preserve">Aristimuño, A. (2018). Las competencias en la educación superior: Osorno: Centro de </w:t>
      </w:r>
      <w:proofErr w:type="spellStart"/>
      <w:r w:rsidRPr="002D2781">
        <w:rPr>
          <w:rFonts w:ascii="Times New Roman" w:hAnsi="Times New Roman" w:cs="Times New Roman"/>
          <w:spacing w:val="-20"/>
          <w:sz w:val="24"/>
          <w:szCs w:val="24"/>
        </w:rPr>
        <w:t>Docum</w:t>
      </w:r>
      <w:proofErr w:type="spellEnd"/>
      <w:r>
        <w:rPr>
          <w:rFonts w:ascii="Times New Roman" w:hAnsi="Times New Roman" w:cs="Times New Roman"/>
          <w:spacing w:val="-20"/>
          <w:sz w:val="24"/>
          <w:szCs w:val="24"/>
        </w:rPr>
        <w:t>.</w:t>
      </w:r>
      <w:r w:rsidRPr="002D2781">
        <w:rPr>
          <w:rFonts w:ascii="Times New Roman" w:hAnsi="Times New Roman" w:cs="Times New Roman"/>
          <w:spacing w:val="-20"/>
          <w:sz w:val="24"/>
          <w:szCs w:val="24"/>
        </w:rPr>
        <w:t xml:space="preserve"> Univ.</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lastRenderedPageBreak/>
        <w:t>2.</w:t>
      </w:r>
      <w:r w:rsidRPr="002D2781">
        <w:rPr>
          <w:rFonts w:ascii="Times New Roman" w:hAnsi="Times New Roman" w:cs="Times New Roman"/>
          <w:spacing w:val="-20"/>
          <w:sz w:val="24"/>
          <w:szCs w:val="24"/>
        </w:rPr>
        <w:tab/>
        <w:t xml:space="preserve">Báez, A.; Hernández, C.; Perdomo, J. M.; Garcés, R.; Carrasco; M. (2018). Modelo de gestión del conocimiento para el desarrollo agropecuario local. 51(28), 2-26. DOI: </w:t>
      </w:r>
      <w:hyperlink r:id="rId11" w:history="1">
        <w:r w:rsidRPr="00A728ED">
          <w:rPr>
            <w:rStyle w:val="Hipervnculo"/>
            <w:rFonts w:ascii="Times New Roman" w:hAnsi="Times New Roman" w:cs="Times New Roman"/>
            <w:spacing w:val="-20"/>
            <w:sz w:val="24"/>
            <w:szCs w:val="24"/>
          </w:rPr>
          <w:t>https://dx.doi.org/10.24836/es.v28i51.517</w:t>
        </w:r>
      </w:hyperlink>
      <w:r>
        <w:rPr>
          <w:rFonts w:ascii="Times New Roman" w:hAnsi="Times New Roman" w:cs="Times New Roman"/>
          <w:spacing w:val="-20"/>
          <w:sz w:val="24"/>
          <w:szCs w:val="24"/>
        </w:rPr>
        <w:t xml:space="preserve"> </w:t>
      </w:r>
      <w:r w:rsidRPr="002D2781">
        <w:rPr>
          <w:rFonts w:ascii="Times New Roman" w:hAnsi="Times New Roman" w:cs="Times New Roman"/>
          <w:spacing w:val="-20"/>
          <w:sz w:val="24"/>
          <w:szCs w:val="24"/>
        </w:rPr>
        <w:t xml:space="preserve">  </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3.</w:t>
      </w:r>
      <w:r w:rsidRPr="002D2781">
        <w:rPr>
          <w:rFonts w:ascii="Times New Roman" w:hAnsi="Times New Roman" w:cs="Times New Roman"/>
          <w:spacing w:val="-20"/>
          <w:sz w:val="24"/>
          <w:szCs w:val="24"/>
        </w:rPr>
        <w:tab/>
        <w:t xml:space="preserve">Bedoya, C., Murillos, G. y González, C. (2020) Competencias directivas en la gestión universitaria en Colombia. Educación y Educadores, 23(4), 685-708. </w:t>
      </w:r>
      <w:hyperlink r:id="rId12" w:history="1">
        <w:r w:rsidRPr="00A728ED">
          <w:rPr>
            <w:rStyle w:val="Hipervnculo"/>
            <w:rFonts w:ascii="Times New Roman" w:hAnsi="Times New Roman" w:cs="Times New Roman"/>
            <w:spacing w:val="-20"/>
            <w:sz w:val="24"/>
            <w:szCs w:val="24"/>
          </w:rPr>
          <w:t>https://doi.org/10.5294/edu.2020.23.4.7</w:t>
        </w:r>
      </w:hyperlink>
      <w:r>
        <w:rPr>
          <w:rFonts w:ascii="Times New Roman" w:hAnsi="Times New Roman" w:cs="Times New Roman"/>
          <w:spacing w:val="-20"/>
          <w:sz w:val="24"/>
          <w:szCs w:val="24"/>
        </w:rPr>
        <w:t xml:space="preserve"> </w:t>
      </w:r>
      <w:r w:rsidRPr="002D2781">
        <w:rPr>
          <w:rFonts w:ascii="Times New Roman" w:hAnsi="Times New Roman" w:cs="Times New Roman"/>
          <w:spacing w:val="-20"/>
          <w:sz w:val="24"/>
          <w:szCs w:val="24"/>
        </w:rPr>
        <w:t xml:space="preserve"> </w:t>
      </w:r>
      <w:r>
        <w:rPr>
          <w:rFonts w:ascii="Times New Roman" w:hAnsi="Times New Roman" w:cs="Times New Roman"/>
          <w:spacing w:val="-20"/>
          <w:sz w:val="24"/>
          <w:szCs w:val="24"/>
        </w:rPr>
        <w:t xml:space="preserve"> </w:t>
      </w:r>
      <w:r w:rsidRPr="002D2781">
        <w:rPr>
          <w:rFonts w:ascii="Times New Roman" w:hAnsi="Times New Roman" w:cs="Times New Roman"/>
          <w:spacing w:val="-20"/>
          <w:sz w:val="24"/>
          <w:szCs w:val="24"/>
        </w:rPr>
        <w:t xml:space="preserve"> </w:t>
      </w:r>
    </w:p>
    <w:p w:rsidR="002D2781" w:rsidRPr="002D2781" w:rsidRDefault="002D2781" w:rsidP="002D2781">
      <w:pPr>
        <w:tabs>
          <w:tab w:val="left" w:pos="270"/>
        </w:tabs>
        <w:spacing w:after="0" w:line="360" w:lineRule="auto"/>
        <w:jc w:val="both"/>
        <w:rPr>
          <w:rFonts w:ascii="Times New Roman" w:hAnsi="Times New Roman" w:cs="Times New Roman"/>
          <w:spacing w:val="-10"/>
          <w:sz w:val="24"/>
          <w:szCs w:val="24"/>
        </w:rPr>
      </w:pPr>
      <w:r w:rsidRPr="002D2781">
        <w:rPr>
          <w:rFonts w:ascii="Times New Roman" w:hAnsi="Times New Roman" w:cs="Times New Roman"/>
          <w:spacing w:val="-10"/>
          <w:sz w:val="24"/>
          <w:szCs w:val="24"/>
        </w:rPr>
        <w:t>4.</w:t>
      </w:r>
      <w:r w:rsidRPr="002D2781">
        <w:rPr>
          <w:rFonts w:ascii="Times New Roman" w:hAnsi="Times New Roman" w:cs="Times New Roman"/>
          <w:spacing w:val="-10"/>
          <w:sz w:val="24"/>
          <w:szCs w:val="24"/>
        </w:rPr>
        <w:tab/>
        <w:t xml:space="preserve">Bell, Y. (2018). Retos y perspectivas en la preparación del docente de la Escuela Pedagógica. </w:t>
      </w:r>
      <w:proofErr w:type="spellStart"/>
      <w:r w:rsidRPr="002D2781">
        <w:rPr>
          <w:rFonts w:ascii="Times New Roman" w:hAnsi="Times New Roman" w:cs="Times New Roman"/>
          <w:spacing w:val="-10"/>
          <w:sz w:val="24"/>
          <w:szCs w:val="24"/>
        </w:rPr>
        <w:t>EduSol</w:t>
      </w:r>
      <w:proofErr w:type="spellEnd"/>
      <w:r w:rsidRPr="002D2781">
        <w:rPr>
          <w:rFonts w:ascii="Times New Roman" w:hAnsi="Times New Roman" w:cs="Times New Roman"/>
          <w:spacing w:val="-10"/>
          <w:sz w:val="24"/>
          <w:szCs w:val="24"/>
        </w:rPr>
        <w:t>, 18(1), 215-230.</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5.</w:t>
      </w:r>
      <w:r w:rsidRPr="002D2781">
        <w:rPr>
          <w:rFonts w:ascii="Times New Roman" w:hAnsi="Times New Roman" w:cs="Times New Roman"/>
          <w:spacing w:val="-20"/>
          <w:sz w:val="24"/>
          <w:szCs w:val="24"/>
        </w:rPr>
        <w:tab/>
        <w:t xml:space="preserve">Callejas, J., Carballo, E., Luján, J., Callejas, J. (2017). Metodología del diseño curricular basado en competencias profesionales. </w:t>
      </w:r>
      <w:proofErr w:type="spellStart"/>
      <w:r w:rsidRPr="002D2781">
        <w:rPr>
          <w:rFonts w:ascii="Times New Roman" w:hAnsi="Times New Roman" w:cs="Times New Roman"/>
          <w:spacing w:val="-20"/>
          <w:sz w:val="24"/>
          <w:szCs w:val="24"/>
        </w:rPr>
        <w:t>Epistemia</w:t>
      </w:r>
      <w:proofErr w:type="spellEnd"/>
      <w:r w:rsidRPr="002D2781">
        <w:rPr>
          <w:rFonts w:ascii="Times New Roman" w:hAnsi="Times New Roman" w:cs="Times New Roman"/>
          <w:spacing w:val="-20"/>
          <w:sz w:val="24"/>
          <w:szCs w:val="24"/>
        </w:rPr>
        <w:t>. 1(1), 12-28.</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6.</w:t>
      </w:r>
      <w:r w:rsidRPr="002D2781">
        <w:rPr>
          <w:rFonts w:ascii="Times New Roman" w:hAnsi="Times New Roman" w:cs="Times New Roman"/>
          <w:spacing w:val="-20"/>
          <w:sz w:val="24"/>
          <w:szCs w:val="24"/>
        </w:rPr>
        <w:tab/>
        <w:t>Cázares, L. y Cuevas, J. (2007). Planeación y evaluación basadas en competencias. México: Trillas.</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7.</w:t>
      </w:r>
      <w:r w:rsidRPr="002D2781">
        <w:rPr>
          <w:rFonts w:ascii="Times New Roman" w:hAnsi="Times New Roman" w:cs="Times New Roman"/>
          <w:spacing w:val="-20"/>
          <w:sz w:val="24"/>
          <w:szCs w:val="24"/>
        </w:rPr>
        <w:tab/>
      </w:r>
      <w:proofErr w:type="spellStart"/>
      <w:r w:rsidRPr="002D2781">
        <w:rPr>
          <w:rFonts w:ascii="Times New Roman" w:hAnsi="Times New Roman" w:cs="Times New Roman"/>
          <w:spacing w:val="-20"/>
          <w:sz w:val="24"/>
          <w:szCs w:val="24"/>
        </w:rPr>
        <w:t>Charria</w:t>
      </w:r>
      <w:proofErr w:type="spellEnd"/>
      <w:r w:rsidRPr="002D2781">
        <w:rPr>
          <w:rFonts w:ascii="Times New Roman" w:hAnsi="Times New Roman" w:cs="Times New Roman"/>
          <w:spacing w:val="-20"/>
          <w:sz w:val="24"/>
          <w:szCs w:val="24"/>
        </w:rPr>
        <w:t xml:space="preserve">, V., </w:t>
      </w:r>
      <w:proofErr w:type="spellStart"/>
      <w:r w:rsidRPr="002D2781">
        <w:rPr>
          <w:rFonts w:ascii="Times New Roman" w:hAnsi="Times New Roman" w:cs="Times New Roman"/>
          <w:spacing w:val="-20"/>
          <w:sz w:val="24"/>
          <w:szCs w:val="24"/>
        </w:rPr>
        <w:t>Sarsosa</w:t>
      </w:r>
      <w:proofErr w:type="spellEnd"/>
      <w:r w:rsidRPr="002D2781">
        <w:rPr>
          <w:rFonts w:ascii="Times New Roman" w:hAnsi="Times New Roman" w:cs="Times New Roman"/>
          <w:spacing w:val="-20"/>
          <w:sz w:val="24"/>
          <w:szCs w:val="24"/>
        </w:rPr>
        <w:t xml:space="preserve">, K., Uribe, A., López, C. y Arenas, F. (2011). Definición y clasificación teórica de las competencias académicas, profesionales y laborales. Psicología desde el Caribe. 28, 133-165. </w:t>
      </w:r>
      <w:hyperlink r:id="rId13" w:history="1">
        <w:r w:rsidR="007531D2" w:rsidRPr="00A728ED">
          <w:rPr>
            <w:rStyle w:val="Hipervnculo"/>
            <w:rFonts w:ascii="Times New Roman" w:hAnsi="Times New Roman" w:cs="Times New Roman"/>
            <w:spacing w:val="-20"/>
            <w:sz w:val="24"/>
            <w:szCs w:val="24"/>
          </w:rPr>
          <w:t>https://www.redalyc.org/pdf/213/21320758007.pdf</w:t>
        </w:r>
      </w:hyperlink>
      <w:r w:rsidR="007531D2">
        <w:rPr>
          <w:rFonts w:ascii="Times New Roman" w:hAnsi="Times New Roman" w:cs="Times New Roman"/>
          <w:spacing w:val="-20"/>
          <w:sz w:val="24"/>
          <w:szCs w:val="24"/>
        </w:rPr>
        <w:t xml:space="preserve"> </w:t>
      </w:r>
      <w:r w:rsidRPr="002D2781">
        <w:rPr>
          <w:rFonts w:ascii="Times New Roman" w:hAnsi="Times New Roman" w:cs="Times New Roman"/>
          <w:spacing w:val="-20"/>
          <w:sz w:val="24"/>
          <w:szCs w:val="24"/>
        </w:rPr>
        <w:t xml:space="preserve"> </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8.</w:t>
      </w:r>
      <w:r w:rsidRPr="002D2781">
        <w:rPr>
          <w:rFonts w:ascii="Times New Roman" w:hAnsi="Times New Roman" w:cs="Times New Roman"/>
          <w:spacing w:val="-20"/>
          <w:sz w:val="24"/>
          <w:szCs w:val="24"/>
        </w:rPr>
        <w:tab/>
        <w:t>Colás, M., Buendía, L. y Hernández, F. (2009). Competencias científicas para la realización de una tesis doctoral. Barcelona, España: Da Vinci.</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9.</w:t>
      </w:r>
      <w:r w:rsidRPr="002D2781">
        <w:rPr>
          <w:rFonts w:ascii="Times New Roman" w:hAnsi="Times New Roman" w:cs="Times New Roman"/>
          <w:spacing w:val="-20"/>
          <w:sz w:val="24"/>
          <w:szCs w:val="24"/>
        </w:rPr>
        <w:tab/>
        <w:t xml:space="preserve">Comisión Europea (2017). </w:t>
      </w:r>
      <w:proofErr w:type="spellStart"/>
      <w:r w:rsidRPr="002D2781">
        <w:rPr>
          <w:rFonts w:ascii="Times New Roman" w:hAnsi="Times New Roman" w:cs="Times New Roman"/>
          <w:spacing w:val="-20"/>
          <w:sz w:val="24"/>
          <w:szCs w:val="24"/>
        </w:rPr>
        <w:t>Skills</w:t>
      </w:r>
      <w:proofErr w:type="spellEnd"/>
      <w:r w:rsidRPr="002D2781">
        <w:rPr>
          <w:rFonts w:ascii="Times New Roman" w:hAnsi="Times New Roman" w:cs="Times New Roman"/>
          <w:spacing w:val="-20"/>
          <w:sz w:val="24"/>
          <w:szCs w:val="24"/>
        </w:rPr>
        <w:t xml:space="preserve">. </w:t>
      </w:r>
      <w:proofErr w:type="spellStart"/>
      <w:r w:rsidRPr="002D2781">
        <w:rPr>
          <w:rFonts w:ascii="Times New Roman" w:hAnsi="Times New Roman" w:cs="Times New Roman"/>
          <w:spacing w:val="-20"/>
          <w:sz w:val="24"/>
          <w:szCs w:val="24"/>
        </w:rPr>
        <w:t>Glossary</w:t>
      </w:r>
      <w:proofErr w:type="spellEnd"/>
      <w:r w:rsidRPr="002D2781">
        <w:rPr>
          <w:rFonts w:ascii="Times New Roman" w:hAnsi="Times New Roman" w:cs="Times New Roman"/>
          <w:spacing w:val="-20"/>
          <w:sz w:val="24"/>
          <w:szCs w:val="24"/>
        </w:rPr>
        <w:t xml:space="preserve">. </w:t>
      </w:r>
      <w:hyperlink r:id="rId14" w:history="1">
        <w:r w:rsidR="007531D2" w:rsidRPr="00A728ED">
          <w:rPr>
            <w:rStyle w:val="Hipervnculo"/>
            <w:rFonts w:ascii="Times New Roman" w:hAnsi="Times New Roman" w:cs="Times New Roman"/>
            <w:spacing w:val="-20"/>
            <w:sz w:val="24"/>
            <w:szCs w:val="24"/>
          </w:rPr>
          <w:t>http://www.elearningeuropa.info/main/index</w:t>
        </w:r>
      </w:hyperlink>
      <w:r w:rsidR="007531D2">
        <w:rPr>
          <w:rFonts w:ascii="Times New Roman" w:hAnsi="Times New Roman" w:cs="Times New Roman"/>
          <w:spacing w:val="-20"/>
          <w:sz w:val="24"/>
          <w:szCs w:val="24"/>
        </w:rPr>
        <w:t xml:space="preserve"> </w:t>
      </w:r>
      <w:r w:rsidRPr="002D2781">
        <w:rPr>
          <w:rFonts w:ascii="Times New Roman" w:hAnsi="Times New Roman" w:cs="Times New Roman"/>
          <w:spacing w:val="-20"/>
          <w:sz w:val="24"/>
          <w:szCs w:val="24"/>
        </w:rPr>
        <w:t xml:space="preserve">. </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7531D2">
        <w:rPr>
          <w:rFonts w:ascii="Times New Roman" w:hAnsi="Times New Roman" w:cs="Times New Roman"/>
          <w:spacing w:val="-24"/>
          <w:sz w:val="24"/>
          <w:szCs w:val="24"/>
        </w:rPr>
        <w:t>10.</w:t>
      </w:r>
      <w:r w:rsidRPr="007531D2">
        <w:rPr>
          <w:rFonts w:ascii="Times New Roman" w:hAnsi="Times New Roman" w:cs="Times New Roman"/>
          <w:spacing w:val="-24"/>
          <w:sz w:val="24"/>
          <w:szCs w:val="24"/>
        </w:rPr>
        <w:tab/>
        <w:t xml:space="preserve">Bonilla, J.  (2014). Origen, desarrollo y declive de las competencias individuales en tiempos de incertidumbre. </w:t>
      </w:r>
      <w:proofErr w:type="spellStart"/>
      <w:r w:rsidRPr="007531D2">
        <w:rPr>
          <w:rFonts w:ascii="Times New Roman" w:hAnsi="Times New Roman" w:cs="Times New Roman"/>
          <w:spacing w:val="-24"/>
          <w:sz w:val="24"/>
          <w:szCs w:val="24"/>
        </w:rPr>
        <w:t>Educ</w:t>
      </w:r>
      <w:proofErr w:type="spellEnd"/>
      <w:r w:rsidRPr="007531D2">
        <w:rPr>
          <w:rFonts w:ascii="Times New Roman" w:hAnsi="Times New Roman" w:cs="Times New Roman"/>
          <w:spacing w:val="-24"/>
          <w:sz w:val="24"/>
          <w:szCs w:val="24"/>
        </w:rPr>
        <w:t>. 17(1), 149-168.</w:t>
      </w:r>
      <w:r w:rsidRPr="002D2781">
        <w:rPr>
          <w:rFonts w:ascii="Times New Roman" w:hAnsi="Times New Roman" w:cs="Times New Roman"/>
          <w:spacing w:val="-20"/>
          <w:sz w:val="24"/>
          <w:szCs w:val="24"/>
        </w:rPr>
        <w:t xml:space="preserve"> </w:t>
      </w:r>
      <w:hyperlink r:id="rId15" w:history="1">
        <w:r w:rsidR="007531D2" w:rsidRPr="00A728ED">
          <w:rPr>
            <w:rStyle w:val="Hipervnculo"/>
            <w:rFonts w:ascii="Times New Roman" w:hAnsi="Times New Roman" w:cs="Times New Roman"/>
            <w:spacing w:val="-20"/>
            <w:sz w:val="24"/>
            <w:szCs w:val="24"/>
          </w:rPr>
          <w:t>https://educacionyeducadores.unisabana.edu.co/index.php/eye/article/view/3499/3422</w:t>
        </w:r>
      </w:hyperlink>
      <w:r w:rsidR="007531D2">
        <w:rPr>
          <w:rFonts w:ascii="Times New Roman" w:hAnsi="Times New Roman" w:cs="Times New Roman"/>
          <w:spacing w:val="-20"/>
          <w:sz w:val="24"/>
          <w:szCs w:val="24"/>
        </w:rPr>
        <w:t xml:space="preserve"> </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11.</w:t>
      </w:r>
      <w:r w:rsidRPr="002D2781">
        <w:rPr>
          <w:rFonts w:ascii="Times New Roman" w:hAnsi="Times New Roman" w:cs="Times New Roman"/>
          <w:spacing w:val="-20"/>
          <w:sz w:val="24"/>
          <w:szCs w:val="24"/>
        </w:rPr>
        <w:tab/>
        <w:t>Decreto No. 363/2019 (2019).  De los Parques Científicos y Tecnológicos y de las Empresas de Ciencia y Tecnología. (GOC-2019-998-O86).</w:t>
      </w:r>
    </w:p>
    <w:p w:rsidR="002D2781" w:rsidRPr="007531D2" w:rsidRDefault="002D2781" w:rsidP="002D2781">
      <w:pPr>
        <w:tabs>
          <w:tab w:val="left" w:pos="270"/>
        </w:tabs>
        <w:spacing w:after="0" w:line="360" w:lineRule="auto"/>
        <w:jc w:val="both"/>
        <w:rPr>
          <w:rFonts w:ascii="Times New Roman" w:hAnsi="Times New Roman" w:cs="Times New Roman"/>
          <w:spacing w:val="-26"/>
          <w:sz w:val="24"/>
          <w:szCs w:val="24"/>
        </w:rPr>
      </w:pPr>
      <w:r w:rsidRPr="007531D2">
        <w:rPr>
          <w:rFonts w:ascii="Times New Roman" w:hAnsi="Times New Roman" w:cs="Times New Roman"/>
          <w:spacing w:val="-26"/>
          <w:sz w:val="24"/>
          <w:szCs w:val="24"/>
        </w:rPr>
        <w:t>12.</w:t>
      </w:r>
      <w:r w:rsidRPr="007531D2">
        <w:rPr>
          <w:rFonts w:ascii="Times New Roman" w:hAnsi="Times New Roman" w:cs="Times New Roman"/>
          <w:spacing w:val="-26"/>
          <w:sz w:val="24"/>
          <w:szCs w:val="24"/>
        </w:rPr>
        <w:tab/>
        <w:t xml:space="preserve">Díaz, Á. (2013). Secuencias de aprendizaje. ¿Un problema del enfoque de competencias o un reencuentro con perspectivas didácticas? Rev. Profesorado. 17(3), 11-33. </w:t>
      </w:r>
      <w:hyperlink r:id="rId16" w:history="1">
        <w:r w:rsidR="007531D2" w:rsidRPr="007531D2">
          <w:rPr>
            <w:rStyle w:val="Hipervnculo"/>
            <w:rFonts w:ascii="Times New Roman" w:hAnsi="Times New Roman" w:cs="Times New Roman"/>
            <w:spacing w:val="-26"/>
            <w:sz w:val="24"/>
            <w:szCs w:val="24"/>
          </w:rPr>
          <w:t>http://www.redalyc.org/articulo.oa?id=56729527002</w:t>
        </w:r>
      </w:hyperlink>
      <w:r w:rsidR="007531D2" w:rsidRPr="007531D2">
        <w:rPr>
          <w:rFonts w:ascii="Times New Roman" w:hAnsi="Times New Roman" w:cs="Times New Roman"/>
          <w:spacing w:val="-26"/>
          <w:sz w:val="24"/>
          <w:szCs w:val="24"/>
        </w:rPr>
        <w:t xml:space="preserve"> </w:t>
      </w:r>
      <w:r w:rsidRPr="007531D2">
        <w:rPr>
          <w:rFonts w:ascii="Times New Roman" w:hAnsi="Times New Roman" w:cs="Times New Roman"/>
          <w:spacing w:val="-26"/>
          <w:sz w:val="24"/>
          <w:szCs w:val="24"/>
        </w:rPr>
        <w:t xml:space="preserve"> </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13.</w:t>
      </w:r>
      <w:r w:rsidRPr="002D2781">
        <w:rPr>
          <w:rFonts w:ascii="Times New Roman" w:hAnsi="Times New Roman" w:cs="Times New Roman"/>
          <w:spacing w:val="-20"/>
          <w:sz w:val="24"/>
          <w:szCs w:val="24"/>
        </w:rPr>
        <w:tab/>
        <w:t xml:space="preserve">Díaz-Canel, M.; Alarcón, R.; </w:t>
      </w:r>
      <w:proofErr w:type="spellStart"/>
      <w:r w:rsidRPr="002D2781">
        <w:rPr>
          <w:rFonts w:ascii="Times New Roman" w:hAnsi="Times New Roman" w:cs="Times New Roman"/>
          <w:spacing w:val="-20"/>
          <w:sz w:val="24"/>
          <w:szCs w:val="24"/>
        </w:rPr>
        <w:t>Saborido</w:t>
      </w:r>
      <w:proofErr w:type="spellEnd"/>
      <w:r w:rsidRPr="002D2781">
        <w:rPr>
          <w:rFonts w:ascii="Times New Roman" w:hAnsi="Times New Roman" w:cs="Times New Roman"/>
          <w:spacing w:val="-20"/>
          <w:sz w:val="24"/>
          <w:szCs w:val="24"/>
        </w:rPr>
        <w:t>, J. (2020) Potencial humano, innovación y desarrollo en la planificación estratégica de la educación superior cubana 2012-2020. Revista Cubana de Educación Superior. 39(3), 1-27. ISSN: 2518-2730. septiembre-diciembre.</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14.</w:t>
      </w:r>
      <w:r w:rsidRPr="002D2781">
        <w:rPr>
          <w:rFonts w:ascii="Times New Roman" w:hAnsi="Times New Roman" w:cs="Times New Roman"/>
          <w:spacing w:val="-20"/>
          <w:sz w:val="24"/>
          <w:szCs w:val="24"/>
        </w:rPr>
        <w:tab/>
        <w:t>Díaz-Canel, M. y García, J. (2020). Educación superior, innovación y gestión de gobierno para el desarrollo 2012-2020. Ingeniería Industrial. 1(3), 1-17. Septiembre-diciembre. ISSN 1815-5936.</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15.</w:t>
      </w:r>
      <w:r w:rsidRPr="002D2781">
        <w:rPr>
          <w:rFonts w:ascii="Times New Roman" w:hAnsi="Times New Roman" w:cs="Times New Roman"/>
          <w:spacing w:val="-20"/>
          <w:sz w:val="24"/>
          <w:szCs w:val="24"/>
        </w:rPr>
        <w:tab/>
        <w:t>Díaz-Canel, M. y Núñez, J. (2020). Gestión gubernamental y ciencia cubana en el enfrentamiento a la COVID-19. Anales de la Academia de Ciencias de Cuba. 10(2), 1-10. ISSN 2304-0106.</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16.</w:t>
      </w:r>
      <w:r w:rsidRPr="002D2781">
        <w:rPr>
          <w:rFonts w:ascii="Times New Roman" w:hAnsi="Times New Roman" w:cs="Times New Roman"/>
          <w:spacing w:val="-20"/>
          <w:sz w:val="24"/>
          <w:szCs w:val="24"/>
        </w:rPr>
        <w:tab/>
        <w:t>Díaz-Canel, M. (2021) ¿Por qué necesitamos un sistema de gestión del Gobierno basado en ciencia e innovación? Anales de la Academia de Ciencias de Cuba. 11(1): 1-14. Enero-abril. ISSN 2304-0106.</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17.</w:t>
      </w:r>
      <w:r w:rsidRPr="002D2781">
        <w:rPr>
          <w:rFonts w:ascii="Times New Roman" w:hAnsi="Times New Roman" w:cs="Times New Roman"/>
          <w:spacing w:val="-20"/>
          <w:sz w:val="24"/>
          <w:szCs w:val="24"/>
        </w:rPr>
        <w:tab/>
      </w:r>
      <w:proofErr w:type="spellStart"/>
      <w:r w:rsidRPr="002D2781">
        <w:rPr>
          <w:rFonts w:ascii="Times New Roman" w:hAnsi="Times New Roman" w:cs="Times New Roman"/>
          <w:spacing w:val="-20"/>
          <w:sz w:val="24"/>
          <w:szCs w:val="24"/>
        </w:rPr>
        <w:t>Fals</w:t>
      </w:r>
      <w:proofErr w:type="spellEnd"/>
      <w:r w:rsidRPr="002D2781">
        <w:rPr>
          <w:rFonts w:ascii="Times New Roman" w:hAnsi="Times New Roman" w:cs="Times New Roman"/>
          <w:spacing w:val="-20"/>
          <w:sz w:val="24"/>
          <w:szCs w:val="24"/>
        </w:rPr>
        <w:t>, O. (2018). Orígenes universales y retos actuales de la IAP. Peripecias (110), 1-14.</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lastRenderedPageBreak/>
        <w:t>18.</w:t>
      </w:r>
      <w:r w:rsidRPr="002D2781">
        <w:rPr>
          <w:rFonts w:ascii="Times New Roman" w:hAnsi="Times New Roman" w:cs="Times New Roman"/>
          <w:spacing w:val="-20"/>
          <w:sz w:val="24"/>
          <w:szCs w:val="24"/>
        </w:rPr>
        <w:tab/>
        <w:t xml:space="preserve">FAO (2017). “El estado de la seguridad alimentaria y la nutrición en el mundo 2017. FAO, FIDA, UNICEF, PMA y OMS”. </w:t>
      </w:r>
      <w:hyperlink r:id="rId17" w:history="1">
        <w:r w:rsidR="007531D2" w:rsidRPr="00A728ED">
          <w:rPr>
            <w:rStyle w:val="Hipervnculo"/>
            <w:rFonts w:ascii="Times New Roman" w:hAnsi="Times New Roman" w:cs="Times New Roman"/>
            <w:spacing w:val="-20"/>
            <w:sz w:val="24"/>
            <w:szCs w:val="24"/>
          </w:rPr>
          <w:t>http://www.fao.org/3/a-I7695s.pdf</w:t>
        </w:r>
      </w:hyperlink>
      <w:r w:rsidR="007531D2">
        <w:rPr>
          <w:rFonts w:ascii="Times New Roman" w:hAnsi="Times New Roman" w:cs="Times New Roman"/>
          <w:spacing w:val="-20"/>
          <w:sz w:val="24"/>
          <w:szCs w:val="24"/>
        </w:rPr>
        <w:t xml:space="preserve"> </w:t>
      </w:r>
      <w:r w:rsidRPr="002D2781">
        <w:rPr>
          <w:rFonts w:ascii="Times New Roman" w:hAnsi="Times New Roman" w:cs="Times New Roman"/>
          <w:spacing w:val="-20"/>
          <w:sz w:val="24"/>
          <w:szCs w:val="24"/>
        </w:rPr>
        <w:t xml:space="preserve"> </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19.</w:t>
      </w:r>
      <w:r w:rsidRPr="002D2781">
        <w:rPr>
          <w:rFonts w:ascii="Times New Roman" w:hAnsi="Times New Roman" w:cs="Times New Roman"/>
          <w:spacing w:val="-20"/>
          <w:sz w:val="24"/>
          <w:szCs w:val="24"/>
        </w:rPr>
        <w:tab/>
        <w:t xml:space="preserve">Fernández, A., Castellanos, M. y </w:t>
      </w:r>
      <w:proofErr w:type="spellStart"/>
      <w:r w:rsidRPr="002D2781">
        <w:rPr>
          <w:rFonts w:ascii="Times New Roman" w:hAnsi="Times New Roman" w:cs="Times New Roman"/>
          <w:spacing w:val="-20"/>
          <w:sz w:val="24"/>
          <w:szCs w:val="24"/>
        </w:rPr>
        <w:t>Llivina</w:t>
      </w:r>
      <w:proofErr w:type="spellEnd"/>
      <w:r w:rsidRPr="002D2781">
        <w:rPr>
          <w:rFonts w:ascii="Times New Roman" w:hAnsi="Times New Roman" w:cs="Times New Roman"/>
          <w:spacing w:val="-20"/>
          <w:sz w:val="24"/>
          <w:szCs w:val="24"/>
        </w:rPr>
        <w:t xml:space="preserve">, M. (2010). De las capacidades a las competencias. En: Maestría en Ciencias de la </w:t>
      </w:r>
      <w:proofErr w:type="spellStart"/>
      <w:r w:rsidRPr="002D2781">
        <w:rPr>
          <w:rFonts w:ascii="Times New Roman" w:hAnsi="Times New Roman" w:cs="Times New Roman"/>
          <w:spacing w:val="-20"/>
          <w:sz w:val="24"/>
          <w:szCs w:val="24"/>
        </w:rPr>
        <w:t>Educ</w:t>
      </w:r>
      <w:proofErr w:type="spellEnd"/>
      <w:r w:rsidRPr="002D2781">
        <w:rPr>
          <w:rFonts w:ascii="Times New Roman" w:hAnsi="Times New Roman" w:cs="Times New Roman"/>
          <w:spacing w:val="-20"/>
          <w:sz w:val="24"/>
          <w:szCs w:val="24"/>
        </w:rPr>
        <w:t xml:space="preserve">. Parte I. pág. 111-118. La Habana, Cuba: Ed. Pueblo y </w:t>
      </w:r>
      <w:proofErr w:type="spellStart"/>
      <w:r w:rsidRPr="002D2781">
        <w:rPr>
          <w:rFonts w:ascii="Times New Roman" w:hAnsi="Times New Roman" w:cs="Times New Roman"/>
          <w:spacing w:val="-20"/>
          <w:sz w:val="24"/>
          <w:szCs w:val="24"/>
        </w:rPr>
        <w:t>Educ</w:t>
      </w:r>
      <w:proofErr w:type="spellEnd"/>
      <w:r w:rsidRPr="002D2781">
        <w:rPr>
          <w:rFonts w:ascii="Times New Roman" w:hAnsi="Times New Roman" w:cs="Times New Roman"/>
          <w:spacing w:val="-20"/>
          <w:sz w:val="24"/>
          <w:szCs w:val="24"/>
        </w:rPr>
        <w:t xml:space="preserve">. </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20.</w:t>
      </w:r>
      <w:r w:rsidRPr="002D2781">
        <w:rPr>
          <w:rFonts w:ascii="Times New Roman" w:hAnsi="Times New Roman" w:cs="Times New Roman"/>
          <w:spacing w:val="-20"/>
          <w:sz w:val="24"/>
          <w:szCs w:val="24"/>
        </w:rPr>
        <w:tab/>
        <w:t>Freire, P. (2008). Pedagogía del oprimido. Madrid: Ed. Siglo XXI.</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21.</w:t>
      </w:r>
      <w:r w:rsidRPr="002D2781">
        <w:rPr>
          <w:rFonts w:ascii="Times New Roman" w:hAnsi="Times New Roman" w:cs="Times New Roman"/>
          <w:spacing w:val="-20"/>
          <w:sz w:val="24"/>
          <w:szCs w:val="24"/>
        </w:rPr>
        <w:tab/>
      </w:r>
      <w:proofErr w:type="spellStart"/>
      <w:r w:rsidRPr="002D2781">
        <w:rPr>
          <w:rFonts w:ascii="Times New Roman" w:hAnsi="Times New Roman" w:cs="Times New Roman"/>
          <w:spacing w:val="-20"/>
          <w:sz w:val="24"/>
          <w:szCs w:val="24"/>
        </w:rPr>
        <w:t>Galdeano</w:t>
      </w:r>
      <w:proofErr w:type="spellEnd"/>
      <w:r w:rsidRPr="002D2781">
        <w:rPr>
          <w:rFonts w:ascii="Times New Roman" w:hAnsi="Times New Roman" w:cs="Times New Roman"/>
          <w:spacing w:val="-20"/>
          <w:sz w:val="24"/>
          <w:szCs w:val="24"/>
        </w:rPr>
        <w:t xml:space="preserve">, C. y Valiente, A. (2010). Competencias profesionales. Educación química. 21(1), 28-32. </w:t>
      </w:r>
      <w:hyperlink r:id="rId18" w:history="1">
        <w:r w:rsidR="007531D2" w:rsidRPr="00A728ED">
          <w:rPr>
            <w:rStyle w:val="Hipervnculo"/>
            <w:rFonts w:ascii="Times New Roman" w:hAnsi="Times New Roman" w:cs="Times New Roman"/>
            <w:spacing w:val="-20"/>
            <w:sz w:val="24"/>
            <w:szCs w:val="24"/>
          </w:rPr>
          <w:t>http://www.scielo.org.mx/pdf/eq/v21n1/v21n1a4.pdf</w:t>
        </w:r>
      </w:hyperlink>
      <w:r w:rsidR="007531D2">
        <w:rPr>
          <w:rFonts w:ascii="Times New Roman" w:hAnsi="Times New Roman" w:cs="Times New Roman"/>
          <w:spacing w:val="-20"/>
          <w:sz w:val="24"/>
          <w:szCs w:val="24"/>
        </w:rPr>
        <w:t xml:space="preserve"> </w:t>
      </w:r>
      <w:r w:rsidRPr="002D2781">
        <w:rPr>
          <w:rFonts w:ascii="Times New Roman" w:hAnsi="Times New Roman" w:cs="Times New Roman"/>
          <w:spacing w:val="-20"/>
          <w:sz w:val="24"/>
          <w:szCs w:val="24"/>
        </w:rPr>
        <w:t xml:space="preserve"> </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22.</w:t>
      </w:r>
      <w:r w:rsidRPr="002D2781">
        <w:rPr>
          <w:rFonts w:ascii="Times New Roman" w:hAnsi="Times New Roman" w:cs="Times New Roman"/>
          <w:spacing w:val="-20"/>
          <w:sz w:val="24"/>
          <w:szCs w:val="24"/>
        </w:rPr>
        <w:tab/>
        <w:t xml:space="preserve">Garcés, R. (2014) Las dimensiones de la gestión del conocimiento y los procesos de desarrollo local comunitario. Acta Universitaria, 24(1), 60-68.  </w:t>
      </w:r>
      <w:hyperlink r:id="rId19" w:history="1">
        <w:r w:rsidR="007531D2" w:rsidRPr="00A728ED">
          <w:rPr>
            <w:rStyle w:val="Hipervnculo"/>
            <w:rFonts w:ascii="Times New Roman" w:hAnsi="Times New Roman" w:cs="Times New Roman"/>
            <w:spacing w:val="-20"/>
            <w:sz w:val="24"/>
            <w:szCs w:val="24"/>
          </w:rPr>
          <w:t>http://www.ugto/acta.univ.mx</w:t>
        </w:r>
      </w:hyperlink>
      <w:r w:rsidR="007531D2">
        <w:rPr>
          <w:rFonts w:ascii="Times New Roman" w:hAnsi="Times New Roman" w:cs="Times New Roman"/>
          <w:spacing w:val="-20"/>
          <w:sz w:val="24"/>
          <w:szCs w:val="24"/>
        </w:rPr>
        <w:t xml:space="preserve"> </w:t>
      </w:r>
      <w:r w:rsidRPr="002D2781">
        <w:rPr>
          <w:rFonts w:ascii="Times New Roman" w:hAnsi="Times New Roman" w:cs="Times New Roman"/>
          <w:spacing w:val="-20"/>
          <w:sz w:val="24"/>
          <w:szCs w:val="24"/>
        </w:rPr>
        <w:t xml:space="preserve">   </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23.</w:t>
      </w:r>
      <w:r w:rsidRPr="002D2781">
        <w:rPr>
          <w:rFonts w:ascii="Times New Roman" w:hAnsi="Times New Roman" w:cs="Times New Roman"/>
          <w:spacing w:val="-20"/>
          <w:sz w:val="24"/>
          <w:szCs w:val="24"/>
        </w:rPr>
        <w:tab/>
        <w:t>Gómez, J. (2015). Las competencias profesionales. Rev. Mexicana de Anestesiología, 38(1), 49-5.</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24.</w:t>
      </w:r>
      <w:r w:rsidRPr="002D2781">
        <w:rPr>
          <w:rFonts w:ascii="Times New Roman" w:hAnsi="Times New Roman" w:cs="Times New Roman"/>
          <w:spacing w:val="-20"/>
          <w:sz w:val="24"/>
          <w:szCs w:val="24"/>
        </w:rPr>
        <w:tab/>
        <w:t xml:space="preserve">Hernández, C.; Alonso, I. (2010) Conformación del sistema de innovación local en el municipio de Camajuaní. </w:t>
      </w:r>
      <w:proofErr w:type="spellStart"/>
      <w:r w:rsidRPr="002D2781">
        <w:rPr>
          <w:rFonts w:ascii="Times New Roman" w:hAnsi="Times New Roman" w:cs="Times New Roman"/>
          <w:spacing w:val="-20"/>
          <w:sz w:val="24"/>
          <w:szCs w:val="24"/>
        </w:rPr>
        <w:t>Proceedings</w:t>
      </w:r>
      <w:proofErr w:type="spellEnd"/>
      <w:r w:rsidRPr="002D2781">
        <w:rPr>
          <w:rFonts w:ascii="Times New Roman" w:hAnsi="Times New Roman" w:cs="Times New Roman"/>
          <w:spacing w:val="-20"/>
          <w:sz w:val="24"/>
          <w:szCs w:val="24"/>
        </w:rPr>
        <w:t xml:space="preserve"> </w:t>
      </w:r>
      <w:proofErr w:type="spellStart"/>
      <w:r w:rsidRPr="002D2781">
        <w:rPr>
          <w:rFonts w:ascii="Times New Roman" w:hAnsi="Times New Roman" w:cs="Times New Roman"/>
          <w:spacing w:val="-20"/>
          <w:sz w:val="24"/>
          <w:szCs w:val="24"/>
        </w:rPr>
        <w:t>Congr</w:t>
      </w:r>
      <w:proofErr w:type="spellEnd"/>
      <w:r w:rsidRPr="002D2781">
        <w:rPr>
          <w:rFonts w:ascii="Times New Roman" w:hAnsi="Times New Roman" w:cs="Times New Roman"/>
          <w:spacing w:val="-20"/>
          <w:sz w:val="24"/>
          <w:szCs w:val="24"/>
        </w:rPr>
        <w:t xml:space="preserve">. </w:t>
      </w:r>
      <w:proofErr w:type="spellStart"/>
      <w:r w:rsidRPr="002D2781">
        <w:rPr>
          <w:rFonts w:ascii="Times New Roman" w:hAnsi="Times New Roman" w:cs="Times New Roman"/>
          <w:spacing w:val="-20"/>
          <w:sz w:val="24"/>
          <w:szCs w:val="24"/>
        </w:rPr>
        <w:t>SinnCo</w:t>
      </w:r>
      <w:proofErr w:type="spellEnd"/>
      <w:r w:rsidRPr="002D2781">
        <w:rPr>
          <w:rFonts w:ascii="Times New Roman" w:hAnsi="Times New Roman" w:cs="Times New Roman"/>
          <w:spacing w:val="-20"/>
          <w:sz w:val="24"/>
          <w:szCs w:val="24"/>
        </w:rPr>
        <w:t xml:space="preserve"> 2010. Univ. </w:t>
      </w:r>
      <w:proofErr w:type="spellStart"/>
      <w:r w:rsidRPr="002D2781">
        <w:rPr>
          <w:rFonts w:ascii="Times New Roman" w:hAnsi="Times New Roman" w:cs="Times New Roman"/>
          <w:spacing w:val="-20"/>
          <w:sz w:val="24"/>
          <w:szCs w:val="24"/>
        </w:rPr>
        <w:t>Iberoam</w:t>
      </w:r>
      <w:proofErr w:type="spellEnd"/>
      <w:r w:rsidRPr="002D2781">
        <w:rPr>
          <w:rFonts w:ascii="Times New Roman" w:hAnsi="Times New Roman" w:cs="Times New Roman"/>
          <w:spacing w:val="-20"/>
          <w:sz w:val="24"/>
          <w:szCs w:val="24"/>
        </w:rPr>
        <w:t xml:space="preserve">. León Guanajuato. México.  </w:t>
      </w:r>
      <w:hyperlink r:id="rId20" w:history="1">
        <w:r w:rsidR="007531D2" w:rsidRPr="00A728ED">
          <w:rPr>
            <w:rStyle w:val="Hipervnculo"/>
            <w:rFonts w:ascii="Times New Roman" w:hAnsi="Times New Roman" w:cs="Times New Roman"/>
            <w:spacing w:val="-20"/>
            <w:sz w:val="24"/>
            <w:szCs w:val="24"/>
          </w:rPr>
          <w:t>http://octi.guanajuato.gob.mx/sinnco/formulario/memoriaSinnco2011/sinnco/PDF/SINNCO2010-P0085.pdf</w:t>
        </w:r>
      </w:hyperlink>
      <w:r w:rsidR="007531D2">
        <w:rPr>
          <w:rFonts w:ascii="Times New Roman" w:hAnsi="Times New Roman" w:cs="Times New Roman"/>
          <w:spacing w:val="-20"/>
          <w:sz w:val="24"/>
          <w:szCs w:val="24"/>
        </w:rPr>
        <w:t xml:space="preserve"> </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25.</w:t>
      </w:r>
      <w:r w:rsidRPr="002D2781">
        <w:rPr>
          <w:rFonts w:ascii="Times New Roman" w:hAnsi="Times New Roman" w:cs="Times New Roman"/>
          <w:spacing w:val="-20"/>
          <w:sz w:val="24"/>
          <w:szCs w:val="24"/>
        </w:rPr>
        <w:tab/>
        <w:t>Hernández, R., Fernández, C. y Baptista, M. (2014). Metodología de la Investigación (6ta ed.). México: McGraw-Hill</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26.</w:t>
      </w:r>
      <w:r w:rsidRPr="002D2781">
        <w:rPr>
          <w:rFonts w:ascii="Times New Roman" w:hAnsi="Times New Roman" w:cs="Times New Roman"/>
          <w:spacing w:val="-20"/>
          <w:sz w:val="24"/>
          <w:szCs w:val="24"/>
        </w:rPr>
        <w:tab/>
        <w:t xml:space="preserve">Hernández, C.; Carrasco, M.; Garcés, R.; Perdomo, J. (2018). Impacto de un modelo de gestión universitaria del conocimiento para el desarrollo agropecuario local en Camajuaní, Cuba. En: Núñez, J. (2018). La Educación Superior como agente de desarrollo local. pp.57-68. Editorial Félix Varela, Ciudad de La Habana, Cuba. </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27.</w:t>
      </w:r>
      <w:r w:rsidRPr="002D2781">
        <w:rPr>
          <w:rFonts w:ascii="Times New Roman" w:hAnsi="Times New Roman" w:cs="Times New Roman"/>
          <w:spacing w:val="-20"/>
          <w:sz w:val="24"/>
          <w:szCs w:val="24"/>
        </w:rPr>
        <w:tab/>
        <w:t xml:space="preserve">Hernández, C., Báez, A y Carrasco, M. (2020). Impacto económico y social de la ciencia y la tecnología en el Desarrollo. </w:t>
      </w:r>
      <w:proofErr w:type="spellStart"/>
      <w:r w:rsidRPr="002D2781">
        <w:rPr>
          <w:rFonts w:ascii="Times New Roman" w:hAnsi="Times New Roman" w:cs="Times New Roman"/>
          <w:spacing w:val="-20"/>
          <w:sz w:val="24"/>
          <w:szCs w:val="24"/>
        </w:rPr>
        <w:t>RECyT</w:t>
      </w:r>
      <w:proofErr w:type="spellEnd"/>
      <w:r w:rsidRPr="002D2781">
        <w:rPr>
          <w:rFonts w:ascii="Times New Roman" w:hAnsi="Times New Roman" w:cs="Times New Roman"/>
          <w:spacing w:val="-20"/>
          <w:sz w:val="24"/>
          <w:szCs w:val="24"/>
        </w:rPr>
        <w:t>. 22(34), 107–114.</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28.</w:t>
      </w:r>
      <w:r w:rsidRPr="002D2781">
        <w:rPr>
          <w:rFonts w:ascii="Times New Roman" w:hAnsi="Times New Roman" w:cs="Times New Roman"/>
          <w:spacing w:val="-20"/>
          <w:sz w:val="24"/>
          <w:szCs w:val="24"/>
        </w:rPr>
        <w:tab/>
        <w:t xml:space="preserve">Hernández, C.; Carrasco, M.; Báez, A. (2020a) Sistemas de innovación y formación de redes para el desarrollo local. Ciencia e Interculturalidad, 26(2), 88-98. </w:t>
      </w:r>
    </w:p>
    <w:p w:rsidR="002D2781" w:rsidRPr="007531D2" w:rsidRDefault="002D2781" w:rsidP="002D2781">
      <w:pPr>
        <w:tabs>
          <w:tab w:val="left" w:pos="270"/>
        </w:tabs>
        <w:spacing w:after="0" w:line="360" w:lineRule="auto"/>
        <w:jc w:val="both"/>
        <w:rPr>
          <w:rFonts w:ascii="Times New Roman" w:hAnsi="Times New Roman" w:cs="Times New Roman"/>
          <w:spacing w:val="-24"/>
          <w:sz w:val="24"/>
          <w:szCs w:val="24"/>
          <w:lang w:val="en-US"/>
        </w:rPr>
      </w:pPr>
      <w:r w:rsidRPr="007531D2">
        <w:rPr>
          <w:rFonts w:ascii="Times New Roman" w:hAnsi="Times New Roman" w:cs="Times New Roman"/>
          <w:spacing w:val="-24"/>
          <w:sz w:val="24"/>
          <w:szCs w:val="24"/>
        </w:rPr>
        <w:t>29.</w:t>
      </w:r>
      <w:r w:rsidRPr="007531D2">
        <w:rPr>
          <w:rFonts w:ascii="Times New Roman" w:hAnsi="Times New Roman" w:cs="Times New Roman"/>
          <w:spacing w:val="-24"/>
          <w:sz w:val="24"/>
          <w:szCs w:val="24"/>
        </w:rPr>
        <w:tab/>
        <w:t xml:space="preserve">Hernández, C.; Báez, A.; Carrasco, M. (2021) Resiliencia del hábitat rural a las consecuencias del cambio climático. </w:t>
      </w:r>
      <w:proofErr w:type="spellStart"/>
      <w:r w:rsidRPr="007531D2">
        <w:rPr>
          <w:rFonts w:ascii="Times New Roman" w:hAnsi="Times New Roman" w:cs="Times New Roman"/>
          <w:spacing w:val="-24"/>
          <w:sz w:val="24"/>
          <w:szCs w:val="24"/>
          <w:lang w:val="en-US"/>
        </w:rPr>
        <w:t>Ing</w:t>
      </w:r>
      <w:proofErr w:type="spellEnd"/>
      <w:r w:rsidRPr="007531D2">
        <w:rPr>
          <w:rFonts w:ascii="Times New Roman" w:hAnsi="Times New Roman" w:cs="Times New Roman"/>
          <w:spacing w:val="-24"/>
          <w:sz w:val="24"/>
          <w:szCs w:val="24"/>
          <w:lang w:val="en-US"/>
        </w:rPr>
        <w:t xml:space="preserve">. </w:t>
      </w:r>
      <w:proofErr w:type="spellStart"/>
      <w:r w:rsidRPr="007531D2">
        <w:rPr>
          <w:rFonts w:ascii="Times New Roman" w:hAnsi="Times New Roman" w:cs="Times New Roman"/>
          <w:spacing w:val="-24"/>
          <w:sz w:val="24"/>
          <w:szCs w:val="24"/>
          <w:lang w:val="en-US"/>
        </w:rPr>
        <w:t>USBMed</w:t>
      </w:r>
      <w:proofErr w:type="spellEnd"/>
      <w:r w:rsidRPr="007531D2">
        <w:rPr>
          <w:rFonts w:ascii="Times New Roman" w:hAnsi="Times New Roman" w:cs="Times New Roman"/>
          <w:spacing w:val="-24"/>
          <w:sz w:val="24"/>
          <w:szCs w:val="24"/>
          <w:lang w:val="en-US"/>
        </w:rPr>
        <w:t xml:space="preserve">. 12(2), 56-64. </w:t>
      </w:r>
      <w:hyperlink r:id="rId21" w:history="1">
        <w:r w:rsidR="007531D2" w:rsidRPr="007531D2">
          <w:rPr>
            <w:rStyle w:val="Hipervnculo"/>
            <w:rFonts w:ascii="Times New Roman" w:hAnsi="Times New Roman" w:cs="Times New Roman"/>
            <w:spacing w:val="-24"/>
            <w:sz w:val="24"/>
            <w:szCs w:val="24"/>
            <w:lang w:val="en-US"/>
          </w:rPr>
          <w:t>https://revistas.usb.edu.co/index.php/IngUSBmed/article/view/5171/4136</w:t>
        </w:r>
      </w:hyperlink>
      <w:r w:rsidRPr="007531D2">
        <w:rPr>
          <w:rFonts w:ascii="Times New Roman" w:hAnsi="Times New Roman" w:cs="Times New Roman"/>
          <w:spacing w:val="-24"/>
          <w:sz w:val="24"/>
          <w:szCs w:val="24"/>
          <w:lang w:val="en-US"/>
        </w:rPr>
        <w:t>.</w:t>
      </w:r>
      <w:r w:rsidR="007531D2" w:rsidRPr="007531D2">
        <w:rPr>
          <w:rFonts w:ascii="Times New Roman" w:hAnsi="Times New Roman" w:cs="Times New Roman"/>
          <w:spacing w:val="-24"/>
          <w:sz w:val="24"/>
          <w:szCs w:val="24"/>
          <w:lang w:val="en-US"/>
        </w:rPr>
        <w:t xml:space="preserve"> </w:t>
      </w:r>
      <w:r w:rsidRPr="007531D2">
        <w:rPr>
          <w:rFonts w:ascii="Times New Roman" w:hAnsi="Times New Roman" w:cs="Times New Roman"/>
          <w:spacing w:val="-24"/>
          <w:sz w:val="24"/>
          <w:szCs w:val="24"/>
          <w:lang w:val="en-US"/>
        </w:rPr>
        <w:t xml:space="preserve">    </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30.</w:t>
      </w:r>
      <w:r w:rsidRPr="002D2781">
        <w:rPr>
          <w:rFonts w:ascii="Times New Roman" w:hAnsi="Times New Roman" w:cs="Times New Roman"/>
          <w:spacing w:val="-20"/>
          <w:sz w:val="24"/>
          <w:szCs w:val="24"/>
        </w:rPr>
        <w:tab/>
        <w:t xml:space="preserve">Hernández, C.; Carrasco, M.; Báez, A. (2022) Red Local de Gestión del conocimiento y la innovación para el desarrollo local. Interconectando saberes. 6(13), 1-11. </w:t>
      </w:r>
      <w:hyperlink r:id="rId22" w:history="1">
        <w:r w:rsidR="007531D2" w:rsidRPr="00A728ED">
          <w:rPr>
            <w:rStyle w:val="Hipervnculo"/>
            <w:rFonts w:ascii="Times New Roman" w:hAnsi="Times New Roman" w:cs="Times New Roman"/>
            <w:spacing w:val="-20"/>
            <w:sz w:val="24"/>
            <w:szCs w:val="24"/>
          </w:rPr>
          <w:t>https://is.uv.mx/index.php/IS/</w:t>
        </w:r>
      </w:hyperlink>
      <w:r w:rsidR="007531D2">
        <w:rPr>
          <w:rFonts w:ascii="Times New Roman" w:hAnsi="Times New Roman" w:cs="Times New Roman"/>
          <w:spacing w:val="-20"/>
          <w:sz w:val="24"/>
          <w:szCs w:val="24"/>
        </w:rPr>
        <w:t xml:space="preserve"> </w:t>
      </w:r>
      <w:r w:rsidRPr="002D2781">
        <w:rPr>
          <w:rFonts w:ascii="Times New Roman" w:hAnsi="Times New Roman" w:cs="Times New Roman"/>
          <w:spacing w:val="-20"/>
          <w:sz w:val="24"/>
          <w:szCs w:val="24"/>
        </w:rPr>
        <w:t xml:space="preserve"> </w:t>
      </w:r>
      <w:r w:rsidR="007531D2">
        <w:rPr>
          <w:rFonts w:ascii="Times New Roman" w:hAnsi="Times New Roman" w:cs="Times New Roman"/>
          <w:spacing w:val="-20"/>
          <w:sz w:val="24"/>
          <w:szCs w:val="24"/>
        </w:rPr>
        <w:t xml:space="preserve"> </w:t>
      </w:r>
      <w:r w:rsidRPr="002D2781">
        <w:rPr>
          <w:rFonts w:ascii="Times New Roman" w:hAnsi="Times New Roman" w:cs="Times New Roman"/>
          <w:spacing w:val="-20"/>
          <w:sz w:val="24"/>
          <w:szCs w:val="24"/>
        </w:rPr>
        <w:t xml:space="preserve">   </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31.</w:t>
      </w:r>
      <w:r w:rsidRPr="002D2781">
        <w:rPr>
          <w:rFonts w:ascii="Times New Roman" w:hAnsi="Times New Roman" w:cs="Times New Roman"/>
          <w:spacing w:val="-20"/>
          <w:sz w:val="24"/>
          <w:szCs w:val="24"/>
        </w:rPr>
        <w:tab/>
        <w:t xml:space="preserve">Hernández, C. (2024) Modelo de formación de la competencia gestión del conocimiento y la innovación para el desarrollo agropecuario local. Tesis doctoral. Univ. Central Marta Abreu de Las Villas. </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32.</w:t>
      </w:r>
      <w:r w:rsidRPr="002D2781">
        <w:rPr>
          <w:rFonts w:ascii="Times New Roman" w:hAnsi="Times New Roman" w:cs="Times New Roman"/>
          <w:spacing w:val="-20"/>
          <w:sz w:val="24"/>
          <w:szCs w:val="24"/>
        </w:rPr>
        <w:tab/>
      </w:r>
      <w:proofErr w:type="spellStart"/>
      <w:r w:rsidRPr="002D2781">
        <w:rPr>
          <w:rFonts w:ascii="Times New Roman" w:hAnsi="Times New Roman" w:cs="Times New Roman"/>
          <w:spacing w:val="-20"/>
          <w:sz w:val="24"/>
          <w:szCs w:val="24"/>
        </w:rPr>
        <w:t>Huachillo</w:t>
      </w:r>
      <w:proofErr w:type="spellEnd"/>
      <w:r w:rsidRPr="002D2781">
        <w:rPr>
          <w:rFonts w:ascii="Times New Roman" w:hAnsi="Times New Roman" w:cs="Times New Roman"/>
          <w:spacing w:val="-20"/>
          <w:sz w:val="24"/>
          <w:szCs w:val="24"/>
        </w:rPr>
        <w:t xml:space="preserve">, M. (2019). Evaluación de las competencias profesionales del docente y la calidad en la formación profesional según la percepción de los estudiantes. Tesis de maestría. Univ. </w:t>
      </w:r>
      <w:proofErr w:type="spellStart"/>
      <w:r w:rsidRPr="002D2781">
        <w:rPr>
          <w:rFonts w:ascii="Times New Roman" w:hAnsi="Times New Roman" w:cs="Times New Roman"/>
          <w:spacing w:val="-20"/>
          <w:sz w:val="24"/>
          <w:szCs w:val="24"/>
        </w:rPr>
        <w:t>Nac</w:t>
      </w:r>
      <w:proofErr w:type="spellEnd"/>
      <w:r w:rsidRPr="002D2781">
        <w:rPr>
          <w:rFonts w:ascii="Times New Roman" w:hAnsi="Times New Roman" w:cs="Times New Roman"/>
          <w:spacing w:val="-20"/>
          <w:sz w:val="24"/>
          <w:szCs w:val="24"/>
        </w:rPr>
        <w:t xml:space="preserve">. de </w:t>
      </w:r>
      <w:proofErr w:type="spellStart"/>
      <w:r w:rsidRPr="002D2781">
        <w:rPr>
          <w:rFonts w:ascii="Times New Roman" w:hAnsi="Times New Roman" w:cs="Times New Roman"/>
          <w:spacing w:val="-20"/>
          <w:sz w:val="24"/>
          <w:szCs w:val="24"/>
        </w:rPr>
        <w:t>Educ</w:t>
      </w:r>
      <w:proofErr w:type="spellEnd"/>
      <w:r w:rsidRPr="002D2781">
        <w:rPr>
          <w:rFonts w:ascii="Times New Roman" w:hAnsi="Times New Roman" w:cs="Times New Roman"/>
          <w:spacing w:val="-20"/>
          <w:sz w:val="24"/>
          <w:szCs w:val="24"/>
        </w:rPr>
        <w:t>. Enrique Guzmán.</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33.</w:t>
      </w:r>
      <w:r w:rsidRPr="002D2781">
        <w:rPr>
          <w:rFonts w:ascii="Times New Roman" w:hAnsi="Times New Roman" w:cs="Times New Roman"/>
          <w:spacing w:val="-20"/>
          <w:sz w:val="24"/>
          <w:szCs w:val="24"/>
        </w:rPr>
        <w:tab/>
        <w:t xml:space="preserve">Ibarra, A. (2020). Formación de recursos humanos y competencia laboral, Boletín </w:t>
      </w:r>
      <w:proofErr w:type="spellStart"/>
      <w:r w:rsidRPr="002D2781">
        <w:rPr>
          <w:rFonts w:ascii="Times New Roman" w:hAnsi="Times New Roman" w:cs="Times New Roman"/>
          <w:spacing w:val="-20"/>
          <w:sz w:val="24"/>
          <w:szCs w:val="24"/>
        </w:rPr>
        <w:t>Cinterfor</w:t>
      </w:r>
      <w:proofErr w:type="spellEnd"/>
      <w:r w:rsidRPr="002D2781">
        <w:rPr>
          <w:rFonts w:ascii="Times New Roman" w:hAnsi="Times New Roman" w:cs="Times New Roman"/>
          <w:spacing w:val="-20"/>
          <w:sz w:val="24"/>
          <w:szCs w:val="24"/>
        </w:rPr>
        <w:t>. (149), 95-107.</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lastRenderedPageBreak/>
        <w:t>34.</w:t>
      </w:r>
      <w:r w:rsidRPr="002D2781">
        <w:rPr>
          <w:rFonts w:ascii="Times New Roman" w:hAnsi="Times New Roman" w:cs="Times New Roman"/>
          <w:spacing w:val="-20"/>
          <w:sz w:val="24"/>
          <w:szCs w:val="24"/>
        </w:rPr>
        <w:tab/>
      </w:r>
      <w:proofErr w:type="spellStart"/>
      <w:r w:rsidRPr="002D2781">
        <w:rPr>
          <w:rFonts w:ascii="Times New Roman" w:hAnsi="Times New Roman" w:cs="Times New Roman"/>
          <w:spacing w:val="-20"/>
          <w:sz w:val="24"/>
          <w:szCs w:val="24"/>
        </w:rPr>
        <w:t>Lundvall</w:t>
      </w:r>
      <w:proofErr w:type="spellEnd"/>
      <w:r w:rsidRPr="002D2781">
        <w:rPr>
          <w:rFonts w:ascii="Times New Roman" w:hAnsi="Times New Roman" w:cs="Times New Roman"/>
          <w:spacing w:val="-20"/>
          <w:sz w:val="24"/>
          <w:szCs w:val="24"/>
        </w:rPr>
        <w:t xml:space="preserve">, B. (2015). De la innovación como un proceso interactivo al sistema nacional de innovación en una era de globalización. Conferencia magistral. GLOBELICS. Ciudad Habana. </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35.</w:t>
      </w:r>
      <w:r w:rsidRPr="002D2781">
        <w:rPr>
          <w:rFonts w:ascii="Times New Roman" w:hAnsi="Times New Roman" w:cs="Times New Roman"/>
          <w:spacing w:val="-20"/>
          <w:sz w:val="24"/>
          <w:szCs w:val="24"/>
        </w:rPr>
        <w:tab/>
        <w:t>MICS, 2014. Indicador Dieta mínima aceptable. Proyecto Pro-</w:t>
      </w:r>
      <w:proofErr w:type="spellStart"/>
      <w:r w:rsidRPr="002D2781">
        <w:rPr>
          <w:rFonts w:ascii="Times New Roman" w:hAnsi="Times New Roman" w:cs="Times New Roman"/>
          <w:spacing w:val="-20"/>
          <w:sz w:val="24"/>
          <w:szCs w:val="24"/>
        </w:rPr>
        <w:t>Act</w:t>
      </w:r>
      <w:proofErr w:type="spellEnd"/>
      <w:r w:rsidRPr="002D2781">
        <w:rPr>
          <w:rFonts w:ascii="Times New Roman" w:hAnsi="Times New Roman" w:cs="Times New Roman"/>
          <w:spacing w:val="-20"/>
          <w:sz w:val="24"/>
          <w:szCs w:val="24"/>
        </w:rPr>
        <w:t>. C. de La Habana. Cuba.</w:t>
      </w:r>
    </w:p>
    <w:p w:rsidR="002D2781" w:rsidRPr="007531D2" w:rsidRDefault="002D2781" w:rsidP="002D2781">
      <w:pPr>
        <w:tabs>
          <w:tab w:val="left" w:pos="270"/>
        </w:tabs>
        <w:spacing w:after="0" w:line="360" w:lineRule="auto"/>
        <w:jc w:val="both"/>
        <w:rPr>
          <w:rFonts w:ascii="Times New Roman" w:hAnsi="Times New Roman" w:cs="Times New Roman"/>
          <w:spacing w:val="-28"/>
          <w:sz w:val="24"/>
          <w:szCs w:val="24"/>
        </w:rPr>
      </w:pPr>
      <w:r w:rsidRPr="007531D2">
        <w:rPr>
          <w:rFonts w:ascii="Times New Roman" w:hAnsi="Times New Roman" w:cs="Times New Roman"/>
          <w:spacing w:val="-28"/>
          <w:sz w:val="24"/>
          <w:szCs w:val="24"/>
        </w:rPr>
        <w:t>36.</w:t>
      </w:r>
      <w:r w:rsidRPr="007531D2">
        <w:rPr>
          <w:rFonts w:ascii="Times New Roman" w:hAnsi="Times New Roman" w:cs="Times New Roman"/>
          <w:spacing w:val="-28"/>
          <w:sz w:val="24"/>
          <w:szCs w:val="24"/>
        </w:rPr>
        <w:tab/>
        <w:t xml:space="preserve">Nocedo, I. y Abreu, E. (2011). Metodología de la investigación educacional. II parte. La Habana: Ed. Pueblo y </w:t>
      </w:r>
      <w:proofErr w:type="spellStart"/>
      <w:r w:rsidRPr="007531D2">
        <w:rPr>
          <w:rFonts w:ascii="Times New Roman" w:hAnsi="Times New Roman" w:cs="Times New Roman"/>
          <w:spacing w:val="-28"/>
          <w:sz w:val="24"/>
          <w:szCs w:val="24"/>
        </w:rPr>
        <w:t>Educ</w:t>
      </w:r>
      <w:proofErr w:type="spellEnd"/>
      <w:r w:rsidRPr="007531D2">
        <w:rPr>
          <w:rFonts w:ascii="Times New Roman" w:hAnsi="Times New Roman" w:cs="Times New Roman"/>
          <w:spacing w:val="-28"/>
          <w:sz w:val="24"/>
          <w:szCs w:val="24"/>
        </w:rPr>
        <w:t>.</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37.</w:t>
      </w:r>
      <w:r w:rsidRPr="002D2781">
        <w:rPr>
          <w:rFonts w:ascii="Times New Roman" w:hAnsi="Times New Roman" w:cs="Times New Roman"/>
          <w:spacing w:val="-20"/>
          <w:sz w:val="24"/>
          <w:szCs w:val="24"/>
        </w:rPr>
        <w:tab/>
        <w:t xml:space="preserve">OCDE (2018). </w:t>
      </w:r>
      <w:proofErr w:type="spellStart"/>
      <w:r w:rsidRPr="002D2781">
        <w:rPr>
          <w:rFonts w:ascii="Times New Roman" w:hAnsi="Times New Roman" w:cs="Times New Roman"/>
          <w:spacing w:val="-20"/>
          <w:sz w:val="24"/>
          <w:szCs w:val="24"/>
        </w:rPr>
        <w:t>The</w:t>
      </w:r>
      <w:proofErr w:type="spellEnd"/>
      <w:r w:rsidRPr="002D2781">
        <w:rPr>
          <w:rFonts w:ascii="Times New Roman" w:hAnsi="Times New Roman" w:cs="Times New Roman"/>
          <w:spacing w:val="-20"/>
          <w:sz w:val="24"/>
          <w:szCs w:val="24"/>
        </w:rPr>
        <w:t xml:space="preserve"> </w:t>
      </w:r>
      <w:proofErr w:type="spellStart"/>
      <w:r w:rsidRPr="002D2781">
        <w:rPr>
          <w:rFonts w:ascii="Times New Roman" w:hAnsi="Times New Roman" w:cs="Times New Roman"/>
          <w:spacing w:val="-20"/>
          <w:sz w:val="24"/>
          <w:szCs w:val="24"/>
        </w:rPr>
        <w:t>definition</w:t>
      </w:r>
      <w:proofErr w:type="spellEnd"/>
      <w:r w:rsidRPr="002D2781">
        <w:rPr>
          <w:rFonts w:ascii="Times New Roman" w:hAnsi="Times New Roman" w:cs="Times New Roman"/>
          <w:spacing w:val="-20"/>
          <w:sz w:val="24"/>
          <w:szCs w:val="24"/>
        </w:rPr>
        <w:t xml:space="preserve"> and </w:t>
      </w:r>
      <w:proofErr w:type="spellStart"/>
      <w:r w:rsidRPr="002D2781">
        <w:rPr>
          <w:rFonts w:ascii="Times New Roman" w:hAnsi="Times New Roman" w:cs="Times New Roman"/>
          <w:spacing w:val="-20"/>
          <w:sz w:val="24"/>
          <w:szCs w:val="24"/>
        </w:rPr>
        <w:t>selection</w:t>
      </w:r>
      <w:proofErr w:type="spellEnd"/>
      <w:r w:rsidRPr="002D2781">
        <w:rPr>
          <w:rFonts w:ascii="Times New Roman" w:hAnsi="Times New Roman" w:cs="Times New Roman"/>
          <w:spacing w:val="-20"/>
          <w:sz w:val="24"/>
          <w:szCs w:val="24"/>
        </w:rPr>
        <w:t xml:space="preserve"> of </w:t>
      </w:r>
      <w:proofErr w:type="spellStart"/>
      <w:r w:rsidRPr="002D2781">
        <w:rPr>
          <w:rFonts w:ascii="Times New Roman" w:hAnsi="Times New Roman" w:cs="Times New Roman"/>
          <w:spacing w:val="-20"/>
          <w:sz w:val="24"/>
          <w:szCs w:val="24"/>
        </w:rPr>
        <w:t>key</w:t>
      </w:r>
      <w:proofErr w:type="spellEnd"/>
      <w:r w:rsidRPr="002D2781">
        <w:rPr>
          <w:rFonts w:ascii="Times New Roman" w:hAnsi="Times New Roman" w:cs="Times New Roman"/>
          <w:spacing w:val="-20"/>
          <w:sz w:val="24"/>
          <w:szCs w:val="24"/>
        </w:rPr>
        <w:t xml:space="preserve"> </w:t>
      </w:r>
      <w:proofErr w:type="spellStart"/>
      <w:r w:rsidRPr="002D2781">
        <w:rPr>
          <w:rFonts w:ascii="Times New Roman" w:hAnsi="Times New Roman" w:cs="Times New Roman"/>
          <w:spacing w:val="-20"/>
          <w:sz w:val="24"/>
          <w:szCs w:val="24"/>
        </w:rPr>
        <w:t>competencies</w:t>
      </w:r>
      <w:proofErr w:type="spellEnd"/>
      <w:r w:rsidRPr="002D2781">
        <w:rPr>
          <w:rFonts w:ascii="Times New Roman" w:hAnsi="Times New Roman" w:cs="Times New Roman"/>
          <w:spacing w:val="-20"/>
          <w:sz w:val="24"/>
          <w:szCs w:val="24"/>
        </w:rPr>
        <w:t xml:space="preserve">. </w:t>
      </w:r>
      <w:proofErr w:type="spellStart"/>
      <w:r w:rsidRPr="002D2781">
        <w:rPr>
          <w:rFonts w:ascii="Times New Roman" w:hAnsi="Times New Roman" w:cs="Times New Roman"/>
          <w:spacing w:val="-20"/>
          <w:sz w:val="24"/>
          <w:szCs w:val="24"/>
        </w:rPr>
        <w:t>Executive</w:t>
      </w:r>
      <w:proofErr w:type="spellEnd"/>
      <w:r w:rsidRPr="002D2781">
        <w:rPr>
          <w:rFonts w:ascii="Times New Roman" w:hAnsi="Times New Roman" w:cs="Times New Roman"/>
          <w:spacing w:val="-20"/>
          <w:sz w:val="24"/>
          <w:szCs w:val="24"/>
        </w:rPr>
        <w:t xml:space="preserve"> </w:t>
      </w:r>
      <w:proofErr w:type="spellStart"/>
      <w:r w:rsidRPr="002D2781">
        <w:rPr>
          <w:rFonts w:ascii="Times New Roman" w:hAnsi="Times New Roman" w:cs="Times New Roman"/>
          <w:spacing w:val="-20"/>
          <w:sz w:val="24"/>
          <w:szCs w:val="24"/>
        </w:rPr>
        <w:t>Summary</w:t>
      </w:r>
      <w:proofErr w:type="spellEnd"/>
      <w:r w:rsidRPr="002D2781">
        <w:rPr>
          <w:rFonts w:ascii="Times New Roman" w:hAnsi="Times New Roman" w:cs="Times New Roman"/>
          <w:spacing w:val="-20"/>
          <w:sz w:val="24"/>
          <w:szCs w:val="24"/>
        </w:rPr>
        <w:t xml:space="preserve">. http://www.pisa.oecd.org/dataoecd/47/61/35070367.pdf </w:t>
      </w:r>
      <w:r w:rsidR="007531D2">
        <w:rPr>
          <w:rFonts w:ascii="Times New Roman" w:hAnsi="Times New Roman" w:cs="Times New Roman"/>
          <w:spacing w:val="-20"/>
          <w:sz w:val="24"/>
          <w:szCs w:val="24"/>
        </w:rPr>
        <w:t xml:space="preserve"> </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38.</w:t>
      </w:r>
      <w:r w:rsidRPr="002D2781">
        <w:rPr>
          <w:rFonts w:ascii="Times New Roman" w:hAnsi="Times New Roman" w:cs="Times New Roman"/>
          <w:spacing w:val="-20"/>
          <w:sz w:val="24"/>
          <w:szCs w:val="24"/>
        </w:rPr>
        <w:tab/>
        <w:t xml:space="preserve">ONU-Cuba (2025). Los Sistemas Alimentarios Locales. </w:t>
      </w:r>
      <w:hyperlink r:id="rId23" w:history="1">
        <w:r w:rsidR="007531D2" w:rsidRPr="00A728ED">
          <w:rPr>
            <w:rStyle w:val="Hipervnculo"/>
            <w:rFonts w:ascii="Times New Roman" w:hAnsi="Times New Roman" w:cs="Times New Roman"/>
            <w:spacing w:val="-20"/>
            <w:sz w:val="24"/>
            <w:szCs w:val="24"/>
          </w:rPr>
          <w:t>https://x.com/ONU_Cuba/status/1876651034002460722</w:t>
        </w:r>
      </w:hyperlink>
      <w:r w:rsidR="007531D2">
        <w:rPr>
          <w:rFonts w:ascii="Times New Roman" w:hAnsi="Times New Roman" w:cs="Times New Roman"/>
          <w:spacing w:val="-20"/>
          <w:sz w:val="24"/>
          <w:szCs w:val="24"/>
        </w:rPr>
        <w:t xml:space="preserve"> </w:t>
      </w:r>
      <w:r w:rsidRPr="002D2781">
        <w:rPr>
          <w:rFonts w:ascii="Times New Roman" w:hAnsi="Times New Roman" w:cs="Times New Roman"/>
          <w:spacing w:val="-20"/>
          <w:sz w:val="24"/>
          <w:szCs w:val="24"/>
        </w:rPr>
        <w:t xml:space="preserve"> </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39.</w:t>
      </w:r>
      <w:r w:rsidRPr="002D2781">
        <w:rPr>
          <w:rFonts w:ascii="Times New Roman" w:hAnsi="Times New Roman" w:cs="Times New Roman"/>
          <w:spacing w:val="-20"/>
          <w:sz w:val="24"/>
          <w:szCs w:val="24"/>
        </w:rPr>
        <w:tab/>
        <w:t xml:space="preserve">PCC (2017). Lineamientos de la política económica y social del Partido. VII Congreso. C. Habana. Ed. Política. </w:t>
      </w:r>
      <w:hyperlink r:id="rId24" w:history="1">
        <w:r w:rsidR="007531D2" w:rsidRPr="00A728ED">
          <w:rPr>
            <w:rStyle w:val="Hipervnculo"/>
            <w:rFonts w:ascii="Times New Roman" w:hAnsi="Times New Roman" w:cs="Times New Roman"/>
            <w:spacing w:val="-20"/>
            <w:sz w:val="24"/>
            <w:szCs w:val="24"/>
          </w:rPr>
          <w:t>http://www.granma.cu/file/pdf/gaceta/%C3%-BAltimo%20PDF%2032.pdf</w:t>
        </w:r>
      </w:hyperlink>
      <w:r w:rsidRPr="002D2781">
        <w:rPr>
          <w:rFonts w:ascii="Times New Roman" w:hAnsi="Times New Roman" w:cs="Times New Roman"/>
          <w:spacing w:val="-20"/>
          <w:sz w:val="24"/>
          <w:szCs w:val="24"/>
        </w:rPr>
        <w:t>.</w:t>
      </w:r>
      <w:r w:rsidR="007531D2">
        <w:rPr>
          <w:rFonts w:ascii="Times New Roman" w:hAnsi="Times New Roman" w:cs="Times New Roman"/>
          <w:spacing w:val="-20"/>
          <w:sz w:val="24"/>
          <w:szCs w:val="24"/>
        </w:rPr>
        <w:t xml:space="preserve"> </w:t>
      </w:r>
      <w:r w:rsidRPr="002D2781">
        <w:rPr>
          <w:rFonts w:ascii="Times New Roman" w:hAnsi="Times New Roman" w:cs="Times New Roman"/>
          <w:spacing w:val="-20"/>
          <w:sz w:val="24"/>
          <w:szCs w:val="24"/>
        </w:rPr>
        <w:t xml:space="preserve"> </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40.</w:t>
      </w:r>
      <w:r w:rsidRPr="002D2781">
        <w:rPr>
          <w:rFonts w:ascii="Times New Roman" w:hAnsi="Times New Roman" w:cs="Times New Roman"/>
          <w:spacing w:val="-20"/>
          <w:sz w:val="24"/>
          <w:szCs w:val="24"/>
        </w:rPr>
        <w:tab/>
        <w:t xml:space="preserve">Ramírez, R., Valdés, L. y Ferrer, J. (2012). Relevancia actual de la investigación-acción. Varela, </w:t>
      </w:r>
      <w:proofErr w:type="gramStart"/>
      <w:r w:rsidRPr="002D2781">
        <w:rPr>
          <w:rFonts w:ascii="Times New Roman" w:hAnsi="Times New Roman" w:cs="Times New Roman"/>
          <w:spacing w:val="-20"/>
          <w:sz w:val="24"/>
          <w:szCs w:val="24"/>
        </w:rPr>
        <w:t>I(</w:t>
      </w:r>
      <w:proofErr w:type="gramEnd"/>
      <w:r w:rsidRPr="002D2781">
        <w:rPr>
          <w:rFonts w:ascii="Times New Roman" w:hAnsi="Times New Roman" w:cs="Times New Roman"/>
          <w:spacing w:val="-20"/>
          <w:sz w:val="24"/>
          <w:szCs w:val="24"/>
        </w:rPr>
        <w:t>33), 1-15.</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41.</w:t>
      </w:r>
      <w:r w:rsidRPr="002D2781">
        <w:rPr>
          <w:rFonts w:ascii="Times New Roman" w:hAnsi="Times New Roman" w:cs="Times New Roman"/>
          <w:spacing w:val="-20"/>
          <w:sz w:val="24"/>
          <w:szCs w:val="24"/>
        </w:rPr>
        <w:tab/>
        <w:t>Rodríguez, Y. y Díaz, E. (2020). La formación docente desde un enfoque de competencias profesionales en el nivel medio superior. Rev. Universidad y Sociedad. 12(4), 270-274.</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42.</w:t>
      </w:r>
      <w:r w:rsidRPr="002D2781">
        <w:rPr>
          <w:rFonts w:ascii="Times New Roman" w:hAnsi="Times New Roman" w:cs="Times New Roman"/>
          <w:spacing w:val="-20"/>
          <w:sz w:val="24"/>
          <w:szCs w:val="24"/>
        </w:rPr>
        <w:tab/>
        <w:t>Rodríguez, D., Armengol, C., y Meneses, J. (2017). La adquisición de las competencias profesionales a través de las prácticas curriculares de la formación inicial de maestros. Rev. de Educación. 376, 229-251.</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43.</w:t>
      </w:r>
      <w:r w:rsidRPr="002D2781">
        <w:rPr>
          <w:rFonts w:ascii="Times New Roman" w:hAnsi="Times New Roman" w:cs="Times New Roman"/>
          <w:spacing w:val="-20"/>
          <w:sz w:val="24"/>
          <w:szCs w:val="24"/>
        </w:rPr>
        <w:tab/>
        <w:t xml:space="preserve">Ronquillo, L., Cabrera, C. y </w:t>
      </w:r>
      <w:proofErr w:type="spellStart"/>
      <w:r w:rsidRPr="002D2781">
        <w:rPr>
          <w:rFonts w:ascii="Times New Roman" w:hAnsi="Times New Roman" w:cs="Times New Roman"/>
          <w:spacing w:val="-20"/>
          <w:sz w:val="24"/>
          <w:szCs w:val="24"/>
        </w:rPr>
        <w:t>Barberán</w:t>
      </w:r>
      <w:proofErr w:type="spellEnd"/>
      <w:r w:rsidRPr="002D2781">
        <w:rPr>
          <w:rFonts w:ascii="Times New Roman" w:hAnsi="Times New Roman" w:cs="Times New Roman"/>
          <w:spacing w:val="-20"/>
          <w:sz w:val="24"/>
          <w:szCs w:val="24"/>
        </w:rPr>
        <w:t>, J. (2019). Competencias profesionales. Opuntia Brava. (11), 1-12.</w:t>
      </w:r>
    </w:p>
    <w:p w:rsidR="002D2781"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44.</w:t>
      </w:r>
      <w:r w:rsidRPr="002D2781">
        <w:rPr>
          <w:rFonts w:ascii="Times New Roman" w:hAnsi="Times New Roman" w:cs="Times New Roman"/>
          <w:spacing w:val="-20"/>
          <w:sz w:val="24"/>
          <w:szCs w:val="24"/>
        </w:rPr>
        <w:tab/>
        <w:t xml:space="preserve">Tejada J. y Navío, A. (2019). El desarrollo y la gestión de competencias profesionales: una mirada desde la formación. Rev. </w:t>
      </w:r>
      <w:proofErr w:type="spellStart"/>
      <w:r w:rsidRPr="002D2781">
        <w:rPr>
          <w:rFonts w:ascii="Times New Roman" w:hAnsi="Times New Roman" w:cs="Times New Roman"/>
          <w:spacing w:val="-20"/>
          <w:sz w:val="24"/>
          <w:szCs w:val="24"/>
        </w:rPr>
        <w:t>Iberoam</w:t>
      </w:r>
      <w:proofErr w:type="spellEnd"/>
      <w:r w:rsidRPr="002D2781">
        <w:rPr>
          <w:rFonts w:ascii="Times New Roman" w:hAnsi="Times New Roman" w:cs="Times New Roman"/>
          <w:spacing w:val="-20"/>
          <w:sz w:val="24"/>
          <w:szCs w:val="24"/>
        </w:rPr>
        <w:t xml:space="preserve">. de </w:t>
      </w:r>
      <w:proofErr w:type="spellStart"/>
      <w:r w:rsidRPr="002D2781">
        <w:rPr>
          <w:rFonts w:ascii="Times New Roman" w:hAnsi="Times New Roman" w:cs="Times New Roman"/>
          <w:spacing w:val="-20"/>
          <w:sz w:val="24"/>
          <w:szCs w:val="24"/>
        </w:rPr>
        <w:t>Educ</w:t>
      </w:r>
      <w:proofErr w:type="spellEnd"/>
      <w:r w:rsidRPr="002D2781">
        <w:rPr>
          <w:rFonts w:ascii="Times New Roman" w:hAnsi="Times New Roman" w:cs="Times New Roman"/>
          <w:spacing w:val="-20"/>
          <w:sz w:val="24"/>
          <w:szCs w:val="24"/>
        </w:rPr>
        <w:t xml:space="preserve">. 50(3), 1-15. </w:t>
      </w:r>
      <w:hyperlink r:id="rId25" w:history="1">
        <w:r w:rsidR="007531D2" w:rsidRPr="00A728ED">
          <w:rPr>
            <w:rStyle w:val="Hipervnculo"/>
            <w:rFonts w:ascii="Times New Roman" w:hAnsi="Times New Roman" w:cs="Times New Roman"/>
            <w:spacing w:val="-20"/>
            <w:sz w:val="24"/>
            <w:szCs w:val="24"/>
          </w:rPr>
          <w:t>https://rieoei.org/historico/deloslectores/1089Tejada.pdf</w:t>
        </w:r>
      </w:hyperlink>
      <w:r w:rsidR="007531D2">
        <w:rPr>
          <w:rFonts w:ascii="Times New Roman" w:hAnsi="Times New Roman" w:cs="Times New Roman"/>
          <w:spacing w:val="-20"/>
          <w:sz w:val="24"/>
          <w:szCs w:val="24"/>
        </w:rPr>
        <w:t xml:space="preserve"> </w:t>
      </w:r>
      <w:r w:rsidRPr="002D2781">
        <w:rPr>
          <w:rFonts w:ascii="Times New Roman" w:hAnsi="Times New Roman" w:cs="Times New Roman"/>
          <w:spacing w:val="-20"/>
          <w:sz w:val="24"/>
          <w:szCs w:val="24"/>
        </w:rPr>
        <w:t xml:space="preserve"> </w:t>
      </w:r>
    </w:p>
    <w:p w:rsidR="00D36D1C" w:rsidRPr="002D2781" w:rsidRDefault="002D2781" w:rsidP="002D2781">
      <w:pPr>
        <w:tabs>
          <w:tab w:val="left" w:pos="270"/>
        </w:tabs>
        <w:spacing w:after="0" w:line="360" w:lineRule="auto"/>
        <w:jc w:val="both"/>
        <w:rPr>
          <w:rFonts w:ascii="Times New Roman" w:hAnsi="Times New Roman" w:cs="Times New Roman"/>
          <w:spacing w:val="-20"/>
          <w:sz w:val="24"/>
          <w:szCs w:val="24"/>
        </w:rPr>
      </w:pPr>
      <w:r w:rsidRPr="002D2781">
        <w:rPr>
          <w:rFonts w:ascii="Times New Roman" w:hAnsi="Times New Roman" w:cs="Times New Roman"/>
          <w:spacing w:val="-20"/>
          <w:sz w:val="24"/>
          <w:szCs w:val="24"/>
        </w:rPr>
        <w:t>45.</w:t>
      </w:r>
      <w:r w:rsidRPr="002D2781">
        <w:rPr>
          <w:rFonts w:ascii="Times New Roman" w:hAnsi="Times New Roman" w:cs="Times New Roman"/>
          <w:spacing w:val="-20"/>
          <w:sz w:val="24"/>
          <w:szCs w:val="24"/>
        </w:rPr>
        <w:tab/>
        <w:t>UNICEF (2015) Fortificación de los purés de frutas 2008-2013 Informe final. INHEM: UNICEF.</w:t>
      </w:r>
    </w:p>
    <w:sectPr w:rsidR="00D36D1C" w:rsidRPr="002D2781" w:rsidSect="00C8585B">
      <w:headerReference w:type="default" r:id="rId26"/>
      <w:footerReference w:type="default" r:id="rId2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0A7" w:rsidRDefault="000900A7" w:rsidP="00C8585B">
      <w:pPr>
        <w:spacing w:after="0" w:line="240" w:lineRule="auto"/>
      </w:pPr>
      <w:r>
        <w:separator/>
      </w:r>
    </w:p>
  </w:endnote>
  <w:endnote w:type="continuationSeparator" w:id="0">
    <w:p w:rsidR="000900A7" w:rsidRDefault="000900A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717FF1">
          <w:rPr>
            <w:noProof/>
          </w:rPr>
          <w:t>18</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sidR="00357A82">
      <w:rPr>
        <w:rFonts w:ascii="Verdana" w:hAnsi="Verdana"/>
        <w:b/>
        <w:sz w:val="16"/>
        <w:szCs w:val="16"/>
        <w:lang w:val="es-ES_tradnl"/>
      </w:rPr>
      <w:t>5</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0A7" w:rsidRDefault="000900A7" w:rsidP="00C8585B">
      <w:pPr>
        <w:spacing w:after="0" w:line="240" w:lineRule="auto"/>
      </w:pPr>
      <w:r>
        <w:separator/>
      </w:r>
    </w:p>
  </w:footnote>
  <w:footnote w:type="continuationSeparator" w:id="0">
    <w:p w:rsidR="000900A7" w:rsidRDefault="000900A7"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5824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357A82">
            <w:rPr>
              <w:rFonts w:ascii="Verdana" w:hAnsi="Verdana"/>
              <w:b/>
              <w:sz w:val="16"/>
              <w:szCs w:val="16"/>
              <w:lang w:val="es-ES_tradnl"/>
            </w:rPr>
            <w:t>Internacional UCLV 2025</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172C6"/>
    <w:multiLevelType w:val="hybridMultilevel"/>
    <w:tmpl w:val="C04A6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511225"/>
    <w:multiLevelType w:val="hybridMultilevel"/>
    <w:tmpl w:val="84681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62275"/>
    <w:rsid w:val="000900A7"/>
    <w:rsid w:val="000A6EC7"/>
    <w:rsid w:val="000A7E19"/>
    <w:rsid w:val="000C14DC"/>
    <w:rsid w:val="002C72B1"/>
    <w:rsid w:val="002D2781"/>
    <w:rsid w:val="002E0882"/>
    <w:rsid w:val="002E272A"/>
    <w:rsid w:val="00357A82"/>
    <w:rsid w:val="00403285"/>
    <w:rsid w:val="00436454"/>
    <w:rsid w:val="004403B7"/>
    <w:rsid w:val="004C03EB"/>
    <w:rsid w:val="005754D8"/>
    <w:rsid w:val="00623C9C"/>
    <w:rsid w:val="006271E4"/>
    <w:rsid w:val="00667F10"/>
    <w:rsid w:val="00671849"/>
    <w:rsid w:val="00717FF1"/>
    <w:rsid w:val="007455FF"/>
    <w:rsid w:val="007531D2"/>
    <w:rsid w:val="00815971"/>
    <w:rsid w:val="0088159E"/>
    <w:rsid w:val="008A1C16"/>
    <w:rsid w:val="009061A5"/>
    <w:rsid w:val="0091621C"/>
    <w:rsid w:val="00972A58"/>
    <w:rsid w:val="00997AD7"/>
    <w:rsid w:val="009B1EF2"/>
    <w:rsid w:val="009D5E02"/>
    <w:rsid w:val="009D67CD"/>
    <w:rsid w:val="00A156A5"/>
    <w:rsid w:val="00A21A1F"/>
    <w:rsid w:val="00A62A14"/>
    <w:rsid w:val="00AE534B"/>
    <w:rsid w:val="00B06BF9"/>
    <w:rsid w:val="00B2024E"/>
    <w:rsid w:val="00B525BC"/>
    <w:rsid w:val="00B80E97"/>
    <w:rsid w:val="00BC197B"/>
    <w:rsid w:val="00BC770B"/>
    <w:rsid w:val="00BF6C8E"/>
    <w:rsid w:val="00C17100"/>
    <w:rsid w:val="00C8585B"/>
    <w:rsid w:val="00CD2BC3"/>
    <w:rsid w:val="00D36D1C"/>
    <w:rsid w:val="00D73DE9"/>
    <w:rsid w:val="00E40131"/>
    <w:rsid w:val="00E912D0"/>
    <w:rsid w:val="00F03E4D"/>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B2C3FB"/>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comentario">
    <w:name w:val="annotation text"/>
    <w:basedOn w:val="Normal"/>
    <w:link w:val="TextocomentarioCar"/>
    <w:uiPriority w:val="99"/>
    <w:semiHidden/>
    <w:unhideWhenUsed/>
    <w:rsid w:val="004C03E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03EB"/>
    <w:rPr>
      <w:sz w:val="20"/>
      <w:szCs w:val="20"/>
    </w:rPr>
  </w:style>
  <w:style w:type="paragraph" w:styleId="Asuntodelcomentario">
    <w:name w:val="annotation subject"/>
    <w:aliases w:val="Char Char Char Car Car Char Char Car Car Car Char Car Car Car Char Car Char Car Car Car Car Car,Char Char Char Car Car Char Char Car Car Car Char Car Car Car Char Car Char Car Car Car Car"/>
    <w:basedOn w:val="Textocomentario"/>
    <w:next w:val="Textocomentario"/>
    <w:semiHidden/>
    <w:rsid w:val="004C03EB"/>
    <w:pPr>
      <w:spacing w:after="0"/>
    </w:pPr>
    <w:rPr>
      <w:rFonts w:ascii="Times New Roman" w:eastAsia="Times New Roman" w:hAnsi="Times New Roman" w:cs="Times New Roman"/>
      <w:b/>
      <w:bCs/>
      <w:lang w:val="en-GB" w:eastAsia="es-ES"/>
    </w:rPr>
  </w:style>
  <w:style w:type="character" w:customStyle="1" w:styleId="AsuntodelcomentarioCar">
    <w:name w:val="Asunto del comentario Car"/>
    <w:basedOn w:val="TextocomentarioCar"/>
    <w:uiPriority w:val="99"/>
    <w:semiHidden/>
    <w:rsid w:val="004C03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bet7305@uclv.edu.cu" TargetMode="External"/><Relationship Id="rId13" Type="http://schemas.openxmlformats.org/officeDocument/2006/relationships/hyperlink" Target="https://www.redalyc.org/pdf/213/21320758007.pdf" TargetMode="External"/><Relationship Id="rId18" Type="http://schemas.openxmlformats.org/officeDocument/2006/relationships/hyperlink" Target="http://www.scielo.org.mx/pdf/eq/v21n1/v21n1a4.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revistas.usb.edu.co/index.php/IngUSBmed/article/view/5171/4136" TargetMode="External"/><Relationship Id="rId7" Type="http://schemas.openxmlformats.org/officeDocument/2006/relationships/hyperlink" Target="mailto:cahm862@uclv.edu.cu" TargetMode="External"/><Relationship Id="rId12" Type="http://schemas.openxmlformats.org/officeDocument/2006/relationships/hyperlink" Target="https://doi.org/10.5294/edu.2020.23.4.7" TargetMode="External"/><Relationship Id="rId17" Type="http://schemas.openxmlformats.org/officeDocument/2006/relationships/hyperlink" Target="http://www.fao.org/3/a-I7695s.pdf" TargetMode="External"/><Relationship Id="rId25" Type="http://schemas.openxmlformats.org/officeDocument/2006/relationships/hyperlink" Target="https://rieoei.org/historico/deloslectores/1089Tejada.pdf" TargetMode="External"/><Relationship Id="rId2" Type="http://schemas.openxmlformats.org/officeDocument/2006/relationships/styles" Target="styles.xml"/><Relationship Id="rId16" Type="http://schemas.openxmlformats.org/officeDocument/2006/relationships/hyperlink" Target="http://www.redalyc.org/articulo.oa?id=56729527002" TargetMode="External"/><Relationship Id="rId20" Type="http://schemas.openxmlformats.org/officeDocument/2006/relationships/hyperlink" Target="http://octi.guanajuato.gob.mx/sinnco/formulario/memoriaSinnco2011/sinnco/PDF/SINNCO2010-P0085.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x.doi.org/10.24836/es.v28i51.517" TargetMode="External"/><Relationship Id="rId24" Type="http://schemas.openxmlformats.org/officeDocument/2006/relationships/hyperlink" Target="http://www.granma.cu/file/pdf/gaceta/%C3%25-BAltimo%20PDF%2032.pdf" TargetMode="External"/><Relationship Id="rId5" Type="http://schemas.openxmlformats.org/officeDocument/2006/relationships/footnotes" Target="footnotes.xml"/><Relationship Id="rId15" Type="http://schemas.openxmlformats.org/officeDocument/2006/relationships/hyperlink" Target="https://educacionyeducadores.unisabana.edu.co/index.php/eye/article/view/3499/3422" TargetMode="External"/><Relationship Id="rId23" Type="http://schemas.openxmlformats.org/officeDocument/2006/relationships/hyperlink" Target="https://x.com/ONU_Cuba/status/1876651034002460722"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ugto/acta.univ.mx"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elearningeuropa.info/main/index" TargetMode="External"/><Relationship Id="rId22" Type="http://schemas.openxmlformats.org/officeDocument/2006/relationships/hyperlink" Target="https://is.uv.mx/index.php/IS/"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18</Pages>
  <Words>6905</Words>
  <Characters>39361</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46174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Estudiantes I</cp:lastModifiedBy>
  <cp:revision>6</cp:revision>
  <dcterms:created xsi:type="dcterms:W3CDTF">2025-05-30T18:43:00Z</dcterms:created>
  <dcterms:modified xsi:type="dcterms:W3CDTF">2025-05-30T19:27:00Z</dcterms:modified>
</cp:coreProperties>
</file>