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7C92" w14:textId="64C757E4" w:rsidR="00D55F6D" w:rsidRDefault="00603303" w:rsidP="00D55F6D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s-ES"/>
          <w14:ligatures w14:val="none"/>
        </w:rPr>
      </w:pPr>
      <w:r w:rsidRPr="00603303">
        <w:rPr>
          <w:rFonts w:ascii="Times New Roman" w:eastAsia="Calibri" w:hAnsi="Times New Roman" w:cs="Times New Roman"/>
          <w:b/>
          <w:kern w:val="0"/>
          <w:sz w:val="28"/>
          <w:szCs w:val="28"/>
          <w:lang w:val="es-ES"/>
          <w14:ligatures w14:val="none"/>
        </w:rPr>
        <w:t>ANÁLISIS MORFOLÓGICO TRIDIMENSIONAL Y DESGASTE FÍSICO DE AGREGADOS RECICLADOS TRATADOS CON POLÍMERO</w:t>
      </w:r>
    </w:p>
    <w:p w14:paraId="4E83A177" w14:textId="3BD3C153" w:rsidR="00603303" w:rsidRPr="00D55F6D" w:rsidRDefault="00603303" w:rsidP="00D55F6D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s-ES"/>
          <w14:ligatures w14:val="none"/>
        </w:rPr>
      </w:pPr>
      <w:r w:rsidRPr="00603303">
        <w:rPr>
          <w:rFonts w:ascii="Times New Roman" w:eastAsia="Calibri" w:hAnsi="Times New Roman" w:cs="Times New Roman"/>
          <w:b/>
          <w:kern w:val="0"/>
          <w:sz w:val="28"/>
          <w:szCs w:val="28"/>
          <w:lang w:val="es-ES"/>
          <w14:ligatures w14:val="none"/>
        </w:rPr>
        <w:t>THREE-DIMENSIONAL MORPHOLOGICAL ANALYSIS AND PHYSICAL DEGRADATION OF POLYMER-TREATED RECYCLED AGGREGATES</w:t>
      </w:r>
    </w:p>
    <w:p w14:paraId="3687E932" w14:textId="6DFBA6B1" w:rsidR="00D55F6D" w:rsidRPr="00D55F6D" w:rsidRDefault="005A1DB1" w:rsidP="00D55F6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Luis Angel Moreno Anselmi</w:t>
      </w:r>
      <w:r w:rsidR="00D55F6D" w:rsidRPr="00D55F6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1</w:t>
      </w:r>
      <w:r w:rsidR="00D55F6D"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Johanna Carolina Ruiz Acero</w:t>
      </w:r>
      <w:r w:rsidR="00D55F6D" w:rsidRPr="00D55F6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2</w:t>
      </w:r>
      <w:r w:rsidR="00D55F6D"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,</w:t>
      </w:r>
    </w:p>
    <w:p w14:paraId="717084A1" w14:textId="69F1D5F9" w:rsidR="005A1DB1" w:rsidRPr="00D55F6D" w:rsidRDefault="00603303" w:rsidP="005A1DB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Alexis</w:t>
      </w:r>
      <w:r w:rsidR="005A1DB1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 Sagastume </w:t>
      </w:r>
      <w:r w:rsidR="005A1DB1" w:rsidRPr="005A1DB1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Gutiérrez</w:t>
      </w:r>
      <w:r w:rsidR="00D55F6D" w:rsidRPr="00D55F6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3</w:t>
      </w:r>
      <w:r w:rsidR="005A1DB1"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B8594D" w:rsidRPr="00B8594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Manuel Alejandro Castro Fuentes</w:t>
      </w:r>
      <w:r w:rsidR="005A1DB1" w:rsidRPr="00D55F6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2</w:t>
      </w:r>
      <w:r w:rsidR="005A1DB1"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,</w:t>
      </w:r>
    </w:p>
    <w:p w14:paraId="1709FC42" w14:textId="18FF84F1" w:rsidR="00D55F6D" w:rsidRPr="00D55F6D" w:rsidRDefault="00B8594D" w:rsidP="005A1DB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  <w:proofErr w:type="spellStart"/>
      <w:r w:rsidRPr="00B8594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Márcio</w:t>
      </w:r>
      <w:proofErr w:type="spellEnd"/>
      <w:r w:rsidRPr="00B8594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B8594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Muniz</w:t>
      </w:r>
      <w:proofErr w:type="spellEnd"/>
      <w:r w:rsidRPr="00B8594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 de Farias</w:t>
      </w: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5</w:t>
      </w:r>
    </w:p>
    <w:p w14:paraId="751F2253" w14:textId="77777777" w:rsidR="00D55F6D" w:rsidRPr="00D55F6D" w:rsidRDefault="00D55F6D" w:rsidP="00D55F6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</w:p>
    <w:p w14:paraId="4674CCC1" w14:textId="3C561BB1" w:rsidR="00D55F6D" w:rsidRPr="00D55F6D" w:rsidRDefault="00D55F6D" w:rsidP="00D55F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  <w:r w:rsidRPr="00D55F6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1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Universidad Militar Nueva Granada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Bogotá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Colombia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5A1DB1" w:rsidRPr="005A1DB1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luis.moreno@unimilitar.edu.co</w:t>
      </w:r>
    </w:p>
    <w:p w14:paraId="09DFD2AC" w14:textId="25FF2411" w:rsidR="00D55F6D" w:rsidRPr="00D55F6D" w:rsidRDefault="00D55F6D" w:rsidP="00D55F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  <w:r w:rsidRPr="00D55F6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2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Universidad Militar Nueva Granada</w:t>
      </w:r>
      <w:r w:rsidR="00BF5F73"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Bogotá</w:t>
      </w:r>
      <w:r w:rsidR="00BF5F73"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Colombia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5A1DB1" w:rsidRPr="005A1DB1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johanna.ruiz@unimilitar.edu.co</w:t>
      </w:r>
    </w:p>
    <w:p w14:paraId="6AA1B9B1" w14:textId="10227A7A" w:rsidR="00D55F6D" w:rsidRDefault="00D55F6D" w:rsidP="00D55F6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  <w:r w:rsidRPr="00D55F6D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3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Universidad Militar Nueva Granada</w:t>
      </w:r>
      <w:r w:rsidR="00BF5F73"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Bogotá</w:t>
      </w:r>
      <w:r w:rsidR="00BF5F73"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Colombia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5A1DB1" w:rsidRPr="005A1DB1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alexis.sagastume@unimilitar.edu.co</w:t>
      </w:r>
    </w:p>
    <w:p w14:paraId="6925E488" w14:textId="2FFACDB5" w:rsidR="00BF5F73" w:rsidRDefault="00BF5F73" w:rsidP="00BF5F73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4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 </w:t>
      </w:r>
      <w:r w:rsidRP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Universidad Central "Marta Abreu" de las Villas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Pr="00BF5F73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Villa Clara, Cuba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 w:rsidR="005A1DB1" w:rsidRPr="005A1DB1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mafuentes@uclv.cu</w:t>
      </w:r>
    </w:p>
    <w:p w14:paraId="6DBD2951" w14:textId="2026BDDE" w:rsidR="00BF5F73" w:rsidRPr="005A1DB1" w:rsidRDefault="00BF5F73" w:rsidP="005A1DB1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val="es-ES"/>
          <w14:ligatures w14:val="none"/>
        </w:rPr>
        <w:t>5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Universidad de Brasilia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Brasilia</w:t>
      </w:r>
      <w:r w:rsidRPr="00D55F6D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 xml:space="preserve">Brasil, </w:t>
      </w:r>
      <w:r w:rsidR="005A1DB1" w:rsidRPr="005A1DB1">
        <w:rPr>
          <w:rFonts w:ascii="Times New Roman" w:eastAsia="Calibri" w:hAnsi="Times New Roman" w:cs="Times New Roman"/>
          <w:kern w:val="0"/>
          <w:sz w:val="20"/>
          <w:szCs w:val="20"/>
          <w:lang w:val="es-ES"/>
          <w14:ligatures w14:val="none"/>
        </w:rPr>
        <w:t>mmuniz94@gmail.com</w:t>
      </w:r>
    </w:p>
    <w:p w14:paraId="595DB7C1" w14:textId="77777777" w:rsidR="00D55F6D" w:rsidRPr="00D55F6D" w:rsidRDefault="00D55F6D" w:rsidP="00D55F6D">
      <w:pPr>
        <w:spacing w:line="240" w:lineRule="auto"/>
        <w:rPr>
          <w:rFonts w:ascii="Times New Roman" w:eastAsia="Calibri" w:hAnsi="Times New Roman" w:cs="Times New Roman"/>
          <w:b/>
          <w:kern w:val="0"/>
          <w:sz w:val="20"/>
          <w:szCs w:val="20"/>
          <w:lang w:val="es-ES"/>
          <w14:ligatures w14:val="none"/>
        </w:rPr>
      </w:pPr>
    </w:p>
    <w:p w14:paraId="7B5F5C00" w14:textId="77777777" w:rsidR="00D55F6D" w:rsidRPr="00D55F6D" w:rsidRDefault="00D55F6D" w:rsidP="00D55F6D">
      <w:pPr>
        <w:spacing w:line="240" w:lineRule="auto"/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</w:pPr>
      <w:r w:rsidRPr="00D55F6D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Resumen</w:t>
      </w:r>
    </w:p>
    <w:p w14:paraId="4984196F" w14:textId="0C830B7C" w:rsidR="00D55F6D" w:rsidRDefault="00603303" w:rsidP="00D55F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La creciente necesidad de integrar prácticas sostenibles en la ingeniería vial ha impulsado el uso de agregados reciclados provenientes de residuos de construcción y demolición (RCD) en mezclas asfálticas. No obstante, estos materiales presentan fragilidad estructural y alta porosidad, lo cual limita su aplicación técnica. En este estudio se evaluó el comportamiento morfológico tridimensional y la resistencia al desgaste físico de RCD tratados superficialmente con un aditivo polimérico de baja viscosidad. Las partículas fueron sometidas a procesos controlados de lavado y tamizado para simular condiciones reales de manipulación en planta. Se utilizó escaneo tridimensional mediante luz estructurada para reconstruir las geometrías antes y después del tratamiento, y se aplicó el algoritmo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Iterative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Closest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Point (ICP) para calcular la pérdida volumétrica. Paralelamente, se ejecutaron ensayos de desgaste en la máquina de Los Ángeles, conforme a norma ASTM C131, junto con análisis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microestructurales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(SEM y EDS) y mineralógicos (DRX). Los resultados muestran que el tratamiento polimérico genera una película superficial que actúa como barrera de protección, disminuyendo la pérdida de volumen (4,1 % frente al 9,3 % en muestras no tratadas) y mejorando la resistencia al desgaste (27,5 % de pérdida de masa frente al 38,6 %). Se concluye que la integración de técnicas de caracterización avanzada permite identificar con precisión el efecto de los tratamientos y fortalece la viabilidad del uso de RCD tratados como insumo alternativo en capas de mezcla asfáltica con criterios de durabilidad y sostenibilidad.</w:t>
      </w:r>
    </w:p>
    <w:p w14:paraId="1A5C5457" w14:textId="77777777" w:rsidR="00603303" w:rsidRPr="00D55F6D" w:rsidRDefault="00603303" w:rsidP="00D55F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6BD09FFF" w14:textId="533A0FE0" w:rsidR="00D55F6D" w:rsidRPr="00D55F6D" w:rsidRDefault="00D55F6D" w:rsidP="00D55F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D55F6D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Palabras Clave</w:t>
      </w:r>
      <w:r w:rsidRPr="00D55F6D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: </w:t>
      </w:r>
      <w:r w:rsidR="00603303"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RCD, morfología 3D, polímero, escaneo tridimensional, abrasión, mezclas asfálticas</w:t>
      </w:r>
    </w:p>
    <w:p w14:paraId="3D96F053" w14:textId="05F8B734" w:rsidR="00D55F6D" w:rsidRDefault="00D55F6D" w:rsidP="00D55F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54CE7AE1" w14:textId="77777777" w:rsidR="00603303" w:rsidRPr="00D55F6D" w:rsidRDefault="00603303" w:rsidP="00603303">
      <w:pPr>
        <w:spacing w:line="240" w:lineRule="auto"/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</w:pPr>
      <w:r w:rsidRPr="00D55F6D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Resumen</w:t>
      </w:r>
    </w:p>
    <w:p w14:paraId="72EE3D7A" w14:textId="0F120557" w:rsidR="00603303" w:rsidRDefault="00603303" w:rsidP="0060330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growing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demand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for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sustainable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practices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in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road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engineering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has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encouraged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incorporation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of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recycled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aggregates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derived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from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construction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and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demolition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waste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(CDW)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into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asphalt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mixtures.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However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these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materials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tend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to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exhibit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structural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fragility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and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high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porosity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limiting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their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technical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performance.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This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study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evaluated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three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-dimensional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morphological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behavior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and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physical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degradation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resistance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of CDW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aggregates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superficially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treated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with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low-viscosity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polymeric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additive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.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particles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underwent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controlled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washing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and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sieving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processes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to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simulate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handling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lastRenderedPageBreak/>
        <w:t>conditions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in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production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.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Structured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-light 3D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scanning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was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applied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to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reconstruct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geometry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of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particles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before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and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after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treatment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.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Iterative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Closest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Point (ICP)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algorithm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was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used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to compute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volumetric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loss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.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Additionally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Los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Angeles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abrasion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tests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were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conducted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following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ASTM C131,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along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with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SEM-EDS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microstructural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and XRD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mineralogical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analyses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.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Results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showed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that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polymer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treatment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forms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protective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film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particle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surface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reducing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volume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loss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(4.1% vs. 9.3% in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untreated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samples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) and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improving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abrasion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resistance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(27.5%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mass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loss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vs. 38.6%).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These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findings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confirm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that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advanced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characterization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techniques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offer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precise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tools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to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quantify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effects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of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physical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conditioning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and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validate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the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feasibility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of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using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treated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CDW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aggregates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as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alternative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material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for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asphalt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mixtures,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with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sustainability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and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durability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criteria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.</w:t>
      </w:r>
    </w:p>
    <w:p w14:paraId="41639E91" w14:textId="77777777" w:rsidR="00603303" w:rsidRPr="00D55F6D" w:rsidRDefault="00603303" w:rsidP="0060330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p w14:paraId="38B954FA" w14:textId="14913CEE" w:rsidR="00603303" w:rsidRPr="00D55F6D" w:rsidRDefault="00603303" w:rsidP="0060330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  <w:r w:rsidRPr="00D55F6D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Palabras Clave</w:t>
      </w:r>
      <w:r w:rsidRPr="00D55F6D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: </w:t>
      </w:r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CDW, 3D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morphology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polymer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3D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scanning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abrasion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, </w:t>
      </w:r>
      <w:proofErr w:type="spellStart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>asphalt</w:t>
      </w:r>
      <w:proofErr w:type="spellEnd"/>
      <w:r w:rsidRPr="00603303">
        <w:rPr>
          <w:rFonts w:ascii="Times New Roman" w:eastAsia="Calibri" w:hAnsi="Times New Roman" w:cs="Times New Roman"/>
          <w:kern w:val="0"/>
          <w:lang w:val="es-ES"/>
          <w14:ligatures w14:val="none"/>
        </w:rPr>
        <w:t xml:space="preserve"> mixtures.</w:t>
      </w:r>
    </w:p>
    <w:p w14:paraId="3198FA7E" w14:textId="77777777" w:rsidR="00603303" w:rsidRPr="00D55F6D" w:rsidRDefault="00603303" w:rsidP="00D55F6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s-ES"/>
          <w14:ligatures w14:val="none"/>
        </w:rPr>
      </w:pPr>
    </w:p>
    <w:sectPr w:rsidR="00603303" w:rsidRPr="00D55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67B5" w14:textId="77777777" w:rsidR="00900C8B" w:rsidRDefault="00900C8B" w:rsidP="00D55F6D">
      <w:pPr>
        <w:spacing w:after="0" w:line="240" w:lineRule="auto"/>
      </w:pPr>
      <w:r>
        <w:separator/>
      </w:r>
    </w:p>
  </w:endnote>
  <w:endnote w:type="continuationSeparator" w:id="0">
    <w:p w14:paraId="020BB2BB" w14:textId="77777777" w:rsidR="00900C8B" w:rsidRDefault="00900C8B" w:rsidP="00D5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2B90C" w14:textId="77777777" w:rsidR="00603303" w:rsidRDefault="0060330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EF081" w14:textId="77777777" w:rsidR="00603303" w:rsidRDefault="006033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3126B" w14:textId="77777777" w:rsidR="00603303" w:rsidRDefault="006033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10DCE" w14:textId="77777777" w:rsidR="00900C8B" w:rsidRDefault="00900C8B" w:rsidP="00D55F6D">
      <w:pPr>
        <w:spacing w:after="0" w:line="240" w:lineRule="auto"/>
      </w:pPr>
      <w:r>
        <w:separator/>
      </w:r>
    </w:p>
  </w:footnote>
  <w:footnote w:type="continuationSeparator" w:id="0">
    <w:p w14:paraId="4CEAF0EF" w14:textId="77777777" w:rsidR="00900C8B" w:rsidRDefault="00900C8B" w:rsidP="00D5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B665C" w14:textId="77777777" w:rsidR="00603303" w:rsidRDefault="0060330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2A943" w14:textId="54B3E1BC" w:rsidR="00D55F6D" w:rsidRDefault="00D55F6D">
    <w:pPr>
      <w:pStyle w:val="Encabezado"/>
    </w:pPr>
    <w:r>
      <w:rPr>
        <w:rFonts w:ascii="Arial" w:hAnsi="Arial" w:cs="Arial"/>
        <w:bCs/>
        <w:noProof/>
        <w:sz w:val="30"/>
        <w:szCs w:val="30"/>
        <w:lang w:val="es-CO" w:eastAsia="es-CO"/>
      </w:rPr>
      <w:drawing>
        <wp:anchor distT="0" distB="0" distL="114300" distR="114300" simplePos="0" relativeHeight="251663360" behindDoc="0" locked="0" layoutInCell="1" allowOverlap="1" wp14:anchorId="46A3D0B0" wp14:editId="26BE7C8B">
          <wp:simplePos x="0" y="0"/>
          <wp:positionH relativeFrom="column">
            <wp:posOffset>5390515</wp:posOffset>
          </wp:positionH>
          <wp:positionV relativeFrom="paragraph">
            <wp:posOffset>-233680</wp:posOffset>
          </wp:positionV>
          <wp:extent cx="1076325" cy="847725"/>
          <wp:effectExtent l="0" t="0" r="9525" b="0"/>
          <wp:wrapTopAndBottom/>
          <wp:docPr id="117013302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33028" name="Imagen 1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95" b="15044"/>
                  <a:stretch/>
                </pic:blipFill>
                <pic:spPr bwMode="auto">
                  <a:xfrm>
                    <a:off x="0" y="0"/>
                    <a:ext cx="107632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73BDB" w14:textId="77777777" w:rsidR="00603303" w:rsidRDefault="006033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772AF"/>
    <w:multiLevelType w:val="multilevel"/>
    <w:tmpl w:val="C9E848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D"/>
    <w:rsid w:val="000157CB"/>
    <w:rsid w:val="000F1DFD"/>
    <w:rsid w:val="000F26B8"/>
    <w:rsid w:val="00186F82"/>
    <w:rsid w:val="001B2059"/>
    <w:rsid w:val="002230A3"/>
    <w:rsid w:val="002319FE"/>
    <w:rsid w:val="002463D8"/>
    <w:rsid w:val="00261BEA"/>
    <w:rsid w:val="00294811"/>
    <w:rsid w:val="00345349"/>
    <w:rsid w:val="00425A20"/>
    <w:rsid w:val="004C28B2"/>
    <w:rsid w:val="005A1DB1"/>
    <w:rsid w:val="00603303"/>
    <w:rsid w:val="00610FD2"/>
    <w:rsid w:val="0064157F"/>
    <w:rsid w:val="00675013"/>
    <w:rsid w:val="0067796E"/>
    <w:rsid w:val="006C01D5"/>
    <w:rsid w:val="006E4DE0"/>
    <w:rsid w:val="006E7390"/>
    <w:rsid w:val="00737F8E"/>
    <w:rsid w:val="0074530C"/>
    <w:rsid w:val="0074551D"/>
    <w:rsid w:val="0074592F"/>
    <w:rsid w:val="0075359A"/>
    <w:rsid w:val="00765A11"/>
    <w:rsid w:val="00790A25"/>
    <w:rsid w:val="007F08D9"/>
    <w:rsid w:val="0083319E"/>
    <w:rsid w:val="0085098B"/>
    <w:rsid w:val="00875254"/>
    <w:rsid w:val="008935D8"/>
    <w:rsid w:val="008A7C59"/>
    <w:rsid w:val="00900C8B"/>
    <w:rsid w:val="00910E8D"/>
    <w:rsid w:val="00914FC7"/>
    <w:rsid w:val="0092547C"/>
    <w:rsid w:val="009E1BBC"/>
    <w:rsid w:val="009F42E0"/>
    <w:rsid w:val="00A243B7"/>
    <w:rsid w:val="00A258E0"/>
    <w:rsid w:val="00A26A79"/>
    <w:rsid w:val="00A6128C"/>
    <w:rsid w:val="00AF0596"/>
    <w:rsid w:val="00B05985"/>
    <w:rsid w:val="00B513C0"/>
    <w:rsid w:val="00B8594D"/>
    <w:rsid w:val="00B8623C"/>
    <w:rsid w:val="00BF5F73"/>
    <w:rsid w:val="00C45F2A"/>
    <w:rsid w:val="00D55F6D"/>
    <w:rsid w:val="00DE0193"/>
    <w:rsid w:val="00E54DB2"/>
    <w:rsid w:val="00E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52CC"/>
  <w15:chartTrackingRefBased/>
  <w15:docId w15:val="{72C79443-77AF-4BC4-91F4-5B84CE1C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5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5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5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5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5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5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5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5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5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5F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5F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5F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5F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5F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5F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5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5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5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5F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5F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5F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5F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5F6D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55F6D"/>
    <w:pPr>
      <w:spacing w:after="0" w:line="240" w:lineRule="auto"/>
    </w:pPr>
    <w:rPr>
      <w:rFonts w:ascii="Gadugi" w:hAnsi="Gadugi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5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55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F6D"/>
  </w:style>
  <w:style w:type="paragraph" w:styleId="Piedepgina">
    <w:name w:val="footer"/>
    <w:basedOn w:val="Normal"/>
    <w:link w:val="PiedepginaCar"/>
    <w:uiPriority w:val="99"/>
    <w:unhideWhenUsed/>
    <w:rsid w:val="00D55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F6D"/>
  </w:style>
  <w:style w:type="character" w:styleId="Hipervnculo">
    <w:name w:val="Hyperlink"/>
    <w:basedOn w:val="Fuentedeprrafopredeter"/>
    <w:uiPriority w:val="99"/>
    <w:unhideWhenUsed/>
    <w:rsid w:val="00186F82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6F8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6F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Najera</dc:creator>
  <cp:keywords/>
  <dc:description/>
  <cp:lastModifiedBy>Luis Angel Moreno Anselmi</cp:lastModifiedBy>
  <cp:revision>2</cp:revision>
  <dcterms:created xsi:type="dcterms:W3CDTF">2025-06-05T02:20:00Z</dcterms:created>
  <dcterms:modified xsi:type="dcterms:W3CDTF">2025-06-05T02:20:00Z</dcterms:modified>
</cp:coreProperties>
</file>